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framePr w:w="2107" w:h="15192" w:hSpace="1301" w:wrap="notBeside" w:vAnchor="text" w:hAnchor="text" w:x="1302" w:y="1"/>
        <w:widowControl w:val="0"/>
        <w:rPr>
          <w:sz w:val="2"/>
          <w:szCs w:val="2"/>
        </w:rPr>
      </w:pPr>
      <w:r>
        <w:drawing>
          <wp:inline>
            <wp:extent cx="1341120" cy="965009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41120" cy="96500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  <w:sectPr>
          <w:headerReference w:type="default" r:id="rId7"/>
          <w:head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093" w:left="750" w:right="7741" w:bottom="336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1402080" simplePos="0" relativeHeight="12582937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121920</wp:posOffset>
                </wp:positionV>
                <wp:extent cx="762000" cy="9521825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9521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32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SERVIÇO AUTONOMO DE AGUA E ESGOTO DE SAO SEBASTIAO DO UATUMA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155" w:val="left"/>
                                <w:tab w:pos="146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Exerciciode 2023</w:t>
                              <w:tab/>
                              <w:t>Anexo 16 - Demonstrativo da Dívida Fundada</w:t>
                              <w:tab/>
                              <w:t>Pá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pt-BR" w:eastAsia="pt-BR" w:bidi="pt-BR"/>
                              </w:rPr>
                              <w:t>g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pt-BR" w:eastAsia="pt-BR" w:bidi="pt-BR"/>
                              </w:rPr>
                              <w:t>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30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Dezembro(31/12/2023)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32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ISOLADO:3 - SERVIÇO AUTONOMO DE AGUA E ESGOTO - S. S. UATUMÃ</w:t>
                            </w:r>
                          </w:p>
                        </w:txbxContent>
                      </wps:txbx>
                      <wps:bodyPr upright="0" vert="vert270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0;margin-top:9.5999999999999996pt;width:60.pt;height:749.75pt;z-index:-125829375;mso-wrap-distance-left:0;mso-wrap-distance-right:110.40000000000001pt" filled="f" stroked="f">
                <v:textbox style="layout-flow:vertical;mso-layout-flow-alt:bottom-to-top"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32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SERVIÇO AUTONOMO DE AGUA E ESGOTO DE SAO SEBASTIAO DO UATUMA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155" w:val="left"/>
                          <w:tab w:pos="146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Exerciciode 2023</w:t>
                        <w:tab/>
                        <w:t>Anexo 16 - Demonstrativo da Dívida Fundada</w:t>
                        <w:tab/>
                        <w:t>Pá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pt-BR" w:eastAsia="pt-BR" w:bidi="pt-BR"/>
                        </w:rPr>
                        <w:t>g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.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pt-BR" w:eastAsia="pt-BR" w:bidi="pt-BR"/>
                        </w:rPr>
                        <w:t>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30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Dezembro(31/12/2023)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32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ISOLADO:3 - SERVIÇO AUTONOMO DE AGUA E ESGOTO - S. S. UATUMÃ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6155055</wp:posOffset>
            </wp:positionH>
            <wp:positionV relativeFrom="margin">
              <wp:posOffset>0</wp:posOffset>
            </wp:positionV>
            <wp:extent cx="262255" cy="201295"/>
            <wp:wrapSquare wrapText="bothSides"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62255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6160770</wp:posOffset>
            </wp:positionH>
            <wp:positionV relativeFrom="margin">
              <wp:posOffset>1630680</wp:posOffset>
            </wp:positionV>
            <wp:extent cx="859790" cy="2048510"/>
            <wp:wrapSquare wrapText="bothSides"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59790" cy="2048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6176010</wp:posOffset>
            </wp:positionH>
            <wp:positionV relativeFrom="margin">
              <wp:posOffset>6440170</wp:posOffset>
            </wp:positionV>
            <wp:extent cx="841375" cy="2060575"/>
            <wp:wrapSquare wrapText="bothSides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41375" cy="2060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NOTAS EXPLICATIVAS DO DEMONSTRATIVO DA DÍVIDA FUNDADA-</w:t>
        <w:br/>
        <w:t>ANEXO 16</w:t>
      </w:r>
      <w:bookmarkEnd w:id="0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020" w:line="298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EXERCÍCIO FINANCEIRO DE 2023 -</w:t>
      </w:r>
      <w:bookmarkEnd w:id="1"/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978" w:val="left"/>
        </w:tabs>
        <w:bidi w:val="0"/>
        <w:spacing w:before="0" w:after="440" w:line="240" w:lineRule="auto"/>
        <w:ind w:left="0" w:right="0" w:firstLine="168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CONTEXTO OPERACIONAL DAS DEMONSTRAÇÕES: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Serviço Autônomo de Água e Esgoto de São Sebastião do Uatumã, doravante denominado SAAE/SSU foi instituído pela Lei Municipal 1, de 5 de janeiro de 1984 e integra a estrutura da administração indireta do Município na condição de autarquia municipal.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Nessa condição, o orçamento do SAAE/SSU está inserido na Lei Orçamentária do Município, que prevê os recursos disponíveis e fixa despesa para o funcionamento do órgão e a garantia de serviços de captação, distribuição de água e saneamento básico.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Como entidade administrativa autônoma, o SAAE/SSU deve elaborar suas respectivas Demonstrações Contábeis ao final de cada exercício financeiro, em consonância com os dispositivos previstos na Lei Federal 4.320/64, na Lei Complementar 101/2000, nas orientações previstas no Manual de Contabilidade Aplicada ao Setor Público - MCASP,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edição publicado pela Secretaria do Tesouro Nacional, nas Normas Brasileiras de Contabilidade Aplicadas ao Setor Público (NBCT 16), nas leis de planejamento municipal e outras normas que regulam o assunto.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objetivo principal das Notas Explicativas às Demonstrações Contábeis é fornecer, aos diversos usuários, informações sobre a situação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económico-financeira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entidade, a sua situação patrimonial, o seu desempenho e os seus fluxos de caixa; contribuindo, dessa forma, na prestação de contas à sociedade.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a escrituração dos fatos contábeis foram obedecidos os critérios constantes do art. 35 da Lei Federal 4.320/64, que consideram as receitas arrecadas no exercício, bem como as despesas nele legalmente empenhadas.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60" w:line="293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Assim, o montante da receita arrecadadas e da despesa empenhada considera apenas aquelas efetivamente realizadas no exercício financeiro de 2023 e os números expressam os lançamentos escriturados ocorridos no período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janeiro a 31 de dezembro de 2023.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074" w:val="left"/>
        </w:tabs>
        <w:bidi w:val="0"/>
        <w:spacing w:before="0" w:after="460" w:line="240" w:lineRule="auto"/>
        <w:ind w:left="0" w:right="0" w:firstLine="168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APRESENTAÇÃO DAS DEMONSTRAÇÕES CONTÁBEIS:</w:t>
      </w:r>
      <w:bookmarkEnd w:id="3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 demonstrações contábeis do exercício financeiro de 2023 do SAAE/SSU foram escrituradas em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confonnidade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 a Lei 4320, de 17 de março de 1964, com o Plano de Contas Aplicado ao Setor Público, com as disposições do Manual de Contabilidade Aplicada ao Setor Público - MCASP,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edição publicado pela Secretaria do Tesouro Nacional, com as Normas Brasileiras de Contabilidade, em especial a NBCT 16 que trata da Contabilidade Aplicada ao Setor Público e com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nonnas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contidas na Lei Complementar Estadual 6, de 22 de janeiro de 1991 e na Resolução TCE/AM 4, de 16 de março de 2016.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Os registros contábeis foram processados por meio de sistema de informática, considerando o exercício econômico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ano-calendário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2023.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Demonstrações Contábeis e suas respectivas notas explicativas estão apresentadas com valores expressos em moeda nacional no parâmetro RS 1,00 (um real).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174" w:val="left"/>
        </w:tabs>
        <w:bidi w:val="0"/>
        <w:spacing w:before="0" w:after="320" w:line="240" w:lineRule="auto"/>
        <w:ind w:left="0" w:right="0" w:firstLine="166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CRITÉRIOS CONTÁBEIS ADOTADOS: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Lei Complementar 101, de 4 de maio de 2000 define a Dívida Fundada como sendo o montante total, apurado sem duplicidade, das obrigações financeiras do ente da Federação, assumidas em virtude de leis, contratos, convênios ou tratados e da realização de operações de crédito, para amortização em prazo superior a doze meses.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Demonstrativo demonstra saldo de parcelamento de energia elétrica no total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2.209.019,35 (dois milhões, duzentos e nove mil, dezenove reais e trinta e cinco centavos).</w:t>
      </w:r>
    </w:p>
    <w:tbl>
      <w:tblPr>
        <w:tblOverlap w:val="never"/>
        <w:jc w:val="center"/>
        <w:tblLayout w:type="fixed"/>
      </w:tblPr>
      <w:tblGrid>
        <w:gridCol w:w="6240"/>
        <w:gridCol w:w="1522"/>
      </w:tblGrid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Parcelamento de débitos de energia elétrica - Amazonas Energia S/A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1.330.659,28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Juros do parcelamento de débitos de energia elétrica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878.360,07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962" w:left="1665" w:right="1373" w:bottom="125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69" w:left="0" w:right="0" w:bottom="226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1877" w:h="293" w:wrap="none" w:vAnchor="text" w:hAnchor="page" w:x="5017" w:y="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ROSANA VASQLI</w:t>
      </w:r>
    </w:p>
    <w:p>
      <w:pPr>
        <w:pStyle w:val="Style12"/>
        <w:keepNext w:val="0"/>
        <w:keepLines w:val="0"/>
        <w:framePr w:w="1027" w:h="293" w:wrap="none" w:vAnchor="text" w:hAnchor="page" w:x="7777" w:y="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LIVEIRA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3977640</wp:posOffset>
            </wp:positionH>
            <wp:positionV relativeFrom="paragraph">
              <wp:posOffset>12700</wp:posOffset>
            </wp:positionV>
            <wp:extent cx="420370" cy="438785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2037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2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269" w:left="1677" w:right="1381" w:bottom="226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6327775</wp:posOffset>
              </wp:positionH>
              <wp:positionV relativeFrom="page">
                <wp:posOffset>669290</wp:posOffset>
              </wp:positionV>
              <wp:extent cx="234950" cy="16764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4950" cy="1676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4"/>
                              <w:szCs w:val="34"/>
                              <w:shd w:val="clear" w:color="auto" w:fill="auto"/>
                              <w:lang w:val="pt-BR" w:eastAsia="pt-BR" w:bidi="pt-BR"/>
                            </w:rPr>
                            <w:t>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98.25pt;margin-top:52.700000000000003pt;width:18.5pt;height:13.1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4"/>
                        <w:szCs w:val="34"/>
                        <w:shd w:val="clear" w:color="auto" w:fill="auto"/>
                        <w:lang w:val="pt-BR" w:eastAsia="pt-BR" w:bidi="pt-BR"/>
                      </w:rPr>
                      <w:t>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u w:val="none"/>
    </w:rPr>
  </w:style>
  <w:style w:type="character" w:customStyle="1" w:styleId="CharStyle10">
    <w:name w:val="Header or footer|2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1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Other|1_"/>
    <w:basedOn w:val="DefaultParagraphFont"/>
    <w:link w:val="Style1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after="60"/>
      <w:ind w:right="31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380" w:line="269" w:lineRule="auto"/>
      <w:ind w:firstLine="830"/>
      <w:outlineLvl w:val="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9">
    <w:name w:val="Header or footer|2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280" w:line="290" w:lineRule="auto"/>
      <w:ind w:firstLine="4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  <w:spacing w:after="280" w:line="290" w:lineRule="auto"/>
      <w:ind w:firstLine="4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