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80" w:after="440" w:line="106" w:lineRule="exac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H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40" w:line="106" w:lineRule="exac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106" w:lineRule="exac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H</w:t>
      </w:r>
    </w:p>
    <w:p>
      <w:pPr>
        <w:pStyle w:val="Style7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9"/>
        <w:keepNext/>
        <w:keepLines/>
        <w:framePr w:w="264" w:h="9859" w:wrap="none" w:hAnchor="page" w:x="743" w:y="31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&lt;</w:t>
      </w:r>
      <w:bookmarkEnd w:id="0"/>
    </w:p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106" w:lineRule="exac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M</w:t>
      </w:r>
    </w:p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106" w:lineRule="exac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W</w:t>
      </w:r>
    </w:p>
    <w:p>
      <w:pPr>
        <w:pStyle w:val="Style7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GD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1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7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GD</w:t>
      </w:r>
    </w:p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40" w:line="106" w:lineRule="exac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106" w:lineRule="exac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H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7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40" w:line="106" w:lineRule="exac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W</w:t>
      </w:r>
    </w:p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106" w:lineRule="exac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W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&lt;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16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P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40" w:line="156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</w:rPr>
        <w:t xml:space="preserve">&lt; w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Q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z o H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&amp;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&lt;</w:t>
      </w:r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2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o HH</w:t>
      </w:r>
    </w:p>
    <w:p>
      <w:pPr>
        <w:pStyle w:val="Style9"/>
        <w:keepNext/>
        <w:keepLines/>
        <w:framePr w:w="264" w:h="9859" w:wrap="none" w:hAnchor="page" w:x="743" w:y="3159"/>
        <w:widowControl w:val="0"/>
        <w:shd w:val="clear" w:color="auto" w:fill="auto"/>
        <w:bidi w:val="0"/>
        <w:spacing w:before="0" w:after="0" w:line="202" w:lineRule="exact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</w:rPr>
        <w:t>&gt;</w:t>
      </w:r>
      <w:bookmarkEnd w:id="1"/>
    </w:p>
    <w:p>
      <w:pPr>
        <w:pStyle w:val="Style9"/>
        <w:keepNext/>
        <w:keepLines/>
        <w:framePr w:w="264" w:h="9859" w:wrap="none" w:hAnchor="page" w:x="743" w:y="31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</w:rPr>
        <w:t>&amp;</w:t>
      </w:r>
      <w:bookmarkEnd w:id="2"/>
    </w:p>
    <w:p>
      <w:pPr>
        <w:pStyle w:val="Style5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w</w:t>
      </w:r>
    </w:p>
    <w:p>
      <w:pPr>
        <w:pStyle w:val="Style7"/>
        <w:keepNext w:val="0"/>
        <w:keepLines w:val="0"/>
        <w:framePr w:w="264" w:h="9859" w:wrap="none" w:hAnchor="page" w:x="743" w:y="3159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GD</w:t>
      </w:r>
    </w:p>
    <w:p>
      <w:pPr>
        <w:pStyle w:val="Style12"/>
        <w:keepNext w:val="0"/>
        <w:keepLines w:val="0"/>
        <w:framePr w:w="211" w:h="960" w:wrap="none" w:hAnchor="page" w:x="1065" w:y="8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12"/>
        <w:keepNext w:val="0"/>
        <w:keepLines w:val="0"/>
        <w:framePr w:w="211" w:h="960" w:wrap="none" w:hAnchor="page" w:x="1065" w:y="887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X</w:t>
      </w:r>
    </w:p>
    <w:p>
      <w:pPr>
        <w:pStyle w:val="Style12"/>
        <w:keepNext w:val="0"/>
        <w:keepLines w:val="0"/>
        <w:framePr w:w="211" w:h="960" w:wrap="none" w:hAnchor="page" w:x="1065" w:y="887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W</w:t>
      </w:r>
    </w:p>
    <w:p>
      <w:pPr>
        <w:pStyle w:val="Style12"/>
        <w:keepNext w:val="0"/>
        <w:keepLines w:val="0"/>
        <w:framePr w:w="211" w:h="960" w:wrap="none" w:hAnchor="page" w:x="1065" w:y="887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z</w:t>
      </w:r>
    </w:p>
    <w:p>
      <w:pPr>
        <w:pStyle w:val="Style12"/>
        <w:keepNext w:val="0"/>
        <w:keepLines w:val="0"/>
        <w:framePr w:w="211" w:h="960" w:wrap="none" w:hAnchor="page" w:x="1065" w:y="887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&lt;</w:t>
      </w:r>
    </w:p>
    <w:p>
      <w:pPr>
        <w:pStyle w:val="Style14"/>
        <w:keepNext w:val="0"/>
        <w:keepLines w:val="0"/>
        <w:framePr w:w="158" w:h="384" w:wrap="none" w:hAnchor="page" w:x="7031" w:y="8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&lt;*1</w:t>
      </w:r>
    </w:p>
    <w:p>
      <w:pPr>
        <w:pStyle w:val="Style14"/>
        <w:keepNext w:val="0"/>
        <w:keepLines w:val="0"/>
        <w:framePr w:w="158" w:h="384" w:wrap="none" w:hAnchor="page" w:x="7031" w:y="8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3</w:t>
      </w:r>
    </w:p>
    <w:p>
      <w:pPr>
        <w:pStyle w:val="Style14"/>
        <w:keepNext w:val="0"/>
        <w:keepLines w:val="0"/>
        <w:framePr w:w="158" w:h="384" w:wrap="none" w:hAnchor="page" w:x="7031" w:y="824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00</w:t>
      </w:r>
    </w:p>
    <w:p>
      <w:pPr>
        <w:pStyle w:val="Style14"/>
        <w:keepNext w:val="0"/>
        <w:keepLines w:val="0"/>
        <w:framePr w:w="158" w:h="384" w:wrap="none" w:hAnchor="page" w:x="7031" w:y="9596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çj O</w:t>
      </w:r>
    </w:p>
    <w:p>
      <w:pPr>
        <w:pStyle w:val="Style16"/>
        <w:keepNext w:val="0"/>
        <w:keepLines w:val="0"/>
        <w:framePr w:w="163" w:h="499" w:wrap="none" w:hAnchor="page" w:x="7031" w:y="14862"/>
        <w:widowControl w:val="0"/>
        <w:shd w:val="clear" w:color="auto" w:fill="auto"/>
        <w:bidi w:val="0"/>
        <w:spacing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&lt; H P</w:t>
      </w:r>
    </w:p>
    <w:p>
      <w:pPr>
        <w:pStyle w:val="Style16"/>
        <w:keepNext w:val="0"/>
        <w:keepLines w:val="0"/>
        <w:framePr w:w="163" w:h="499" w:wrap="none" w:hAnchor="page" w:x="7031" w:y="14862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H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821690</wp:posOffset>
            </wp:positionH>
            <wp:positionV relativeFrom="margin">
              <wp:posOffset>149225</wp:posOffset>
            </wp:positionV>
            <wp:extent cx="152400" cy="2501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240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666115</wp:posOffset>
            </wp:positionH>
            <wp:positionV relativeFrom="margin">
              <wp:posOffset>3727450</wp:posOffset>
            </wp:positionV>
            <wp:extent cx="353695" cy="190182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1901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846455</wp:posOffset>
            </wp:positionH>
            <wp:positionV relativeFrom="margin">
              <wp:posOffset>9113520</wp:posOffset>
            </wp:positionV>
            <wp:extent cx="121920" cy="6946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1920" cy="69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1047115</wp:posOffset>
            </wp:positionH>
            <wp:positionV relativeFrom="margin">
              <wp:posOffset>42545</wp:posOffset>
            </wp:positionV>
            <wp:extent cx="628015" cy="976566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28015" cy="9765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1751330</wp:posOffset>
            </wp:positionH>
            <wp:positionV relativeFrom="margin">
              <wp:posOffset>0</wp:posOffset>
            </wp:positionV>
            <wp:extent cx="2188210" cy="53022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882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1778635</wp:posOffset>
            </wp:positionH>
            <wp:positionV relativeFrom="margin">
              <wp:posOffset>97790</wp:posOffset>
            </wp:positionV>
            <wp:extent cx="2127250" cy="40830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12725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1736090</wp:posOffset>
            </wp:positionH>
            <wp:positionV relativeFrom="margin">
              <wp:posOffset>929640</wp:posOffset>
            </wp:positionV>
            <wp:extent cx="2206625" cy="55499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20662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1757680</wp:posOffset>
            </wp:positionH>
            <wp:positionV relativeFrom="margin">
              <wp:posOffset>953770</wp:posOffset>
            </wp:positionV>
            <wp:extent cx="2152015" cy="49974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152015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1763395</wp:posOffset>
            </wp:positionH>
            <wp:positionV relativeFrom="margin">
              <wp:posOffset>2350135</wp:posOffset>
            </wp:positionV>
            <wp:extent cx="2139950" cy="249936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139950" cy="2499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5066030</wp:posOffset>
            </wp:positionV>
            <wp:extent cx="2548255" cy="39624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54825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1763395</wp:posOffset>
            </wp:positionH>
            <wp:positionV relativeFrom="margin">
              <wp:posOffset>5828030</wp:posOffset>
            </wp:positionV>
            <wp:extent cx="2590800" cy="43878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590800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1742440</wp:posOffset>
            </wp:positionH>
            <wp:positionV relativeFrom="margin">
              <wp:posOffset>8534400</wp:posOffset>
            </wp:positionV>
            <wp:extent cx="152400" cy="120713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52400" cy="1207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1906905</wp:posOffset>
            </wp:positionH>
            <wp:positionV relativeFrom="margin">
              <wp:posOffset>9378950</wp:posOffset>
            </wp:positionV>
            <wp:extent cx="97790" cy="23749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9779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2077720</wp:posOffset>
            </wp:positionH>
            <wp:positionV relativeFrom="margin">
              <wp:posOffset>7733030</wp:posOffset>
            </wp:positionV>
            <wp:extent cx="121920" cy="201803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21920" cy="2018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2211705</wp:posOffset>
            </wp:positionH>
            <wp:positionV relativeFrom="margin">
              <wp:posOffset>7513320</wp:posOffset>
            </wp:positionV>
            <wp:extent cx="316865" cy="210947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316865" cy="2109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2629535</wp:posOffset>
            </wp:positionH>
            <wp:positionV relativeFrom="margin">
              <wp:posOffset>6934200</wp:posOffset>
            </wp:positionV>
            <wp:extent cx="1261745" cy="278574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261745" cy="2785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4131945</wp:posOffset>
            </wp:positionH>
            <wp:positionV relativeFrom="margin">
              <wp:posOffset>8153400</wp:posOffset>
            </wp:positionV>
            <wp:extent cx="213360" cy="148145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13360" cy="14814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6609715</wp:posOffset>
            </wp:positionH>
            <wp:positionV relativeFrom="margin">
              <wp:posOffset>368935</wp:posOffset>
            </wp:positionV>
            <wp:extent cx="408305" cy="23177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40830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6033770</wp:posOffset>
            </wp:positionH>
            <wp:positionV relativeFrom="margin">
              <wp:posOffset>393065</wp:posOffset>
            </wp:positionV>
            <wp:extent cx="853440" cy="348107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853440" cy="3481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6006465</wp:posOffset>
            </wp:positionH>
            <wp:positionV relativeFrom="margin">
              <wp:posOffset>1795145</wp:posOffset>
            </wp:positionV>
            <wp:extent cx="1017905" cy="210312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017905" cy="2103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5948680</wp:posOffset>
            </wp:positionH>
            <wp:positionV relativeFrom="margin">
              <wp:posOffset>6586855</wp:posOffset>
            </wp:positionV>
            <wp:extent cx="871855" cy="212725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871855" cy="2127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5975985</wp:posOffset>
            </wp:positionH>
            <wp:positionV relativeFrom="margin">
              <wp:posOffset>6614160</wp:posOffset>
            </wp:positionV>
            <wp:extent cx="816610" cy="2072640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816610" cy="2072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25" w:left="742" w:right="842" w:bottom="269" w:header="497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262255" cy="194945"/>
            <wp:docPr id="45" name="Picutr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262255" cy="194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60" w:line="319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NOTAS EXPLICATIVAS DO BALANÇO FINANCEIRO - ANEXO 13</w:t>
        <w:br/>
        <w:t>- EXERCÍCIO FINANCEIRO DE 2023 -</w:t>
      </w:r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958" w:val="left"/>
        </w:tabs>
        <w:bidi w:val="0"/>
        <w:spacing w:before="0" w:after="460" w:line="240" w:lineRule="auto"/>
        <w:ind w:left="0" w:right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CONTEXTO OPERACIONAL DAS DEMONSTRAÇÕES: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Água e Esgoto de São Sebastião do Uatumã, doravante denominado SAAE/SSU foi instituído pela Lei Municipal 1, de 5 de janeiro de 1984 e integra a estrutura da administração indireta do Município na condição de autarquia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Nessa condição, o orçamento do SAAE/SSU está inserido na Lei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Município, que prevê os recursos disponíveis e fixa despesa para o fiincionamento do órgão e a garantia de serviços de captação, distribuição de água e saneamento básico.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Como entidade administrativa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SAAE/SSU deve elaborar suas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final de cada exercício financeiro, em consonância com os dispositivos previstos na Lei Federal 4.320/64, na Lei Complementar 101/2000, nas orientações previstas no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edição publicado pela Secretaria do Tesouro Nacional, nas Normas Brasileiras de Contabilidade Aplicadas ao Setor Público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(NBCT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16), nas leis de planejamento municipal e outras normas que regulam o assunto.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objetivo principal das Notas Explicativas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fornecer, aos diversos usuários, informações sobre a situação económico-financeira da entidade, a sua situação patrimonial, o seu desempenho e os seus fluxos de caixa; contribuindo, dessa forma, na prestação de contas à sociedade.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a escrituração dos fatos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foram obedecidos os critérios constantes do art. 35 da Lei Federal 4.320/64, que consideram as receitas arrecadas no exercício, bem como as despesas nele legalmente empenhadas.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Assim, o montante da receita arrecadadas e da despesa empenhada considera apenas aquelas efetivamente realizadas no exercício financeiro de 2023 e os números expressam os lançamentos escriturados ocorridos no período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janeiro a 31 de dezembro de 2023.</w:t>
      </w:r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050" w:val="left"/>
        </w:tabs>
        <w:bidi w:val="0"/>
        <w:spacing w:before="0" w:after="460" w:line="240" w:lineRule="auto"/>
        <w:ind w:left="0" w:right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APRESENTAÇÃO DAS 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CONTÁBEIS: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exercício financeiro de 2023 do SAAE/SSU foram escrituradas em conformidade com a Lei 4320, de 17 de março de 1964, com o Plano de Contas Aplicado ao Setor Público, com as disposições do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edição publicado pela Secretaria do Tesouro Nacional, com as Normas Brasileiras de Contabilidade, em especial a NBCT 16 que trata da Contabilidade Aplicada ao Setor Público e com as normas contidas na Lei Complementar Estadual 6, de 22 de janeiro de 1991 e na Resolução TCE/AM 4, de 16 de março de 2016.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registros contábeis foram processados por meio de sistema de informática, considerando o exercício econômico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ano-calendário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Demonstrações Contábeis e suas respectivas notas explicativas estão apresentadas com valores expressos em moeda nacional no parâmetro RS 1,00 (um real).</w:t>
      </w:r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155" w:val="left"/>
        </w:tabs>
        <w:bidi w:val="0"/>
        <w:spacing w:before="0" w:after="460" w:line="240" w:lineRule="auto"/>
        <w:ind w:left="0" w:right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CRITÉRIOS CONTÁBEIS ADOTADOS: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Balanço Financeiro demonstra as receitas e as despesas orçamentárias, bem como os recebimentos e os pagamentos de natureza extra orçamentária, conjugados com os saldos em espécie provenientes do exercício anterior, e os que se transferem para o exercício seguinte, sendo que os Restos a Pagar do exercício são computados na receita extra orçamentária paia compensar sua inclusão na despesa orçamentária, conforme disposições do artigo 103 da Lei Federal 4320/1964.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Sua análise permite verificar valores que interfiram no resultado financeiro do exercício, visto que este deve listar todos os ingressos e saídas financeiras executadas no período.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Balanço Financeiro, as receitas e as despesas orçamentárias estão elencadas por sua fonte/destinação de recurso.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receitas são reconhecidas pelo regime de caixa e as despesas são reconhecidas de acordo com o seu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empenhamento,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 seja, antes mesmo do fato gerador da despesa ter ocorrido, conforme artigo 60 da Lei Federal 4320/1964, de forma que as despesas empenhadas e não pagas, reconhecidas como restos a pagar, são acrescidas do lado dos “Ingressos” como “Recebimentos Extra Orçamentários”, conforme parágrafo único do artigo 103 da Lei Federal 4.320/1964.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ingressos e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dispêndios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Balanço Financeiro para os Orçamentos Fiscal e da Seguridade Social demonstram o movimento das operações financeiras do exercício e evidenciam a receita e a despesa orçamentárias, os recebimentos e os pagamentos de natureza extra orçamentária e os saldos financeiros provenientes do exercício anterior e os que se transferem para o exercício seguinte.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60" w:line="269" w:lineRule="auto"/>
        <w:ind w:left="0" w:right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NOTA EXPLICATIVA 1: RECEITAS ORÇAMENTÁRIAS: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ingressos está escriturada a totalização de receitas provenientes de receitas de serviços - código 1600.00.0.0.00 do Comparativo da Receita Orçada com a Arrecadada - Anexo 10 - com saldo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744.917,11 (setecentos e quarenta e quatro mil, novecentos e dezessete reais e onze centavos).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60" w:line="305" w:lineRule="auto"/>
        <w:ind w:left="0" w:right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NOTA EXPLICATIVA 2: TRANSFERÊNCIAS FINANCEIRAS RECEBIDAS: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cumprimento ao disposto na Lei Municipal 166, de 11 de setembro de 2013, 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7970" cy="194945"/>
            <wp:docPr id="46" name="Picutr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267970" cy="194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6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9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Poder Executivo efetuou repasse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263.841,41 (duzentos e sessenta e três mil, oitocentos e quarenta e um reais e quarenta e um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destinado ao custeio das despesas com manutenção do SAAE/SSU.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400" w:line="298" w:lineRule="auto"/>
        <w:ind w:left="0" w:right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 EXPLICATIVA 3: EXTRAORÇAMENTÁRIA - INSCRIÇÃO DE RESTOS A PAGAR: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Consideram-se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valores inscritos em restos a pagar, que por força do parágrafo único do artigo 103 da Lei Federal 4.320/64 compõem esse grupo para fazer contrapartida aos valores empenhados na despesa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não pagos.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modo, os Restos a Pagar inscritos representam todos os valores inscritos em restos a pagar - processados e/ou não processados no final do exercício.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Nos ingressos de receita extraorçamentária estão escriturados os Restos a Pagar inscritos no período, no total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17.232,70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(dezessete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mil, duzentos e trinta e dois reais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setenta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sendo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16.932,70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(dezesseis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mil, novecentos e trinta e dois reais e setenta centavos)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inscrição de Restos a Pagar Não Processados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300,00 (trezentos reais)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Restos a Pagar Processados.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60" w:line="298" w:lineRule="auto"/>
        <w:ind w:left="0" w:right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 EXPLICATIVA 4: EXTRAORÇAMENTÁRIA - DEPÓSITOS RESTITUÍVEIS E VALORES VINCULADOS:</w:t>
      </w:r>
      <w:bookmarkEnd w:id="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lançamentos intitulados Depósitos Restituíveis e Valores Vinculados estão escriturados todos os valores pertencentes terceiros, compreendendo, retenções compulsórias ou facultativas efetuadas na folha de pagamento do servidor e retenções em faturas de fornecedores, como também os recolhimentos realizados no exercício.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Ingressos, a conta compreende os lançamentos de retenções de contribuições previdenciárias e de Imposto de Renda Retido na Fonte ocorridos no exercício financeiro de 2023.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457" w:val="left"/>
        </w:tabs>
        <w:bidi w:val="0"/>
        <w:spacing w:before="0" w:after="0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Retenções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INSS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RS 37.122,86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457" w:val="left"/>
        </w:tabs>
        <w:bidi w:val="0"/>
        <w:spacing w:before="0" w:after="540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Retenções de IRRF</w:t>
        <w:tab/>
        <w:t>RS 3.344,18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457" w:val="left"/>
        </w:tabs>
        <w:bidi w:val="0"/>
        <w:spacing w:before="0" w:after="0" w:line="271" w:lineRule="auto"/>
        <w:ind w:left="0" w:right="0" w:firstLine="16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NOTA EXPLICATIVA 5:</w:t>
        <w:tab/>
        <w:t>OUTROS RECEBIMENTOS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00" w:line="271" w:lineRule="auto"/>
        <w:ind w:left="0"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EXTRAORÇAMENTÁRIOS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98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Nessa conta são escriturados os lançamentos de responsabilidade / valores a regularizar ocorridos no exercício financeiro de 2023, no total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RS 1.845,00 (um mil oitocentos e quarenta e cinco reais).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NOTA EXPLICATIVA 6: SALDOS DO EXERCÍCIO ANTERIOR:</w:t>
      </w:r>
      <w:bookmarkEnd w:id="1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conta Saldo compreende o somatório dos valores em caixa, bancos em conta movimento, aplicações no mercado financeiro.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ingressos o Balanço Financeiro demonstra o saldo proveniente do exercício financeiro de 2022, no total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879,07 (oitocentos e setenta e nove reais e sete centavos).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NOTA EXPLICATIVA 7: DESPESAS ORÇAMENTÁRIAS: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9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dispêndios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foi lançada a despesa orçamentária empenhada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974.715,79 (novecentos e setenta e quatro mil, setecentos e quinze reais e setenta e nove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escriturado no Anexo 12 das Demonstrações Contábeis.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457" w:val="left"/>
        </w:tabs>
        <w:bidi w:val="0"/>
        <w:spacing w:before="0" w:after="40" w:line="240" w:lineRule="auto"/>
        <w:ind w:left="0" w:right="0" w:firstLine="16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NOTA EXPLICATIVA 8:</w:t>
        <w:tab/>
        <w:t>EXTRAORÇAMENTÁRIA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PAGAMENTOS DE RESTOS A PAGAR:</w:t>
      </w:r>
      <w:bookmarkEnd w:id="1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Dispêndio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estão registrados os valores de Restos a Pagar processados e/ou não processados pagos no exercício.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baixa de Restos a Pagar soma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3.672,70 (três mil, seiscentos e setenta e dois reais e setenta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composto por Restos a Pagar Não Processados.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 w:line="293" w:lineRule="auto"/>
        <w:ind w:left="0" w:right="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NOTA EXPLICATIVA 9: EXTRAORÇAMENTÁRIA - DEPÓSITOS RESTITUÍVEIS E VALORES VINCULADOS: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9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Dispêndios,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exercício de 2023 não houve recolhimento de valores de DEPÓSITOS RESTITUÍVEIS E VALORES VINCULADOS.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78" w:val="left"/>
        </w:tabs>
        <w:bidi w:val="0"/>
        <w:spacing w:before="0" w:after="40" w:line="240" w:lineRule="auto"/>
        <w:ind w:left="0" w:right="0" w:firstLine="16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NOTA EXPLICATIVA 10:</w:t>
        <w:tab/>
        <w:t>OUTROS PAGAMENTOS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EXTRAORÇAMENTÁRIOS: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95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Nessa conta são escriturados os lançamentos de responsabilidades financeira / valores a regularizai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-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ocorridos em 2023 -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14.195,43 (catorze mil, cento e noventa e cinco reais e quarenta e três centavos)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os valores de antecipação de Salário Família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3.469,56 (três mil, quatrocentos e sessenta e nove reais e cinquenta e seis centavos).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80670" cy="219710"/>
            <wp:docPr id="47" name="Picutr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280670" cy="2197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2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16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NOTA EXPLICATIVA 11: SALDOS PARA O EXERCÍCIO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SEGUINTE: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300" w:lineRule="auto"/>
        <w:ind w:left="0" w:right="0" w:firstLine="16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dispêndios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é demonstrado o saldo financeiro registrado paia o exercício seguinte, que totaliza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73.128,85 (setenta e três mil, cento e vinte e oito reais e oitenta e cinco centavos).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314" w:lineRule="auto"/>
        <w:ind w:left="0" w:right="164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ROSANA VASQUfcOLIVEIRA</w:t>
        <w:br/>
        <w:t>CRC-AM 7905</w:t>
      </w:r>
    </w:p>
    <w:sectPr>
      <w:footnotePr>
        <w:pos w:val="pageBottom"/>
        <w:numFmt w:val="decimal"/>
        <w:numRestart w:val="continuous"/>
      </w:footnotePr>
      <w:pgSz w:w="11900" w:h="16840"/>
      <w:pgMar w:top="1132" w:left="1733" w:right="1312" w:bottom="1440" w:header="704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  <w:lang w:val="pt-BR" w:eastAsia="pt-BR" w:bidi="pt-BR"/>
    </w:rPr>
  </w:style>
  <w:style w:type="character" w:customStyle="1" w:styleId="CharStyle8">
    <w:name w:val="Body text|3_"/>
    <w:basedOn w:val="DefaultParagraphFont"/>
    <w:link w:val="Style7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 w:val="0"/>
      <w:bCs w:val="0"/>
      <w:i/>
      <w:iCs/>
      <w:smallCaps w:val="0"/>
      <w:strike w:val="0"/>
      <w:sz w:val="38"/>
      <w:szCs w:val="38"/>
      <w:u w:val="none"/>
      <w:lang w:val="pt-BR" w:eastAsia="pt-BR" w:bidi="pt-BR"/>
    </w:rPr>
  </w:style>
  <w:style w:type="character" w:customStyle="1" w:styleId="CharStyle13">
    <w:name w:val="Body text|5_"/>
    <w:basedOn w:val="DefaultParagraphFont"/>
    <w:link w:val="Style12"/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15">
    <w:name w:val="Body text|4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  <w:lang w:val="pt-BR" w:eastAsia="pt-BR" w:bidi="pt-BR"/>
    </w:rPr>
  </w:style>
  <w:style w:type="character" w:customStyle="1" w:styleId="CharStyle17">
    <w:name w:val="Body text|6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character" w:customStyle="1" w:styleId="CharStyle19">
    <w:name w:val="Heading #2|1_"/>
    <w:basedOn w:val="DefaultParagraphFont"/>
    <w:link w:val="Style18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293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0" w:line="125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  <w:lang w:val="pt-BR" w:eastAsia="pt-BR" w:bidi="pt-BR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FFFFFF"/>
      <w:spacing w:after="100"/>
    </w:pPr>
    <w:rPr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line="180" w:lineRule="auto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sz w:val="38"/>
      <w:szCs w:val="38"/>
      <w:u w:val="none"/>
      <w:lang w:val="pt-BR" w:eastAsia="pt-BR" w:bidi="pt-BR"/>
    </w:rPr>
  </w:style>
  <w:style w:type="paragraph" w:customStyle="1" w:styleId="Style12">
    <w:name w:val="Body text|5"/>
    <w:basedOn w:val="Normal"/>
    <w:link w:val="CharStyle13"/>
    <w:pPr>
      <w:widowControl w:val="0"/>
      <w:shd w:val="clear" w:color="auto" w:fill="FFFFFF"/>
      <w:spacing w:line="180" w:lineRule="auto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spacing w:line="2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  <w:lang w:val="pt-BR" w:eastAsia="pt-BR" w:bidi="pt-BR"/>
    </w:rPr>
  </w:style>
  <w:style w:type="paragraph" w:customStyle="1" w:styleId="Style16">
    <w:name w:val="Body text|6"/>
    <w:basedOn w:val="Normal"/>
    <w:link w:val="CharStyle17"/>
    <w:pPr>
      <w:widowControl w:val="0"/>
      <w:shd w:val="clear" w:color="auto" w:fill="FFFFFF"/>
      <w:spacing w:before="80" w:line="13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18">
    <w:name w:val="Heading #2|1"/>
    <w:basedOn w:val="Normal"/>
    <w:link w:val="CharStyle19"/>
    <w:pPr>
      <w:widowControl w:val="0"/>
      <w:shd w:val="clear" w:color="auto" w:fill="FFFFFF"/>
      <w:spacing w:after="330" w:line="281" w:lineRule="auto"/>
      <w:ind w:firstLine="1660"/>
      <w:outlineLvl w:val="1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/Relationships>
</file>