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</w:t>
        <w:br/>
        <w:t>UATUMA</w:t>
      </w:r>
      <w:bookmarkEnd w:id="0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RELATÓRIO RESUMIDO DA EXECUÇÃO ORÇAMENTÁRIA</w:t>
        <w:br/>
        <w:t>DEMONSTRATIVO SIMPLIFICADO DO RELATÓRIO RESUMIDO DA EXECUÇÃO ORÇAMENTÁRIA</w:t>
        <w:br/>
        <w:t>ORÇAMENTO FISCAL E DA SEGURIDADE SOCIAL</w:t>
      </w:r>
      <w:bookmarkEnd w:id="1"/>
    </w:p>
    <w:p>
      <w:pPr>
        <w:pStyle w:val="Style9"/>
        <w:keepNext/>
        <w:keepLines/>
        <w:widowControl w:val="0"/>
        <w:shd w:val="clear" w:color="auto" w:fill="auto"/>
        <w:tabs>
          <w:tab w:pos="2131" w:val="left"/>
        </w:tabs>
        <w:bidi w:val="0"/>
        <w:spacing w:before="0" w:after="140" w:line="240" w:lineRule="auto"/>
        <w:ind w:left="0" w:right="0" w:firstLine="0"/>
        <w:jc w:val="both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 de 2</w:t>
        <w:tab/>
        <w:t>PERÍODO: Janeiro a fevereiro 2025/BIMESTRE Janeiro - Fevereiro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tabs>
          <w:tab w:leader="underscore" w:pos="1016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LRF, Art. 48 - Anexo 14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BR" w:eastAsia="pt-BR" w:bidi="pt-BR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R$1</w:t>
      </w:r>
    </w:p>
    <w:tbl>
      <w:tblPr>
        <w:tblOverlap w:val="never"/>
        <w:jc w:val="center"/>
        <w:tblLayout w:type="fixed"/>
      </w:tblPr>
      <w:tblGrid>
        <w:gridCol w:w="6797"/>
        <w:gridCol w:w="3787"/>
      </w:tblGrid>
      <w:tr>
        <w:trPr>
          <w:trHeight w:val="595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BALANÇO ORÇAMENTÁRIO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Até o Bimestre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Previsão Atualizada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Realizadas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97.638,84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Déficit Orçamentário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Saldos de Exercícios Anteriores (Utilizados para Créditos Adicionais)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586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BALANÇO ORÇAMENTÁRIO - DESPESAS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Até o Bimestre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Créditos Adicionais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Dotação Atualizada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Empenhadas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233.162,35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Liquidadas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76.190,36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Pagas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76.190,36</w:t>
            </w:r>
          </w:p>
        </w:tc>
      </w:tr>
      <w:tr>
        <w:trPr>
          <w:trHeight w:val="168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Superávit Orçamentário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21.448,48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200"/>
        <w:gridCol w:w="3394"/>
      </w:tblGrid>
      <w:tr>
        <w:trPr>
          <w:trHeight w:val="600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POR FUNÇÃO / SUBFUNÇÃO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3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Até o Bimestre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Empenhadas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233.162,35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Liquidadas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76.190,36</w:t>
            </w:r>
          </w:p>
        </w:tc>
      </w:tr>
      <w:tr>
        <w:trPr>
          <w:trHeight w:val="125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90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CORRENTE LÍQUIDA - RCL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3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Até o Bimestre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Corrente Líquida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513.845,56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Corrente Líquida Ajustada para Cálculo dos Limites de Endividamento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513.845,56</w:t>
            </w:r>
          </w:p>
        </w:tc>
      </w:tr>
      <w:tr>
        <w:trPr>
          <w:trHeight w:val="173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Corrente Líquida Ajustada para Cálculo dos Limites da Despesa com Pessoal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513.845,56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700" w:right="0" w:firstLine="0"/>
        <w:jc w:val="left"/>
      </w:pPr>
      <w:r>
        <mc:AlternateContent>
          <mc:Choice Requires="wps">
            <w:drawing>
              <wp:anchor distT="0" distB="1499235" distL="114300" distR="151130" simplePos="0" relativeHeight="125829378" behindDoc="0" locked="0" layoutInCell="1" allowOverlap="1">
                <wp:simplePos x="0" y="0"/>
                <wp:positionH relativeFrom="page">
                  <wp:posOffset>6541770</wp:posOffset>
                </wp:positionH>
                <wp:positionV relativeFrom="paragraph">
                  <wp:posOffset>12700</wp:posOffset>
                </wp:positionV>
                <wp:extent cx="575945" cy="12509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Até o Bimestre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15.10000000000002pt;margin-top:1.pt;width:45.350000000000001pt;height:9.8499999999999996pt;z-index:-125829375;mso-wrap-distance-left:9.pt;mso-wrap-distance-right:11.9pt;mso-wrap-distance-bottom:118.0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Até o Bimestre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350520" distB="0" distL="537845" distR="114300" simplePos="0" relativeHeight="125829380" behindDoc="0" locked="0" layoutInCell="1" allowOverlap="1">
                <wp:simplePos x="0" y="0"/>
                <wp:positionH relativeFrom="page">
                  <wp:posOffset>6965315</wp:posOffset>
                </wp:positionH>
                <wp:positionV relativeFrom="paragraph">
                  <wp:posOffset>363220</wp:posOffset>
                </wp:positionV>
                <wp:extent cx="189230" cy="127381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30" cy="1273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48.45000000000005pt;margin-top:28.600000000000001pt;width:14.9pt;height:100.3pt;z-index:-125829373;mso-wrap-distance-left:42.350000000000001pt;mso-wrap-distance-top:27.6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RECEITAS/DESPESAS DOS REGIMES DE PREVIDÊNCIA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482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Regime Próprio de Previdência dos Servidores - PLANO PREVIDENCIÁRIO Receitas Previdenciárias Realizadas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Despesas Previdenciárias Empenhadas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Despesas Previdenciárias Liquidadas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698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Despesas Previdenciárias Pagas Resultado Previdenciário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502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Regime Próprio de Previdência dos Servidores - PLANO FINANCEIRO Receitas Previdenciárias Realizadas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698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Despesas Previdenciárias Empenhadas Despesas Previdenciárias Liquidadas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Despesas Previdenciárias Pagas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Resultado Previdenciário</w:t>
      </w:r>
    </w:p>
    <w:p>
      <w:pPr>
        <w:widowControl w:val="0"/>
        <w:spacing w:after="1358" w:line="1" w:lineRule="exact"/>
      </w:pPr>
      <w:r>
        <mc:AlternateContent>
          <mc:Choice Requires="wps">
            <w:drawing>
              <wp:anchor distT="0" distB="0" distL="0" distR="0" simplePos="0" relativeHeight="62914690" behindDoc="1" locked="0" layoutInCell="1" allowOverlap="1">
                <wp:simplePos x="0" y="0"/>
                <wp:positionH relativeFrom="page">
                  <wp:posOffset>896620</wp:posOffset>
                </wp:positionH>
                <wp:positionV relativeFrom="paragraph">
                  <wp:posOffset>207010</wp:posOffset>
                </wp:positionV>
                <wp:extent cx="1539240" cy="12509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924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RESULTADO PRIMÁRIO E NOMINAL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70.599999999999994pt;margin-top:16.300000000000001pt;width:121.2pt;height:9.8499999999999996pt;z-index:-18874406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RESULTADO PRIMÁRIO E NOMINAL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2" behindDoc="1" locked="0" layoutInCell="1" allowOverlap="1">
                <wp:simplePos x="0" y="0"/>
                <wp:positionH relativeFrom="page">
                  <wp:posOffset>506730</wp:posOffset>
                </wp:positionH>
                <wp:positionV relativeFrom="paragraph">
                  <wp:posOffset>570230</wp:posOffset>
                </wp:positionV>
                <wp:extent cx="1892935" cy="29273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935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Resultado Primário (SEM RPPS) - Acima da Linha Resultado Nominal (SEM RPPS) - Abaixo da Linha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9.899999999999999pt;margin-top:44.899999999999999pt;width:149.05000000000001pt;height:23.050000000000001pt;z-index:-18874406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4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Resultado Primário (SEM RPPS) - Acima da Linha Resultado Nominal (SEM RPPS) - Abaixo da Linha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4" behindDoc="1" locked="0" layoutInCell="1" allowOverlap="1">
                <wp:simplePos x="0" y="0"/>
                <wp:positionH relativeFrom="page">
                  <wp:posOffset>4984115</wp:posOffset>
                </wp:positionH>
                <wp:positionV relativeFrom="paragraph">
                  <wp:posOffset>0</wp:posOffset>
                </wp:positionV>
                <wp:extent cx="618490" cy="84709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8490" cy="847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Meta Fixada no Anexo de Metas Fiscais da LDO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(a)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92.44999999999999pt;margin-top:0;width:48.700000000000003pt;height:66.700000000000003pt;z-index:-18874405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Meta Fixada no Anexo de Metas Fiscais da LDO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(a)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6" behindDoc="1" locked="0" layoutInCell="1" allowOverlap="1">
                <wp:simplePos x="0" y="0"/>
                <wp:positionH relativeFrom="page">
                  <wp:posOffset>5837555</wp:posOffset>
                </wp:positionH>
                <wp:positionV relativeFrom="paragraph">
                  <wp:posOffset>0</wp:posOffset>
                </wp:positionV>
                <wp:extent cx="496570" cy="50609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506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Resultado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2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Apurado até</w:t>
                              <w:br/>
                              <w:t>o Bimestre</w:t>
                              <w:br/>
                              <w:t>(b)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59.64999999999998pt;margin-top:0;width:39.100000000000001pt;height:39.850000000000001pt;z-index:-18874405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Resultado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26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Apurado até</w:t>
                        <w:br/>
                        <w:t>o Bimestre</w:t>
                        <w:br/>
                        <w:t>(b)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8" behindDoc="1" locked="0" layoutInCell="1" allowOverlap="1">
                <wp:simplePos x="0" y="0"/>
                <wp:positionH relativeFrom="page">
                  <wp:posOffset>6557010</wp:posOffset>
                </wp:positionH>
                <wp:positionV relativeFrom="paragraph">
                  <wp:posOffset>0</wp:posOffset>
                </wp:positionV>
                <wp:extent cx="557530" cy="50609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7530" cy="506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8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% em Relação</w:t>
                              <w:br/>
                              <w:t>àMeta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(b/a)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16.29999999999995pt;margin-top:0;width:43.899999999999999pt;height:39.850000000000001pt;z-index:-18874405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86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% em Relação</w:t>
                        <w:br/>
                        <w:t>àMeta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6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(b/a)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0" behindDoc="1" locked="0" layoutInCell="1" allowOverlap="1">
                <wp:simplePos x="0" y="0"/>
                <wp:positionH relativeFrom="page">
                  <wp:posOffset>6727825</wp:posOffset>
                </wp:positionH>
                <wp:positionV relativeFrom="paragraph">
                  <wp:posOffset>389890</wp:posOffset>
                </wp:positionV>
                <wp:extent cx="201295" cy="13398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129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(b/a)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29.75pt;margin-top:30.699999999999999pt;width:15.85pt;height:10.550000000000001pt;z-index:-18874405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(b/a)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80" w:right="0" w:firstLine="0"/>
        <w:jc w:val="center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</w:t>
      </w:r>
      <w:bookmarkEnd w:id="3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80" w:right="0" w:firstLine="0"/>
        <w:jc w:val="center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UATUMA</w:t>
      </w:r>
      <w:bookmarkEnd w:id="4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/>
        <w:ind w:left="80" w:right="0" w:firstLine="0"/>
        <w:jc w:val="center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RELATÓRIO RESUMIDO DA EXECUÇÃO ORÇAMENTÁRIA</w:t>
        <w:br/>
        <w:t>DEMONSTRATIVO SIMPLIFICADO DO RELATÓRIO RESUMIDO DA EXECUÇÃO ORÇAMENTÁRIA</w:t>
        <w:br/>
        <w:t>ORÇAMENTO FISCAL E DA SEGURIDADE SOCIAL</w:t>
      </w:r>
      <w:bookmarkEnd w:id="5"/>
    </w:p>
    <w:p>
      <w:pPr>
        <w:pStyle w:val="Style9"/>
        <w:keepNext/>
        <w:keepLines/>
        <w:widowControl w:val="0"/>
        <w:shd w:val="clear" w:color="auto" w:fill="auto"/>
        <w:tabs>
          <w:tab w:pos="2069" w:val="left"/>
        </w:tabs>
        <w:bidi w:val="0"/>
        <w:spacing w:before="0" w:after="60"/>
        <w:ind w:left="0" w:right="0" w:firstLine="0"/>
        <w:jc w:val="both"/>
      </w:pPr>
      <w:bookmarkStart w:id="6" w:name="bookmark6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2 de 2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PERÍODO: Janeiro a fevereiro 2025/BIMESTRE Janeiro - Fevereiro</w:t>
      </w:r>
      <w:bookmarkEnd w:id="6"/>
    </w:p>
    <w:p>
      <w:pPr>
        <w:pStyle w:val="Style11"/>
        <w:keepNext w:val="0"/>
        <w:keepLines w:val="0"/>
        <w:widowControl w:val="0"/>
        <w:shd w:val="clear" w:color="auto" w:fill="auto"/>
        <w:tabs>
          <w:tab w:leader="underscore" w:pos="101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LRF, Ari. 48 - Anexo 14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BR" w:eastAsia="pt-BR" w:bidi="pt-BR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R$1</w:t>
      </w:r>
    </w:p>
    <w:tbl>
      <w:tblPr>
        <w:tblOverlap w:val="never"/>
        <w:jc w:val="center"/>
        <w:tblLayout w:type="fixed"/>
      </w:tblPr>
      <w:tblGrid>
        <w:gridCol w:w="5842"/>
        <w:gridCol w:w="1478"/>
        <w:gridCol w:w="979"/>
        <w:gridCol w:w="1258"/>
        <w:gridCol w:w="998"/>
      </w:tblGrid>
      <w:tr>
        <w:trPr>
          <w:trHeight w:val="562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MOVIMENTAÇÃO DOS RESTOS A PAGAR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Inscrição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Cancelamento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Até o 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Pagamento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Até o 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aPagar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RESTOS A PAGAR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Poder Executivo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Poder Legislativo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Poder Judiciário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Ministério Publico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Defensoria Pública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RESTOS A PAGAR NÃO-PROCESSADOS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Poder Executivo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Poder Legislativo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Poder Judiciário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Ministério Público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Defensoria Pública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3.883,86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1.656,00</w:t>
            </w:r>
          </w:p>
        </w:tc>
      </w:tr>
      <w:tr>
        <w:trPr>
          <w:trHeight w:val="365" w:hRule="exact"/>
        </w:trPr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Apurado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Limites Constitucionais Anuais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BFDCC0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COM MANUTENÇÃO E DESENVOLVIMENTO DO ENSINO - MDE</w:t>
            </w:r>
          </w:p>
        </w:tc>
        <w:tc>
          <w:tcPr>
            <w:tcBorders/>
            <w:shd w:val="clear" w:color="auto" w:fill="BFDCC0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até o Bimestre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% Mínimo a Aplicar no % Aplicado até o Bimestre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BFDCC0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Exercício</w:t>
            </w:r>
          </w:p>
        </w:tc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Mínimo Anual de 25% das Receitas de Impostos na Manutenção e Desenvolvimento do Ensino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Mínimo Anual de 70% do FUNDEB na Remuneração dos Profissionais da Educação Básica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Percentual da Complementação da União ao FUNDEB (VAAT) na Educação Infantil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Mínimo de 15% da Complementação da União ao FUNDEB (VAAT) em Despesas de Capital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5113655</wp:posOffset>
                </wp:positionH>
                <wp:positionV relativeFrom="paragraph">
                  <wp:posOffset>12700</wp:posOffset>
                </wp:positionV>
                <wp:extent cx="2008505" cy="137160"/>
                <wp:wrapSquare wrapText="lef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0850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Apurado até o Bimestre Saldo Não Realizado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02.64999999999998pt;margin-top:1.pt;width:158.15000000000001pt;height:10.80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Apurado até o Bimestre Saldo Não Realizado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0" distL="114300" distR="5585460" simplePos="0" relativeHeight="125829384" behindDoc="0" locked="0" layoutInCell="1" allowOverlap="1">
                <wp:simplePos x="0" y="0"/>
                <wp:positionH relativeFrom="page">
                  <wp:posOffset>541655</wp:posOffset>
                </wp:positionH>
                <wp:positionV relativeFrom="margin">
                  <wp:posOffset>4819015</wp:posOffset>
                </wp:positionV>
                <wp:extent cx="1167130" cy="26797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7130" cy="267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Receita de Operação de Crédito Despesa de Capital Líquida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2.649999999999999pt;margin-top:379.44999999999999pt;width:91.900000000000006pt;height:21.100000000000001pt;z-index:-125829369;mso-wrap-distance-left:9.pt;mso-wrap-distance-top:2.pt;mso-wrap-distance-right:439.8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6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Receita de Operação de Crédito Despesa de Capital Líquida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15240" distL="5165090" distR="1323975" simplePos="0" relativeHeight="125829386" behindDoc="0" locked="0" layoutInCell="1" allowOverlap="1">
                <wp:simplePos x="0" y="0"/>
                <wp:positionH relativeFrom="page">
                  <wp:posOffset>5592445</wp:posOffset>
                </wp:positionH>
                <wp:positionV relativeFrom="margin">
                  <wp:posOffset>4819015</wp:posOffset>
                </wp:positionV>
                <wp:extent cx="377825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16.500,00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40.35000000000002pt;margin-top:379.44999999999999pt;width:29.75pt;height:19.899999999999999pt;z-index:-125829367;mso-wrap-distance-left:406.69999999999999pt;mso-wrap-distance-top:2.pt;mso-wrap-distance-right:104.25pt;mso-wrap-distance-bottom:1.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16.500,00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15240" distL="6362700" distR="114300" simplePos="0" relativeHeight="125829388" behindDoc="0" locked="0" layoutInCell="1" allowOverlap="1">
                <wp:simplePos x="0" y="0"/>
                <wp:positionH relativeFrom="page">
                  <wp:posOffset>6790055</wp:posOffset>
                </wp:positionH>
                <wp:positionV relativeFrom="margin">
                  <wp:posOffset>4819015</wp:posOffset>
                </wp:positionV>
                <wp:extent cx="38989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98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43.500,00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34.64999999999998pt;margin-top:379.44999999999999pt;width:30.699999999999999pt;height:19.899999999999999pt;z-index:-125829365;mso-wrap-distance-left:501.pt;mso-wrap-distance-top:2.pt;mso-wrap-distance-right:9.pt;mso-wrap-distance-bottom:1.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43.500,00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RECEITAS DE OPERAÇÕES DE CRÉDITO E DESPESAS DE CAPITAL</w:t>
      </w:r>
    </w:p>
    <w:tbl>
      <w:tblPr>
        <w:tblOverlap w:val="never"/>
        <w:jc w:val="center"/>
        <w:tblLayout w:type="fixed"/>
      </w:tblPr>
      <w:tblGrid>
        <w:gridCol w:w="5669"/>
        <w:gridCol w:w="1723"/>
        <w:gridCol w:w="2549"/>
        <w:gridCol w:w="638"/>
      </w:tblGrid>
      <w:tr>
        <w:trPr>
          <w:trHeight w:val="523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DA ALIENAÇÃO DE ATIVOS E APLICAÇÃO DOS RECURSOS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3862" w:val="left"/>
              </w:tabs>
              <w:bidi w:val="0"/>
              <w:spacing w:before="0" w:after="0" w:line="240" w:lineRule="auto"/>
              <w:ind w:left="150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apurado até o Bimestre</w:t>
              <w:tab/>
              <w:t>Saldo a Realizar</w:t>
            </w:r>
          </w:p>
        </w:tc>
      </w:tr>
      <w:tr>
        <w:trPr>
          <w:trHeight w:val="40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de Capital Resultante da Alienação de Ativos Aplicação dos Recursos da Alienação de Ativos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68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1" w:hRule="exact"/>
        </w:trPr>
        <w:tc>
          <w:tcPr>
            <w:vMerge w:val="restart"/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COM AÇÕES E SERVIÇOS PÚBLICOS DE SAÚDE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Apurado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Limite Constitucional Anual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4" w:hRule="exact"/>
        </w:trPr>
        <w:tc>
          <w:tcPr>
            <w:vMerge/>
            <w:tcBorders/>
            <w:shd w:val="clear" w:color="auto" w:fill="BFDCC0"/>
            <w:vAlign w:val="center"/>
          </w:tcPr>
          <w:p>
            <w:pPr/>
          </w:p>
        </w:tc>
        <w:tc>
          <w:tcPr>
            <w:tcBorders/>
            <w:shd w:val="clear" w:color="auto" w:fill="BFDCC0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até o Bimestre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hanging="48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% Mínimo a Aplicar no % Aplicado até o Bimestre Exercício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com Ações e Serviços Públicos de Saúde executadas com recursos de impostos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933"/>
        <w:gridCol w:w="4704"/>
      </w:tblGrid>
      <w:tr>
        <w:trPr>
          <w:trHeight w:val="350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DESPESAS DE CARÁTER CONTINUADO DERIVADAS DE PPP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Apurado no Exercício Corrente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das Despesas Consideradas para o Limite / RCL (%)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sectPr>
      <w:footerReference w:type="default" r:id="rId5"/>
      <w:footerReference w:type="even" r:id="rId6"/>
      <w:footnotePr>
        <w:pos w:val="pageBottom"/>
        <w:numFmt w:val="decimal"/>
        <w:numRestart w:val="continuous"/>
      </w:footnotePr>
      <w:pgSz w:w="11900" w:h="16840"/>
      <w:pgMar w:top="663" w:left="757" w:right="496" w:bottom="5037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5971540</wp:posOffset>
              </wp:positionH>
              <wp:positionV relativeFrom="page">
                <wp:posOffset>8032115</wp:posOffset>
              </wp:positionV>
              <wp:extent cx="341630" cy="21336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1630" cy="2133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19.220,62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337,41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470.19999999999999pt;margin-top:632.45000000000005pt;width:26.899999999999999pt;height:16.800000000000001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19.220,62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337,41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6944360</wp:posOffset>
              </wp:positionH>
              <wp:positionV relativeFrom="page">
                <wp:posOffset>8035290</wp:posOffset>
              </wp:positionV>
              <wp:extent cx="149225" cy="20701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922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0,00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46.79999999999995pt;margin-top:632.70000000000005pt;width:11.75pt;height:16.300000000000001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0,00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521970</wp:posOffset>
              </wp:positionH>
              <wp:positionV relativeFrom="page">
                <wp:posOffset>7995285</wp:posOffset>
              </wp:positionV>
              <wp:extent cx="6702425" cy="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0242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1.100000000000001pt;margin-top:629.54999999999995pt;width:527.7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Heading #1|1_"/>
    <w:basedOn w:val="DefaultParagraphFont"/>
    <w:link w:val="Style4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Header or footer|2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Heading #2|1_"/>
    <w:basedOn w:val="DefaultParagraphFont"/>
    <w:link w:val="Style9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Table caption|1_"/>
    <w:basedOn w:val="DefaultParagraphFont"/>
    <w:link w:val="Style11"/>
    <w:rPr>
      <w:b w:val="0"/>
      <w:bCs w:val="0"/>
      <w:i w:val="0"/>
      <w:iCs w:val="0"/>
      <w:smallCaps w:val="0"/>
      <w:strike w:val="0"/>
      <w:sz w:val="14"/>
      <w:szCs w:val="14"/>
      <w:u w:val="single"/>
    </w:rPr>
  </w:style>
  <w:style w:type="character" w:customStyle="1" w:styleId="CharStyle15">
    <w:name w:val="Other|1_"/>
    <w:basedOn w:val="DefaultParagraphFont"/>
    <w:link w:val="Style14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line="271" w:lineRule="auto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ind w:left="4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Header or footer|2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Heading #2|1"/>
    <w:basedOn w:val="Normal"/>
    <w:link w:val="CharStyle10"/>
    <w:pPr>
      <w:widowControl w:val="0"/>
      <w:shd w:val="clear" w:color="auto" w:fill="FFFFFF"/>
      <w:spacing w:line="283" w:lineRule="auto"/>
      <w:jc w:val="center"/>
      <w:outlineLvl w:val="1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Table caption|1"/>
    <w:basedOn w:val="Normal"/>
    <w:link w:val="CharStyle12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single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