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42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SERVIÇO AUTONOMO DE AGUA E ESGOTO DE SAO SEBASTIAO DO UATUMA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 EXECUÇÃO DAS DESPESAS POR FUNÇÃO E SUBFUNÇÃO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ORÇAMENTOS FISCAIS E DA SEGURIDADE SOCIAL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junho 2025/BIMESTRE Maio - Junho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tabs>
          <w:tab w:pos="14842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RREO - Anexo 2 (LRF, Art. 52, inciso n, alínea “c”)</w:t>
        <w:tab/>
        <w:t>R$ 1</w:t>
      </w:r>
    </w:p>
    <w:tbl>
      <w:tblPr>
        <w:tblOverlap w:val="never"/>
        <w:jc w:val="center"/>
        <w:tblLayout w:type="fixed"/>
      </w:tblPr>
      <w:tblGrid>
        <w:gridCol w:w="4219"/>
        <w:gridCol w:w="1128"/>
        <w:gridCol w:w="1152"/>
        <w:gridCol w:w="1157"/>
        <w:gridCol w:w="1152"/>
        <w:gridCol w:w="677"/>
        <w:gridCol w:w="1142"/>
        <w:gridCol w:w="1152"/>
        <w:gridCol w:w="1142"/>
        <w:gridCol w:w="691"/>
        <w:gridCol w:w="1166"/>
        <w:gridCol w:w="1181"/>
      </w:tblGrid>
      <w:tr>
        <w:trPr>
          <w:trHeight w:val="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FUNÇÃO/SUBFUNÇÃO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ATUALIZADA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(c) = (a-b)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(e) = (a-d)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INSCRITAS EM RESTOS A PAGAR NÃO PROCESSADOS (í)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CFD8C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(b/total b)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JANAJUN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C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(d/total d)</w:t>
            </w:r>
          </w:p>
        </w:tc>
        <w:tc>
          <w:tcPr>
            <w:vMerge/>
            <w:tcBorders>
              <w:left w:val="single" w:sz="4"/>
            </w:tcBorders>
            <w:shd w:val="clear" w:color="auto" w:fill="CFD8CF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CF"/>
            <w:vAlign w:val="top"/>
          </w:tcPr>
          <w:p>
            <w:pPr/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983.600,00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152.295,60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153.943,86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212.888,67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544.513,86</w:t>
            </w:r>
          </w:p>
        </w:tc>
        <w:tc>
          <w:tcPr>
            <w:tcBorders>
              <w:top w:val="single" w:sz="4"/>
            </w:tcBorders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983.600,00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152.295,60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153.943,86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212.888,67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544.513,86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 Básico Rural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Saneamento Básico Urbano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152.295,60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147.943,86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212.888,67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538.513,86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(INTRA-ORÇAMENTÁRIAS) (II)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(III) = (I + II)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983.600,00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152.295,60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829.656,14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153.943,86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212.888,67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439.086,14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100,00</w:t>
            </w:r>
          </w:p>
        </w:tc>
        <w:tc>
          <w:tcPr>
            <w:tcBorders/>
            <w:shd w:val="clear" w:color="auto" w:fill="CFD8C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544.513,86</w:t>
            </w:r>
          </w:p>
        </w:tc>
        <w:tc>
          <w:tcPr>
            <w:tcBorders/>
            <w:shd w:val="clear" w:color="auto" w:fill="CFD8C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segregadas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a) Despesas liquidadas, consideradas aquelas em que houve a entrega do material ou serviço, nos termos do art. 63 da Lei 4.320/64;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b) Despesas empenhadas mas não liquidadas, inscritas em Restos a Pagar processados, consideradas liquidadas no encerramento do exercício, por força do art.35, inciso II da Lei 4.320/64.</w:t>
      </w:r>
    </w:p>
    <w:p>
      <w:pPr>
        <w:widowControl w:val="0"/>
        <w:spacing w:after="5059" w:line="1" w:lineRule="exact"/>
      </w:pP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706" w:left="466" w:right="413" w:bottom="679" w:header="278" w:footer="25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1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Table caption|1_"/>
    <w:basedOn w:val="DefaultParagraphFont"/>
    <w:link w:val="Style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340"/>
      <w:ind w:left="420"/>
      <w:jc w:val="center"/>
      <w:outlineLvl w:val="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Table caption|1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34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