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42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BR" w:eastAsia="pt-BR" w:bidi="pt-BR"/>
        </w:rPr>
        <w:t>SERVIÇO AUTONOMO DE AGUA E ESGOTO DE SAO SEBASTIAO DO UATUMA</w:t>
        <w:br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RELATÓRIO RESUMIDO DA EXECUÇÃO ORÇAMENTÁRIA</w:t>
        <w:br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DEMONSTRATIVO DA EXECUÇÃO DAS DESPESAS POR FUNÇÃO E SUBFUNÇÃO</w:t>
        <w:br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ORÇAMENTOS FISCAIS E DA SEGURIDADE SOCIAL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PERÍODO: Janeiro a abril 2025/BIMESTRE Março - Abril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tabs>
          <w:tab w:pos="14842" w:val="left"/>
        </w:tabs>
        <w:bidi w:val="0"/>
        <w:spacing w:before="0" w:after="0" w:line="240" w:lineRule="auto"/>
        <w:ind w:left="0" w:right="0" w:firstLine="0"/>
        <w:jc w:val="both"/>
        <w:rPr>
          <w:sz w:val="11"/>
          <w:szCs w:val="11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RREO - Anexo 2 (LRF, Art. 52, inciso n, alínea “c”)</w:t>
        <w:tab/>
        <w:t>R$ 1</w:t>
      </w:r>
    </w:p>
    <w:tbl>
      <w:tblPr>
        <w:tblOverlap w:val="never"/>
        <w:jc w:val="center"/>
        <w:tblLayout w:type="fixed"/>
      </w:tblPr>
      <w:tblGrid>
        <w:gridCol w:w="4219"/>
        <w:gridCol w:w="1128"/>
        <w:gridCol w:w="1152"/>
        <w:gridCol w:w="1157"/>
        <w:gridCol w:w="1152"/>
        <w:gridCol w:w="677"/>
        <w:gridCol w:w="1142"/>
        <w:gridCol w:w="1152"/>
        <w:gridCol w:w="1142"/>
        <w:gridCol w:w="691"/>
        <w:gridCol w:w="1166"/>
        <w:gridCol w:w="1181"/>
      </w:tblGrid>
      <w:tr>
        <w:trPr>
          <w:trHeight w:val="32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FD8C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FUNÇÃO/SUBFUNÇÃO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FD8C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DOTAÇÃO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INICIAL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FD8C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DOTAÇÃO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46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ATUALIZADA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(a)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CFD8C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DESPESAS EMPENHADAS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FD8C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58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SALDO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(c) = (a-b)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CFD8C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DESPESAS LIQUIDADAS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FD8C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58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SALDO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(e) = (a-d)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CFD8C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2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INSCRITAS EM RESTOS A PAGAR NÃO PROCESSADOS (í)</w:t>
            </w:r>
          </w:p>
        </w:tc>
      </w:tr>
      <w:tr>
        <w:trPr>
          <w:trHeight w:val="773" w:hRule="exact"/>
        </w:trPr>
        <w:tc>
          <w:tcPr>
            <w:vMerge/>
            <w:tcBorders>
              <w:left w:val="single" w:sz="4"/>
            </w:tcBorders>
            <w:shd w:val="clear" w:color="auto" w:fill="CFD8CF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FD8CF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FD8C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CFD8C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BIMESTRE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FD8C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JANAABR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(b)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FD8C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22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%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(b/total b)</w:t>
            </w:r>
          </w:p>
        </w:tc>
        <w:tc>
          <w:tcPr>
            <w:vMerge/>
            <w:tcBorders>
              <w:left w:val="single" w:sz="4"/>
            </w:tcBorders>
            <w:shd w:val="clear" w:color="auto" w:fill="CFD8C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CFD8C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BIMESTRE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FD8C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JAN A ABR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(d)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FD8C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%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(d/total d)</w:t>
            </w:r>
          </w:p>
        </w:tc>
        <w:tc>
          <w:tcPr>
            <w:vMerge/>
            <w:tcBorders>
              <w:left w:val="single" w:sz="4"/>
            </w:tcBorders>
            <w:shd w:val="clear" w:color="auto" w:fill="CFD8CF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CFD8CF"/>
            <w:vAlign w:val="top"/>
          </w:tcPr>
          <w:p>
            <w:pPr/>
          </w:p>
        </w:tc>
      </w:tr>
      <w:tr>
        <w:trPr>
          <w:trHeight w:val="202" w:hRule="exact"/>
        </w:trPr>
        <w:tc>
          <w:tcPr>
            <w:tcBorders>
              <w:top w:val="single" w:sz="4"/>
            </w:tcBorders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(EXCETO INTRA-ORÇAMENTÁRIAS) (I)</w:t>
            </w:r>
          </w:p>
        </w:tc>
        <w:tc>
          <w:tcPr>
            <w:tcBorders>
              <w:top w:val="single" w:sz="4"/>
            </w:tcBorders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783.600,00</w:t>
            </w:r>
          </w:p>
        </w:tc>
        <w:tc>
          <w:tcPr>
            <w:tcBorders>
              <w:top w:val="single" w:sz="4"/>
            </w:tcBorders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933.600,00</w:t>
            </w:r>
          </w:p>
        </w:tc>
        <w:tc>
          <w:tcPr>
            <w:tcBorders>
              <w:top w:val="single" w:sz="4"/>
            </w:tcBorders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444.198,19</w:t>
            </w:r>
          </w:p>
        </w:tc>
        <w:tc>
          <w:tcPr>
            <w:tcBorders>
              <w:top w:val="single" w:sz="4"/>
            </w:tcBorders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677.360,54</w:t>
            </w:r>
          </w:p>
        </w:tc>
        <w:tc>
          <w:tcPr>
            <w:tcBorders>
              <w:top w:val="single" w:sz="4"/>
            </w:tcBorders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100,00</w:t>
            </w:r>
          </w:p>
        </w:tc>
        <w:tc>
          <w:tcPr>
            <w:tcBorders>
              <w:top w:val="single" w:sz="4"/>
            </w:tcBorders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256.239,46</w:t>
            </w:r>
          </w:p>
        </w:tc>
        <w:tc>
          <w:tcPr>
            <w:tcBorders>
              <w:top w:val="single" w:sz="4"/>
            </w:tcBorders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150.007,11</w:t>
            </w:r>
          </w:p>
        </w:tc>
        <w:tc>
          <w:tcPr>
            <w:tcBorders>
              <w:top w:val="single" w:sz="4"/>
            </w:tcBorders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226.197,47</w:t>
            </w:r>
          </w:p>
        </w:tc>
        <w:tc>
          <w:tcPr>
            <w:tcBorders>
              <w:top w:val="single" w:sz="4"/>
            </w:tcBorders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100,00</w:t>
            </w:r>
          </w:p>
        </w:tc>
        <w:tc>
          <w:tcPr>
            <w:tcBorders>
              <w:top w:val="single" w:sz="4"/>
            </w:tcBorders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707.402,53</w:t>
            </w:r>
          </w:p>
        </w:tc>
        <w:tc>
          <w:tcPr>
            <w:tcBorders>
              <w:top w:val="single" w:sz="4"/>
            </w:tcBorders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Saneamento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783.600,00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933.600,00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444.198,19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677.360,54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256.239,46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150.007,11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226.197,47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707.402,53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Saneamento Básico Rural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Saneamento Básico Urbano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Administração Geral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743.600,00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893.600,00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444.198,19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677.360,54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216.239,46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150.007,11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226.197,47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667.402,53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CFD8C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(INTRA-ORÇAMENTÁRIAS) (II)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CFD8C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(III) = (I + II)</w:t>
            </w:r>
          </w:p>
        </w:tc>
        <w:tc>
          <w:tcPr>
            <w:tcBorders/>
            <w:shd w:val="clear" w:color="auto" w:fill="CFD8C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783.600,00</w:t>
            </w:r>
          </w:p>
        </w:tc>
        <w:tc>
          <w:tcPr>
            <w:tcBorders/>
            <w:shd w:val="clear" w:color="auto" w:fill="CFD8C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933.600,00</w:t>
            </w:r>
          </w:p>
        </w:tc>
        <w:tc>
          <w:tcPr>
            <w:tcBorders/>
            <w:shd w:val="clear" w:color="auto" w:fill="CFD8C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444.198,19</w:t>
            </w:r>
          </w:p>
        </w:tc>
        <w:tc>
          <w:tcPr>
            <w:tcBorders/>
            <w:shd w:val="clear" w:color="auto" w:fill="CFD8C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677.360,54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100,00</w:t>
            </w:r>
          </w:p>
        </w:tc>
        <w:tc>
          <w:tcPr>
            <w:tcBorders/>
            <w:shd w:val="clear" w:color="auto" w:fill="CFD8C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256.239,46</w:t>
            </w:r>
          </w:p>
        </w:tc>
        <w:tc>
          <w:tcPr>
            <w:tcBorders/>
            <w:shd w:val="clear" w:color="auto" w:fill="CFD8C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150.007,11</w:t>
            </w:r>
          </w:p>
        </w:tc>
        <w:tc>
          <w:tcPr>
            <w:tcBorders/>
            <w:shd w:val="clear" w:color="auto" w:fill="CFD8C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226.197,47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100,00</w:t>
            </w:r>
          </w:p>
        </w:tc>
        <w:tc>
          <w:tcPr>
            <w:tcBorders/>
            <w:shd w:val="clear" w:color="auto" w:fill="CFD8C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707.402,53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Nota: Durante o exercício, somente as despesas liquidadas são consideradas executadas. No encerramento do exercício, as despesas não liquidadas inscritas em restos a pagar processados são também consideradas executadas. Dessa forma, para maior transparência, as despesas executadas estão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segregadas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em: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. a) Despesas liquidadas, consideradas aquelas em que houve a entrega do material ou serviço, nos termos do art. 63 da Lei 4.320/64;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6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. b) Despesas empenhadas mas não liquidadas, inscritas em Restos a Pagar processados, consideradas liquidadas no encerramento do exercício, por força do art.35, inciso II da Lei 4.320/64.</w:t>
      </w:r>
    </w:p>
    <w:p>
      <w:pPr>
        <w:widowControl w:val="0"/>
        <w:spacing w:after="5059" w:line="1" w:lineRule="exact"/>
      </w:pPr>
    </w:p>
    <w:p>
      <w:pPr>
        <w:pStyle w:val="Style14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FONTE: SCPI - Contabilidade [22247], SERVIÇO AUTONOMO DE AGUA E ESGOTO - S. S. UATUMÃ</w:t>
      </w:r>
    </w:p>
    <w:sectPr>
      <w:footnotePr>
        <w:pos w:val="pageBottom"/>
        <w:numFmt w:val="decimal"/>
        <w:numRestart w:val="continuous"/>
      </w:footnotePr>
      <w:pgSz w:w="16840" w:h="11900" w:orient="landscape"/>
      <w:pgMar w:top="706" w:left="466" w:right="413" w:bottom="679" w:header="278" w:footer="251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1_"/>
    <w:basedOn w:val="DefaultParagraphFont"/>
    <w:link w:val="Style2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7">
    <w:name w:val="Heading #1|1_"/>
    <w:basedOn w:val="DefaultParagraphFont"/>
    <w:link w:val="Style6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9">
    <w:name w:val="Table caption|1_"/>
    <w:basedOn w:val="DefaultParagraphFont"/>
    <w:link w:val="Style8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2">
    <w:name w:val="Other|1_"/>
    <w:basedOn w:val="DefaultParagraphFont"/>
    <w:link w:val="Style11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5">
    <w:name w:val="Body text|2_"/>
    <w:basedOn w:val="DefaultParagraphFont"/>
    <w:link w:val="Style14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jc w:val="center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6">
    <w:name w:val="Heading #1|1"/>
    <w:basedOn w:val="Normal"/>
    <w:link w:val="CharStyle7"/>
    <w:pPr>
      <w:widowControl w:val="0"/>
      <w:shd w:val="clear" w:color="auto" w:fill="FFFFFF"/>
      <w:spacing w:after="340"/>
      <w:ind w:left="420"/>
      <w:jc w:val="center"/>
      <w:outlineLvl w:val="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8">
    <w:name w:val="Table caption|1"/>
    <w:basedOn w:val="Normal"/>
    <w:link w:val="CharStyle9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1">
    <w:name w:val="Other|1"/>
    <w:basedOn w:val="Normal"/>
    <w:link w:val="CharStyle12"/>
    <w:pPr>
      <w:widowControl w:val="0"/>
      <w:shd w:val="clear" w:color="auto" w:fill="FFFFFF"/>
      <w:jc w:val="right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4">
    <w:name w:val="Body text|2"/>
    <w:basedOn w:val="Normal"/>
    <w:link w:val="CharStyle15"/>
    <w:pPr>
      <w:widowControl w:val="0"/>
      <w:shd w:val="clear" w:color="auto" w:fill="FFFFFF"/>
      <w:spacing w:after="340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