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090" w:h="173" w:wrap="none" w:hAnchor="page" w:x="460" w:y="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4"/>
        <w:keepNext/>
        <w:keepLines/>
        <w:framePr w:w="7234" w:h="893" w:wrap="none" w:hAnchor="page" w:x="462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5"/>
          <w:b/>
          <w:bCs/>
          <w:lang w:val="pt-PT" w:eastAsia="pt-PT" w:bidi="pt-PT"/>
        </w:rPr>
        <w:t>CAMARA MUNICIPAL DE SAO PAULO DE OLIVENÇA</w:t>
      </w:r>
      <w:bookmarkEnd w:id="0"/>
    </w:p>
    <w:p>
      <w:pPr>
        <w:pStyle w:val="Style6"/>
        <w:keepNext/>
        <w:keepLines/>
        <w:framePr w:w="7234" w:h="893" w:wrap="none" w:hAnchor="page" w:x="462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Style w:val="CharStyle7"/>
          <w:b/>
          <w:bCs/>
          <w:lang w:val="pt-PT" w:eastAsia="pt-PT" w:bidi="pt-PT"/>
        </w:rPr>
        <w:t>ANEXO 15 - VARIAÇÕES PATRIMONIAIS</w:t>
      </w:r>
      <w:bookmarkEnd w:id="2"/>
    </w:p>
    <w:p>
      <w:pPr>
        <w:pStyle w:val="Style8"/>
        <w:keepNext w:val="0"/>
        <w:keepLines w:val="0"/>
        <w:framePr w:w="7234" w:h="893" w:wrap="none" w:hAnchor="page" w:x="462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>Dezembro(31/12/2025)</w:t>
      </w:r>
    </w:p>
    <w:p>
      <w:pPr>
        <w:pStyle w:val="Style10"/>
        <w:keepNext w:val="0"/>
        <w:keepLines w:val="0"/>
        <w:framePr w:w="470" w:h="202" w:wrap="none" w:hAnchor="page" w:x="15470" w:y="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lang w:val="pt-PT" w:eastAsia="pt-PT" w:bidi="pt-PT"/>
        </w:rPr>
        <w:t>Pág.: 1</w:t>
      </w:r>
    </w:p>
    <w:p>
      <w:pPr>
        <w:pStyle w:val="Style2"/>
        <w:keepNext w:val="0"/>
        <w:keepLines w:val="0"/>
        <w:framePr w:w="1133" w:h="206" w:wrap="none" w:hAnchor="page" w:x="518" w:y="1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12"/>
        <w:keepNext w:val="0"/>
        <w:keepLines w:val="0"/>
        <w:framePr w:w="6101" w:h="240" w:wrap="none" w:hAnchor="page" w:x="5183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u w:val="none"/>
        </w:rPr>
        <w:t>ISOLADO:2 - CAMARA MUNICIPAL DE SAO PAULO DE OL1VENÇA</w:t>
      </w:r>
    </w:p>
    <w:p>
      <w:pPr>
        <w:pStyle w:val="Style12"/>
        <w:keepNext w:val="0"/>
        <w:keepLines w:val="0"/>
        <w:framePr w:w="4099" w:h="250" w:wrap="none" w:hAnchor="page" w:x="6201" w:y="12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3"/>
          <w:b/>
          <w:bCs/>
          <w:sz w:val="18"/>
          <w:szCs w:val="18"/>
          <w:u w:val="none"/>
        </w:rPr>
        <w:t>VARIAÇÕES PATRIMONIAIS QUANTITATIVAS</w:t>
      </w:r>
    </w:p>
    <w:p>
      <w:pPr>
        <w:pStyle w:val="Style12"/>
        <w:keepNext w:val="0"/>
        <w:keepLines w:val="0"/>
        <w:framePr w:w="4070" w:h="250" w:wrap="none" w:hAnchor="page" w:x="2303" w:y="15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3"/>
          <w:b/>
          <w:bCs/>
          <w:sz w:val="18"/>
          <w:szCs w:val="18"/>
          <w:u w:val="none"/>
        </w:rPr>
        <w:t>VARIAÇÕES PATRIMONIAIS AUMENTATIVAS</w:t>
      </w:r>
    </w:p>
    <w:p>
      <w:pPr>
        <w:pStyle w:val="Style12"/>
        <w:keepNext w:val="0"/>
        <w:keepLines w:val="0"/>
        <w:framePr w:w="3854" w:h="250" w:wrap="none" w:hAnchor="page" w:x="10161" w:y="1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3"/>
          <w:b/>
          <w:bCs/>
          <w:sz w:val="18"/>
          <w:szCs w:val="18"/>
          <w:u w:val="none"/>
        </w:rPr>
        <w:t>VARIAÇÕES PATRIMONIAIS DIMINUTIVAS</w:t>
      </w:r>
    </w:p>
    <w:p>
      <w:pPr>
        <w:pStyle w:val="Style2"/>
        <w:keepNext w:val="0"/>
        <w:keepLines w:val="0"/>
        <w:framePr w:w="331" w:h="178" w:wrap="none" w:hAnchor="page" w:x="4910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17" w:h="173" w:wrap="none" w:hAnchor="page" w:x="5630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80" w:h="178" w:wrap="none" w:hAnchor="page" w:x="6959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1128" w:h="206" w:wrap="none" w:hAnchor="page" w:x="8313" w:y="1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31" w:h="173" w:wrap="none" w:hAnchor="page" w:x="12686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12" w:h="178" w:wrap="none" w:hAnchor="page" w:x="13372" w:y="1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94" w:h="178" w:wrap="none" w:hAnchor="page" w:x="14702" w:y="1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4738" w:h="1555" w:wrap="none" w:hAnchor="page" w:x="556" w:y="2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TRANSFERÊNCIAS E DELEGAÇÕES RECEBIDAS</w:t>
      </w:r>
    </w:p>
    <w:p>
      <w:pPr>
        <w:pStyle w:val="Style2"/>
        <w:keepNext w:val="0"/>
        <w:keepLines w:val="0"/>
        <w:framePr w:w="4738" w:h="1555" w:wrap="none" w:hAnchor="page" w:x="556" w:y="2319"/>
        <w:widowControl w:val="0"/>
        <w:shd w:val="clear" w:color="auto" w:fill="auto"/>
        <w:bidi w:val="0"/>
        <w:spacing w:before="0" w:after="60" w:line="262" w:lineRule="auto"/>
        <w:ind w:left="0" w:right="0" w:firstLine="340"/>
        <w:jc w:val="left"/>
      </w:pPr>
      <w:r>
        <w:rPr>
          <w:rStyle w:val="CharStyle3"/>
        </w:rPr>
        <w:t>TRANSFERÊNCIAS INTRAGOVERNAMENTAIS</w:t>
      </w:r>
    </w:p>
    <w:p>
      <w:pPr>
        <w:pStyle w:val="Style2"/>
        <w:keepNext w:val="0"/>
        <w:keepLines w:val="0"/>
        <w:framePr w:w="4738" w:h="1555" w:wrap="none" w:hAnchor="page" w:x="556" w:y="2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VALORIZAÇÃO E GANHOS COM ATIVOS E DESINCORPORAÇÂO DE PASSIVOS</w:t>
      </w:r>
    </w:p>
    <w:p>
      <w:pPr>
        <w:pStyle w:val="Style2"/>
        <w:keepNext w:val="0"/>
        <w:keepLines w:val="0"/>
        <w:framePr w:w="4738" w:h="1555" w:wrap="none" w:hAnchor="page" w:x="556" w:y="2319"/>
        <w:widowControl w:val="0"/>
        <w:shd w:val="clear" w:color="auto" w:fill="auto"/>
        <w:bidi w:val="0"/>
        <w:spacing w:before="0" w:after="60" w:line="262" w:lineRule="auto"/>
        <w:ind w:left="0" w:right="0" w:firstLine="340"/>
        <w:jc w:val="left"/>
      </w:pPr>
      <w:r>
        <w:rPr>
          <w:rStyle w:val="CharStyle3"/>
        </w:rPr>
        <w:t>GANHOS COM DESINCORPORAÇÂO DE PASSIVOS</w:t>
      </w:r>
    </w:p>
    <w:p>
      <w:pPr>
        <w:pStyle w:val="Style2"/>
        <w:keepNext w:val="0"/>
        <w:keepLines w:val="0"/>
        <w:framePr w:w="4738" w:h="1555" w:wrap="none" w:hAnchor="page" w:x="556" w:y="2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OUTRAS VARIAÇÕES PATRIMONIAIS AUMENTATIVAS</w:t>
      </w:r>
    </w:p>
    <w:p>
      <w:pPr>
        <w:pStyle w:val="Style2"/>
        <w:keepNext w:val="0"/>
        <w:keepLines w:val="0"/>
        <w:framePr w:w="4738" w:h="1555" w:wrap="none" w:hAnchor="page" w:x="556" w:y="2319"/>
        <w:widowControl w:val="0"/>
        <w:shd w:val="clear" w:color="auto" w:fill="auto"/>
        <w:bidi w:val="0"/>
        <w:spacing w:before="0" w:after="60" w:line="262" w:lineRule="auto"/>
        <w:ind w:left="0" w:right="0" w:firstLine="340"/>
        <w:jc w:val="left"/>
      </w:pPr>
      <w:r>
        <w:rPr>
          <w:rStyle w:val="CharStyle3"/>
        </w:rPr>
        <w:t>DIVERSAS VARIAÇÕES PATRIMONIAIS AUMENTATIVAS</w:t>
      </w:r>
    </w:p>
    <w:p>
      <w:pPr>
        <w:pStyle w:val="Style2"/>
        <w:keepNext w:val="0"/>
        <w:keepLines w:val="0"/>
        <w:framePr w:w="4738" w:h="1555" w:wrap="none" w:hAnchor="page" w:x="556" w:y="2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 DAS VARIAÇÕES AUMENTATIVAS</w:t>
      </w:r>
    </w:p>
    <w:p>
      <w:pPr>
        <w:pStyle w:val="Style2"/>
        <w:keepNext w:val="0"/>
        <w:keepLines w:val="0"/>
        <w:framePr w:w="787" w:h="571" w:wrap="none" w:hAnchor="page" w:x="5995" w:y="23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4.278.859,45</w:t>
      </w:r>
    </w:p>
    <w:p>
      <w:pPr>
        <w:pStyle w:val="Style2"/>
        <w:keepNext w:val="0"/>
        <w:keepLines w:val="0"/>
        <w:framePr w:w="787" w:h="571" w:wrap="none" w:hAnchor="page" w:x="5995" w:y="23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4.278.859,45</w:t>
      </w:r>
    </w:p>
    <w:p>
      <w:pPr>
        <w:pStyle w:val="Style2"/>
        <w:keepNext w:val="0"/>
        <w:keepLines w:val="0"/>
        <w:framePr w:w="787" w:h="571" w:wrap="none" w:hAnchor="page" w:x="5995" w:y="23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1.500,00</w:t>
      </w:r>
    </w:p>
    <w:p>
      <w:pPr>
        <w:pStyle w:val="Style2"/>
        <w:keepNext w:val="0"/>
        <w:keepLines w:val="0"/>
        <w:framePr w:w="787" w:h="566" w:wrap="none" w:hAnchor="page" w:x="7267" w:y="234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3.994.882,20</w:t>
      </w:r>
    </w:p>
    <w:p>
      <w:pPr>
        <w:pStyle w:val="Style2"/>
        <w:keepNext w:val="0"/>
        <w:keepLines w:val="0"/>
        <w:framePr w:w="787" w:h="566" w:wrap="none" w:hAnchor="page" w:x="7267" w:y="234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3.994.882,20</w:t>
      </w:r>
    </w:p>
    <w:p>
      <w:pPr>
        <w:pStyle w:val="Style2"/>
        <w:keepNext w:val="0"/>
        <w:keepLines w:val="0"/>
        <w:framePr w:w="787" w:h="566" w:wrap="none" w:hAnchor="page" w:x="7267" w:y="234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0,00</w:t>
      </w:r>
    </w:p>
    <w:p>
      <w:pPr>
        <w:pStyle w:val="Style2"/>
        <w:keepNext w:val="0"/>
        <w:keepLines w:val="0"/>
        <w:framePr w:w="2707" w:h="206" w:wrap="none" w:hAnchor="page" w:x="561" w:y="3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RESULTADO PATRIMONIAL (DÉFICIT)</w:t>
      </w:r>
    </w:p>
    <w:p>
      <w:pPr>
        <w:pStyle w:val="Style2"/>
        <w:keepNext w:val="0"/>
        <w:keepLines w:val="0"/>
        <w:framePr w:w="542" w:h="178" w:wrap="none" w:hAnchor="page" w:x="551" w:y="4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</w:t>
      </w:r>
    </w:p>
    <w:p>
      <w:pPr>
        <w:pStyle w:val="Style17"/>
        <w:keepNext w:val="0"/>
        <w:keepLines w:val="0"/>
        <w:framePr w:w="1531" w:h="494" w:wrap="none" w:hAnchor="page" w:x="3532" w:y="977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8"/>
        </w:rPr>
        <w:t>JORGE ROBERTO LUCAS ' PRESIDENTE</w:t>
      </w:r>
    </w:p>
    <w:p>
      <w:pPr>
        <w:pStyle w:val="Style19"/>
        <w:keepNext w:val="0"/>
        <w:keepLines w:val="0"/>
        <w:framePr w:w="902" w:h="158" w:wrap="none" w:hAnchor="page" w:x="3849" w:y="102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PT" w:eastAsia="pt-PT" w:bidi="pt-PT"/>
        </w:rPr>
        <w:t>192.750.052-49</w:t>
      </w:r>
    </w:p>
    <w:p>
      <w:pPr>
        <w:pStyle w:val="Style2"/>
        <w:keepNext w:val="0"/>
        <w:keepLines w:val="0"/>
        <w:framePr w:w="523" w:h="557" w:wrap="none" w:hAnchor="page" w:x="6254" w:y="3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1.500,00</w:t>
      </w:r>
    </w:p>
    <w:p>
      <w:pPr>
        <w:pStyle w:val="Style2"/>
        <w:keepNext w:val="0"/>
        <w:keepLines w:val="0"/>
        <w:framePr w:w="523" w:h="557" w:wrap="none" w:hAnchor="page" w:x="6254" w:y="307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0,00</w:t>
      </w:r>
    </w:p>
    <w:p>
      <w:pPr>
        <w:pStyle w:val="Style2"/>
        <w:keepNext w:val="0"/>
        <w:keepLines w:val="0"/>
        <w:framePr w:w="523" w:h="557" w:wrap="none" w:hAnchor="page" w:x="6254" w:y="307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37" w:h="562" w:wrap="none" w:hAnchor="page" w:x="7612" w:y="3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37" w:h="562" w:wrap="none" w:hAnchor="page" w:x="7612" w:y="3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953,64</w:t>
      </w:r>
    </w:p>
    <w:p>
      <w:pPr>
        <w:pStyle w:val="Style2"/>
        <w:keepNext w:val="0"/>
        <w:keepLines w:val="0"/>
        <w:framePr w:w="437" w:h="562" w:wrap="none" w:hAnchor="page" w:x="7612" w:y="3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953,64</w:t>
      </w:r>
    </w:p>
    <w:p>
      <w:pPr>
        <w:pStyle w:val="Style2"/>
        <w:keepNext w:val="0"/>
        <w:keepLines w:val="0"/>
        <w:framePr w:w="782" w:h="182" w:wrap="none" w:hAnchor="page" w:x="5990" w:y="3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4.280.359,45</w:t>
      </w:r>
    </w:p>
    <w:p>
      <w:pPr>
        <w:pStyle w:val="Style2"/>
        <w:keepNext w:val="0"/>
        <w:keepLines w:val="0"/>
        <w:framePr w:w="787" w:h="182" w:wrap="none" w:hAnchor="page" w:x="7262" w:y="3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3.995.835,84</w:t>
      </w:r>
    </w:p>
    <w:p>
      <w:pPr>
        <w:pStyle w:val="Style2"/>
        <w:keepNext w:val="0"/>
        <w:keepLines w:val="0"/>
        <w:framePr w:w="610" w:h="182" w:wrap="none" w:hAnchor="page" w:x="6163" w:y="3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59.888,36</w:t>
      </w:r>
    </w:p>
    <w:p>
      <w:pPr>
        <w:pStyle w:val="Style2"/>
        <w:keepNext w:val="0"/>
        <w:keepLines w:val="0"/>
        <w:framePr w:w="773" w:h="178" w:wrap="none" w:hAnchor="page" w:x="5985" w:y="4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4.340.247,81</w:t>
      </w:r>
    </w:p>
    <w:p>
      <w:pPr>
        <w:pStyle w:val="Style2"/>
        <w:keepNext w:val="0"/>
        <w:keepLines w:val="0"/>
        <w:framePr w:w="298" w:h="178" w:wrap="none" w:hAnchor="page" w:x="7751" w:y="40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0,00</w:t>
      </w:r>
    </w:p>
    <w:p>
      <w:pPr>
        <w:pStyle w:val="Style2"/>
        <w:keepNext w:val="0"/>
        <w:keepLines w:val="0"/>
        <w:framePr w:w="787" w:h="182" w:wrap="none" w:hAnchor="page" w:x="7257" w:y="4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3.995.835,84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PESSOAL E ENCARGOS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REMUNERAÇÃO A PESSOAL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ENCARGOS PATRONAIS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OUTRAS VARIAÇÕES PATRIMONIAIS DIMINUTIVAS -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PESSOAL E ENCARGOS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BENEFÍCIOS PREVIDENCIÁRIOS E ASSISTENCIAIS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APOSENTADORIAS E REFORMAS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PENSÕES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USO DE BENS, SERVIÇOS E CONSUMO DE CAPITAL FIXO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USO DE MATERIAL DE CONSUMO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SERVIÇOS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DEPRECIAÇÃO, AMORTIZAÇÃO E EXAUSTÃO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VARIAÇÕES PATRIMONIAIS DIMINUTIVAS FINANCEIRAS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3"/>
        </w:rPr>
        <w:t>JUROS E ENCARGOS DE MORA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OUTRAS VARIAÇÕES PATRIMONIAIS DIMINUTIVAS -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FINANCEIRAS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TRANSFERÊNCIAS E DELEGAÇÕES CONCEDIDAS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TRANSFERÊNCIAS INTRAGOVERNAMENTAIS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TRIBUTÁRIAS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rStyle w:val="CharStyle3"/>
        </w:rPr>
        <w:t>CONTRIBUIÇÕES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OUTRAS VARIAÇÕES PATRIMONIAIS DIMINUTIVAS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both"/>
      </w:pPr>
      <w:r>
        <w:rPr>
          <w:rStyle w:val="CharStyle3"/>
        </w:rPr>
        <w:t>DIVERSAS VARIAÇÕES PATRIMONIAIS DIMINUTIVAS</w:t>
      </w:r>
    </w:p>
    <w:p>
      <w:pPr>
        <w:pStyle w:val="Style2"/>
        <w:keepNext w:val="0"/>
        <w:keepLines w:val="0"/>
        <w:framePr w:w="4075" w:h="4258" w:wrap="none" w:hAnchor="page" w:x="8342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 DAS VARIAÇÕES DIMINUTIVAS</w:t>
      </w:r>
    </w:p>
    <w:p>
      <w:pPr>
        <w:pStyle w:val="Style2"/>
        <w:keepNext w:val="0"/>
        <w:keepLines w:val="0"/>
        <w:framePr w:w="2928" w:h="206" w:wrap="none" w:hAnchor="page" w:x="8347" w:y="6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 xml:space="preserve">RESULTADO PATRIMONIAL </w:t>
      </w:r>
      <w:r>
        <w:rPr>
          <w:rStyle w:val="CharStyle3"/>
          <w:b/>
          <w:bCs/>
          <w:sz w:val="14"/>
          <w:szCs w:val="14"/>
          <w:lang w:val="pt-BR" w:eastAsia="pt-BR" w:bidi="pt-BR"/>
        </w:rPr>
        <w:t>(SUPERÁVIT)</w:t>
      </w:r>
    </w:p>
    <w:p>
      <w:pPr>
        <w:pStyle w:val="Style2"/>
        <w:keepNext w:val="0"/>
        <w:keepLines w:val="0"/>
        <w:framePr w:w="542" w:h="178" w:wrap="none" w:hAnchor="page" w:x="8337" w:y="7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</w:t>
      </w:r>
    </w:p>
    <w:p>
      <w:pPr>
        <w:pStyle w:val="Style19"/>
        <w:keepNext w:val="0"/>
        <w:keepLines w:val="0"/>
        <w:framePr w:w="1805" w:h="158" w:wrap="none" w:hAnchor="page" w:x="10886" w:y="9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  <w:lang w:val="pt-PT" w:eastAsia="pt-PT" w:bidi="pt-PT"/>
        </w:rPr>
        <w:t>MARIA RITA LIMA DE MORAES</w:t>
      </w:r>
    </w:p>
    <w:p>
      <w:pPr>
        <w:pStyle w:val="Style19"/>
        <w:keepNext w:val="0"/>
        <w:keepLines w:val="0"/>
        <w:framePr w:w="744" w:h="158" w:wrap="none" w:hAnchor="page" w:x="11462" w:y="10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PT" w:eastAsia="pt-PT" w:bidi="pt-PT"/>
        </w:rPr>
        <w:t>fONTADORA</w:t>
      </w:r>
    </w:p>
    <w:p>
      <w:pPr>
        <w:pStyle w:val="Style19"/>
        <w:keepNext w:val="0"/>
        <w:keepLines w:val="0"/>
        <w:framePr w:w="1200" w:h="158" w:wrap="none" w:hAnchor="page" w:x="11193" w:y="10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PT" w:eastAsia="pt-PT" w:bidi="pt-PT"/>
        </w:rPr>
        <w:t>CRC/AM 007366/0-8</w:t>
      </w:r>
    </w:p>
    <w:p>
      <w:pPr>
        <w:pStyle w:val="Style2"/>
        <w:keepNext w:val="0"/>
        <w:keepLines w:val="0"/>
        <w:framePr w:w="802" w:h="672" w:wrap="none" w:hAnchor="page" w:x="13723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2.490.706,33</w:t>
      </w:r>
    </w:p>
    <w:p>
      <w:pPr>
        <w:pStyle w:val="Style2"/>
        <w:keepNext w:val="0"/>
        <w:keepLines w:val="0"/>
        <w:framePr w:w="802" w:h="672" w:wrap="none" w:hAnchor="page" w:x="13723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2.195.268,94</w:t>
      </w:r>
    </w:p>
    <w:p>
      <w:pPr>
        <w:pStyle w:val="Style2"/>
        <w:keepNext w:val="0"/>
        <w:keepLines w:val="0"/>
        <w:framePr w:w="802" w:h="672" w:wrap="none" w:hAnchor="page" w:x="13723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286.437,39</w:t>
      </w:r>
    </w:p>
    <w:p>
      <w:pPr>
        <w:pStyle w:val="Style2"/>
        <w:keepNext w:val="0"/>
        <w:keepLines w:val="0"/>
        <w:framePr w:w="802" w:h="672" w:wrap="none" w:hAnchor="page" w:x="13723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9.000,00</w:t>
      </w:r>
    </w:p>
    <w:p>
      <w:pPr>
        <w:pStyle w:val="Style2"/>
        <w:keepNext w:val="0"/>
        <w:keepLines w:val="0"/>
        <w:framePr w:w="787" w:h="1238" w:wrap="none" w:hAnchor="page" w:x="13732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205.707,88</w:t>
      </w:r>
    </w:p>
    <w:p>
      <w:pPr>
        <w:pStyle w:val="Style2"/>
        <w:keepNext w:val="0"/>
        <w:keepLines w:val="0"/>
        <w:framePr w:w="787" w:h="1238" w:wrap="none" w:hAnchor="page" w:x="13732" w:y="323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right"/>
      </w:pPr>
      <w:r>
        <w:rPr>
          <w:rStyle w:val="CharStyle3"/>
        </w:rPr>
        <w:t>205.707,88 0,00</w:t>
      </w:r>
    </w:p>
    <w:p>
      <w:pPr>
        <w:pStyle w:val="Style2"/>
        <w:keepNext w:val="0"/>
        <w:keepLines w:val="0"/>
        <w:framePr w:w="787" w:h="1238" w:wrap="none" w:hAnchor="page" w:x="13732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1.329.577,21</w:t>
      </w:r>
    </w:p>
    <w:p>
      <w:pPr>
        <w:pStyle w:val="Style2"/>
        <w:keepNext w:val="0"/>
        <w:keepLines w:val="0"/>
        <w:framePr w:w="787" w:h="1238" w:wrap="none" w:hAnchor="page" w:x="13732" w:y="323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3"/>
        </w:rPr>
        <w:t>204.436,72</w:t>
      </w:r>
    </w:p>
    <w:p>
      <w:pPr>
        <w:pStyle w:val="Style2"/>
        <w:keepNext w:val="0"/>
        <w:keepLines w:val="0"/>
        <w:framePr w:w="787" w:h="1238" w:wrap="none" w:hAnchor="page" w:x="13732" w:y="323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right"/>
      </w:pPr>
      <w:r>
        <w:rPr>
          <w:rStyle w:val="CharStyle3"/>
        </w:rPr>
        <w:t>1.088.338,79</w:t>
      </w:r>
    </w:p>
    <w:p>
      <w:pPr>
        <w:pStyle w:val="Style2"/>
        <w:keepNext w:val="0"/>
        <w:keepLines w:val="0"/>
        <w:framePr w:w="787" w:h="1238" w:wrap="none" w:hAnchor="page" w:x="13732" w:y="323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right"/>
      </w:pPr>
      <w:r>
        <w:rPr>
          <w:rStyle w:val="CharStyle3"/>
        </w:rPr>
        <w:t>36.801,70</w:t>
      </w:r>
    </w:p>
    <w:p>
      <w:pPr>
        <w:pStyle w:val="Style2"/>
        <w:keepNext w:val="0"/>
        <w:keepLines w:val="0"/>
        <w:framePr w:w="552" w:h="523" w:wrap="none" w:hAnchor="page" w:x="13967" w:y="4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2.163,85</w:t>
      </w:r>
    </w:p>
    <w:p>
      <w:pPr>
        <w:pStyle w:val="Style2"/>
        <w:keepNext w:val="0"/>
        <w:keepLines w:val="0"/>
        <w:framePr w:w="552" w:h="523" w:wrap="none" w:hAnchor="page" w:x="13967" w:y="4503"/>
        <w:widowControl w:val="0"/>
        <w:shd w:val="clear" w:color="auto" w:fill="auto"/>
        <w:bidi w:val="0"/>
        <w:spacing w:before="0" w:after="0" w:line="262" w:lineRule="auto"/>
        <w:ind w:left="0" w:right="0" w:firstLine="260"/>
        <w:jc w:val="left"/>
      </w:pPr>
      <w:r>
        <w:rPr>
          <w:rStyle w:val="CharStyle3"/>
        </w:rPr>
        <w:t>0,00 2 163,85</w:t>
      </w:r>
    </w:p>
    <w:p>
      <w:pPr>
        <w:pStyle w:val="Style2"/>
        <w:keepNext w:val="0"/>
        <w:keepLines w:val="0"/>
        <w:framePr w:w="624" w:h="346" w:wrap="none" w:hAnchor="page" w:x="13895" w:y="5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95.366,99</w:t>
      </w:r>
    </w:p>
    <w:p>
      <w:pPr>
        <w:pStyle w:val="Style2"/>
        <w:keepNext w:val="0"/>
        <w:keepLines w:val="0"/>
        <w:framePr w:w="624" w:h="346" w:wrap="none" w:hAnchor="page" w:x="13895" w:y="5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95.366,99</w:t>
      </w:r>
    </w:p>
    <w:p>
      <w:pPr>
        <w:pStyle w:val="Style2"/>
        <w:keepNext w:val="0"/>
        <w:keepLines w:val="0"/>
        <w:framePr w:w="696" w:h="739" w:wrap="none" w:hAnchor="page" w:x="13823" w:y="5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165,15</w:t>
      </w:r>
    </w:p>
    <w:p>
      <w:pPr>
        <w:pStyle w:val="Style2"/>
        <w:keepNext w:val="0"/>
        <w:keepLines w:val="0"/>
        <w:framePr w:w="696" w:h="739" w:wrap="none" w:hAnchor="page" w:x="13823" w:y="561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165,15</w:t>
      </w:r>
    </w:p>
    <w:p>
      <w:pPr>
        <w:pStyle w:val="Style2"/>
        <w:keepNext w:val="0"/>
        <w:keepLines w:val="0"/>
        <w:framePr w:w="696" w:h="739" w:wrap="none" w:hAnchor="page" w:x="13823" w:y="5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216.560,40</w:t>
      </w:r>
    </w:p>
    <w:p>
      <w:pPr>
        <w:pStyle w:val="Style2"/>
        <w:keepNext w:val="0"/>
        <w:keepLines w:val="0"/>
        <w:framePr w:w="696" w:h="739" w:wrap="none" w:hAnchor="page" w:x="13823" w:y="561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3"/>
        </w:rPr>
        <w:t>216.560,40</w:t>
      </w:r>
    </w:p>
    <w:p>
      <w:pPr>
        <w:pStyle w:val="Style2"/>
        <w:keepNext w:val="0"/>
        <w:keepLines w:val="0"/>
        <w:framePr w:w="773" w:h="178" w:wrap="none" w:hAnchor="page" w:x="13718" w:y="6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4.340.247,81</w:t>
      </w:r>
    </w:p>
    <w:p>
      <w:pPr>
        <w:pStyle w:val="Style2"/>
        <w:keepNext w:val="0"/>
        <w:keepLines w:val="0"/>
        <w:framePr w:w="302" w:h="182" w:wrap="none" w:hAnchor="page" w:x="14203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0,00</w:t>
      </w:r>
    </w:p>
    <w:p>
      <w:pPr>
        <w:pStyle w:val="Style2"/>
        <w:keepNext w:val="0"/>
        <w:keepLines w:val="0"/>
        <w:framePr w:w="778" w:h="178" w:wrap="none" w:hAnchor="page" w:x="13713" w:y="7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4.340.247,81</w:t>
      </w:r>
    </w:p>
    <w:p>
      <w:pPr>
        <w:pStyle w:val="Style2"/>
        <w:keepNext w:val="0"/>
        <w:keepLines w:val="0"/>
        <w:framePr w:w="778" w:h="677" w:wrap="none" w:hAnchor="page" w:x="15148" w:y="2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1.587.923,62</w:t>
      </w:r>
    </w:p>
    <w:p>
      <w:pPr>
        <w:pStyle w:val="Style2"/>
        <w:keepNext w:val="0"/>
        <w:keepLines w:val="0"/>
        <w:framePr w:w="778" w:h="677" w:wrap="none" w:hAnchor="page" w:x="15148" w:y="2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1.398.575,92</w:t>
      </w:r>
    </w:p>
    <w:p>
      <w:pPr>
        <w:pStyle w:val="Style2"/>
        <w:keepNext w:val="0"/>
        <w:keepLines w:val="0"/>
        <w:framePr w:w="778" w:h="677" w:wrap="none" w:hAnchor="page" w:x="15148" w:y="2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189.347,70</w:t>
      </w:r>
    </w:p>
    <w:p>
      <w:pPr>
        <w:pStyle w:val="Style2"/>
        <w:keepNext w:val="0"/>
        <w:keepLines w:val="0"/>
        <w:framePr w:w="778" w:h="677" w:wrap="none" w:hAnchor="page" w:x="15148" w:y="2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161.381,88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161.381,88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2.139.646,64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460.184,62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1.665.488,93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3"/>
        </w:rPr>
        <w:t>13.973,09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9.982,72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9.982,72</w:t>
      </w:r>
    </w:p>
    <w:p>
      <w:pPr>
        <w:pStyle w:val="Style2"/>
        <w:keepNext w:val="0"/>
        <w:keepLines w:val="0"/>
        <w:framePr w:w="797" w:h="1776" w:wrap="none" w:hAnchor="page" w:x="15134" w:y="3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298" w:h="346" w:wrap="none" w:hAnchor="page" w:x="15628" w:y="5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0,00</w:t>
      </w:r>
    </w:p>
    <w:p>
      <w:pPr>
        <w:pStyle w:val="Style2"/>
        <w:keepNext w:val="0"/>
        <w:keepLines w:val="0"/>
        <w:framePr w:w="298" w:h="346" w:wrap="none" w:hAnchor="page" w:x="15628" w:y="5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42" w:h="734" w:wrap="none" w:hAnchor="page" w:x="15484" w:y="5617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0,00</w:t>
      </w:r>
    </w:p>
    <w:p>
      <w:pPr>
        <w:pStyle w:val="Style2"/>
        <w:keepNext w:val="0"/>
        <w:keepLines w:val="0"/>
        <w:framePr w:w="442" w:h="734" w:wrap="none" w:hAnchor="page" w:x="15484" w:y="5617"/>
        <w:widowControl w:val="0"/>
        <w:shd w:val="clear" w:color="auto" w:fill="auto"/>
        <w:bidi w:val="0"/>
        <w:spacing w:before="0" w:after="60" w:line="240" w:lineRule="auto"/>
        <w:ind w:left="0" w:right="0" w:firstLine="14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442" w:h="734" w:wrap="none" w:hAnchor="page" w:x="15484" w:y="5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953,64</w:t>
      </w:r>
    </w:p>
    <w:p>
      <w:pPr>
        <w:pStyle w:val="Style2"/>
        <w:keepNext w:val="0"/>
        <w:keepLines w:val="0"/>
        <w:framePr w:w="442" w:h="734" w:wrap="none" w:hAnchor="page" w:x="15484" w:y="561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953,64</w:t>
      </w:r>
    </w:p>
    <w:p>
      <w:pPr>
        <w:pStyle w:val="Style2"/>
        <w:keepNext w:val="0"/>
        <w:keepLines w:val="0"/>
        <w:framePr w:w="797" w:h="178" w:wrap="none" w:hAnchor="page" w:x="15129" w:y="6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3.899.888,50</w:t>
      </w:r>
    </w:p>
    <w:p>
      <w:pPr>
        <w:pStyle w:val="Style2"/>
        <w:keepNext w:val="0"/>
        <w:keepLines w:val="0"/>
        <w:framePr w:w="614" w:h="178" w:wrap="none" w:hAnchor="page" w:x="15311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95.947,34</w:t>
      </w:r>
    </w:p>
    <w:p>
      <w:pPr>
        <w:pStyle w:val="Style2"/>
        <w:keepNext w:val="0"/>
        <w:keepLines w:val="0"/>
        <w:framePr w:w="797" w:h="182" w:wrap="none" w:hAnchor="page" w:x="15129" w:y="70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3.995.835,84</w:t>
      </w:r>
    </w:p>
    <w:p>
      <w:pPr>
        <w:widowControl w:val="0"/>
        <w:spacing w:line="360" w:lineRule="exact"/>
      </w:pPr>
      <w:r>
        <w:drawing>
          <wp:anchor distT="0" distB="304800" distL="149225" distR="0" simplePos="0" relativeHeight="62914690" behindDoc="1" locked="0" layoutInCell="1" allowOverlap="1">
            <wp:simplePos x="0" y="0"/>
            <wp:positionH relativeFrom="page">
              <wp:posOffset>2391410</wp:posOffset>
            </wp:positionH>
            <wp:positionV relativeFrom="margin">
              <wp:posOffset>5584190</wp:posOffset>
            </wp:positionV>
            <wp:extent cx="1316990" cy="6337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16990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56" w:right="901" w:bottom="605" w:left="459" w:header="228" w:footer="177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Style w:val="CharStyle5"/>
          <w:b/>
          <w:bCs/>
        </w:rPr>
        <w:t>CAMARA MUNICIPAL DE SAO PAULO DE OLIVENÇA</w:t>
      </w:r>
      <w:bookmarkEnd w:id="4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7"/>
          <w:b/>
          <w:bCs/>
        </w:rPr>
        <w:t>ANEXO 15 - VARIAÇÕES PATRIMONIAIS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287655</wp:posOffset>
                </wp:positionH>
                <wp:positionV relativeFrom="paragraph">
                  <wp:posOffset>38100</wp:posOffset>
                </wp:positionV>
                <wp:extent cx="694690" cy="10985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Exercício de 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2.650000000000002pt;margin-top:3.pt;width:54.700000000000003pt;height:8.650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Exercício de 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9758045</wp:posOffset>
                </wp:positionH>
                <wp:positionV relativeFrom="paragraph">
                  <wp:posOffset>25400</wp:posOffset>
                </wp:positionV>
                <wp:extent cx="311150" cy="13081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Pàg :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68.35000000000002pt;margin-top:2.pt;width:24.5pt;height:10.3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Pàg : 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9"/>
          <w:lang w:val="pt-BR" w:eastAsia="pt-BR" w:bidi="pt-BR"/>
        </w:rPr>
        <w:t>Dezembro(31/12/2025)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3"/>
          <w:u w:val="none"/>
          <w:lang w:val="pt-BR" w:eastAsia="pt-BR" w:bidi="pt-BR"/>
        </w:rPr>
        <w:t>ISOLADO:2 - CAMARA MUNICIPAL DE SAO PAULO DE OLIVENÇA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3"/>
          <w:b/>
          <w:bCs/>
          <w:sz w:val="18"/>
          <w:szCs w:val="18"/>
          <w:u w:val="none"/>
          <w:lang w:val="pt-BR" w:eastAsia="pt-BR" w:bidi="pt-BR"/>
        </w:rPr>
        <w:t>VARIAÇÕES PATRIMONIAIS QUALITATIVAS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360"/>
        <w:jc w:val="lef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64" w:right="2832" w:bottom="571" w:left="2297" w:header="236" w:footer="143" w:gutter="0"/>
          <w:cols w:space="720"/>
          <w:noEndnote/>
          <w:rtlGutter w:val="0"/>
          <w:docGrid w:linePitch="360"/>
        </w:sectPr>
      </w:pPr>
      <w:r>
        <w:rPr>
          <w:rStyle w:val="CharStyle3"/>
          <w:lang w:val="pt-BR" w:eastAsia="pt-BR" w:bidi="pt-BR"/>
        </w:rPr>
        <w:t>(DECORRENTES DA EXECUÇÃO ORÇAMENTÁRIA)</w:t>
      </w:r>
    </w:p>
    <w:p>
      <w:pPr>
        <w:pStyle w:val="Style2"/>
        <w:keepNext w:val="0"/>
        <w:keepLines w:val="0"/>
        <w:framePr w:w="2006" w:h="648" w:wrap="none" w:vAnchor="text" w:hAnchor="page" w:x="522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ESPECIFICAÇÃO</w:t>
      </w:r>
    </w:p>
    <w:p>
      <w:pPr>
        <w:pStyle w:val="Style2"/>
        <w:keepNext w:val="0"/>
        <w:keepLines w:val="0"/>
        <w:framePr w:w="2006" w:h="648" w:wrap="none" w:vAnchor="text" w:hAnchor="page" w:x="522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  <w:lang w:val="pt-BR" w:eastAsia="pt-BR" w:bidi="pt-BR"/>
        </w:rPr>
        <w:t>INCORPORAÇÃO DE ATIVO</w:t>
      </w:r>
    </w:p>
    <w:p>
      <w:pPr>
        <w:pStyle w:val="Style2"/>
        <w:keepNext w:val="0"/>
        <w:keepLines w:val="0"/>
        <w:framePr w:w="2006" w:h="648" w:wrap="none" w:vAnchor="text" w:hAnchor="page" w:x="522" w:y="21"/>
        <w:widowControl w:val="0"/>
        <w:shd w:val="clear" w:color="auto" w:fill="auto"/>
        <w:bidi w:val="0"/>
        <w:spacing w:before="0" w:after="60" w:line="240" w:lineRule="auto"/>
        <w:ind w:left="0" w:right="0" w:firstLine="160"/>
        <w:jc w:val="left"/>
      </w:pPr>
      <w:r>
        <w:rPr>
          <w:rStyle w:val="CharStyle3"/>
          <w:lang w:val="pt-BR" w:eastAsia="pt-BR" w:bidi="pt-BR"/>
        </w:rPr>
        <w:t>INVESTIMENTOS</w:t>
      </w:r>
    </w:p>
    <w:p>
      <w:pPr>
        <w:pStyle w:val="Style2"/>
        <w:keepNext w:val="0"/>
        <w:keepLines w:val="0"/>
        <w:framePr w:w="331" w:h="178" w:wrap="none" w:vAnchor="text" w:hAnchor="page" w:x="494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Nota</w:t>
      </w:r>
    </w:p>
    <w:p>
      <w:pPr>
        <w:pStyle w:val="Style2"/>
        <w:keepNext w:val="0"/>
        <w:keepLines w:val="0"/>
        <w:framePr w:w="907" w:h="178" w:wrap="none" w:vAnchor="text" w:hAnchor="page" w:x="562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Exercício Atual</w:t>
      </w:r>
    </w:p>
    <w:p>
      <w:pPr>
        <w:pStyle w:val="Style2"/>
        <w:keepNext w:val="0"/>
        <w:keepLines w:val="0"/>
        <w:framePr w:w="1085" w:h="173" w:wrap="none" w:vAnchor="text" w:hAnchor="page" w:x="695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Exercício Anterior</w:t>
      </w:r>
    </w:p>
    <w:p>
      <w:pPr>
        <w:pStyle w:val="Style2"/>
        <w:keepNext w:val="0"/>
        <w:keepLines w:val="0"/>
        <w:framePr w:w="614" w:h="379" w:wrap="none" w:vAnchor="text" w:hAnchor="page" w:x="6162" w:y="2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  <w:lang w:val="pt-BR" w:eastAsia="pt-BR" w:bidi="pt-BR"/>
        </w:rPr>
        <w:t>65.397,00</w:t>
      </w:r>
    </w:p>
    <w:p>
      <w:pPr>
        <w:pStyle w:val="Style2"/>
        <w:keepNext w:val="0"/>
        <w:keepLines w:val="0"/>
        <w:framePr w:w="614" w:h="379" w:wrap="none" w:vAnchor="text" w:hAnchor="page" w:x="6162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65.397,00</w:t>
      </w:r>
    </w:p>
    <w:p>
      <w:pPr>
        <w:pStyle w:val="Style2"/>
        <w:keepNext w:val="0"/>
        <w:keepLines w:val="0"/>
        <w:framePr w:w="302" w:h="379" w:wrap="none" w:vAnchor="text" w:hAnchor="page" w:x="7755" w:y="2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  <w:lang w:val="pt-BR" w:eastAsia="pt-BR" w:bidi="pt-BR"/>
        </w:rPr>
        <w:t>0,00</w:t>
      </w:r>
    </w:p>
    <w:p>
      <w:pPr>
        <w:pStyle w:val="Style2"/>
        <w:keepNext w:val="0"/>
        <w:keepLines w:val="0"/>
        <w:framePr w:w="302" w:h="379" w:wrap="none" w:vAnchor="text" w:hAnchor="page" w:x="7755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0,00</w:t>
      </w: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664" w:right="983" w:bottom="571" w:left="45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664" w:right="0" w:bottom="57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2238375</wp:posOffset>
                </wp:positionH>
                <wp:positionV relativeFrom="paragraph">
                  <wp:posOffset>12700</wp:posOffset>
                </wp:positionV>
                <wp:extent cx="966470" cy="29845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0"/>
                              </w:rPr>
                              <w:t>JORGE ROBERTO LUCAS</w:t>
                              <w:br/>
                              <w:t>PRESIDENTE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76.25pt;margin-top:1.pt;width:76.100000000000009pt;height:23.5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0"/>
                        </w:rPr>
                        <w:t>JORGE ROBERTO LUCAS</w:t>
                        <w:br/>
                        <w:t>PRESIDENTE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2439670</wp:posOffset>
                </wp:positionH>
                <wp:positionV relativeFrom="paragraph">
                  <wp:posOffset>301625</wp:posOffset>
                </wp:positionV>
                <wp:extent cx="567055" cy="1003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705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192.750 052-49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92.09999999999999pt;margin-top:23.75pt;width:44.649999999999999pt;height:7.9000000000000004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192.750 052-49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MARIA RlWuMA DE MORAES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5980" w:right="0" w:firstLine="0"/>
        <w:jc w:val="left"/>
      </w:pPr>
      <w:r>
        <w:rPr>
          <w:rStyle w:val="CharStyle20"/>
        </w:rPr>
        <w:t>&lt;C^NTADORA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32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664" w:right="4367" w:bottom="571" w:left="5047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</w:rPr>
        <w:t>CRC/AM 007366/0-8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8" w:name="bookmark8"/>
      <w:r>
        <w:rPr>
          <w:rStyle w:val="CharStyle25"/>
          <w:b/>
          <w:bCs/>
        </w:rPr>
        <w:t>NOTAS EXPLICATIVAS DAS DEMONSTRAÇÕES</w:t>
        <w:br/>
      </w:r>
      <w:r>
        <w:rPr>
          <w:rStyle w:val="CharStyle25"/>
          <w:b/>
          <w:bCs/>
          <w:lang w:val="pt-BR" w:eastAsia="pt-BR" w:bidi="pt-BR"/>
        </w:rPr>
        <w:t xml:space="preserve">CONTÁBEIS </w:t>
      </w:r>
      <w:r>
        <w:rPr>
          <w:rStyle w:val="CharStyle25"/>
          <w:b/>
          <w:bCs/>
        </w:rPr>
        <w:t>DO EXERCÍCIO FINANCEIRO DE 2025</w:t>
      </w:r>
      <w:bookmarkEnd w:id="8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bookmarkStart w:id="10" w:name="bookmark10"/>
      <w:r>
        <w:rPr>
          <w:rStyle w:val="CharStyle7"/>
          <w:b/>
          <w:bCs/>
        </w:rPr>
        <w:t xml:space="preserve">I - </w:t>
      </w:r>
      <w:r>
        <w:rPr>
          <w:rStyle w:val="CharStyle7"/>
          <w:b/>
          <w:bCs/>
          <w:lang w:val="pt-PT" w:eastAsia="pt-PT" w:bidi="pt-PT"/>
        </w:rPr>
        <w:t>CONTEXTO OPERACIONAL DAS DEMONSTRAÇÕES:</w:t>
      </w:r>
      <w:bookmarkEnd w:id="1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88" w:lineRule="auto"/>
        <w:ind w:left="0" w:right="0" w:firstLine="1700"/>
        <w:jc w:val="both"/>
      </w:pPr>
      <w:r>
        <w:rPr>
          <w:rStyle w:val="CharStyle9"/>
        </w:rPr>
        <w:t>Para exercer sua função, a Câmara Municipal necessita de recursos financeiros que garantam sua real independência.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9"/>
        </w:rPr>
        <w:t xml:space="preserve">O orçamento da Edilidade é determinado anualmente pela Lei </w:t>
      </w:r>
      <w:r>
        <w:rPr>
          <w:rStyle w:val="CharStyle9"/>
          <w:lang w:val="pt-BR" w:eastAsia="pt-BR" w:bidi="pt-BR"/>
        </w:rPr>
        <w:t xml:space="preserve">Orçamentária </w:t>
      </w:r>
      <w:r>
        <w:rPr>
          <w:rStyle w:val="CharStyle9"/>
        </w:rPr>
        <w:t>do Município, que prevê os recursos disponíveis para a cidade e fixa como esses recursos serão distribuídos e gastos, ou seja, o orçamento do Legislativo é uma parte desse total.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9"/>
        </w:rPr>
        <w:t xml:space="preserve">No </w:t>
      </w:r>
      <w:r>
        <w:rPr>
          <w:rStyle w:val="CharStyle9"/>
          <w:lang w:val="pt-BR" w:eastAsia="pt-BR" w:bidi="pt-BR"/>
        </w:rPr>
        <w:t xml:space="preserve">fim </w:t>
      </w:r>
      <w:r>
        <w:rPr>
          <w:rStyle w:val="CharStyle9"/>
        </w:rPr>
        <w:t xml:space="preserve">do exercício, que corresponde ao período de janeiro a dezembro, a Câmara Municipal deve elaborar suas </w:t>
      </w:r>
      <w:r>
        <w:rPr>
          <w:rStyle w:val="CharStyle9"/>
          <w:lang w:val="pt-BR" w:eastAsia="pt-BR" w:bidi="pt-BR"/>
        </w:rPr>
        <w:t xml:space="preserve">respectivas </w:t>
      </w:r>
      <w:r>
        <w:rPr>
          <w:rStyle w:val="CharStyle9"/>
        </w:rPr>
        <w:t xml:space="preserve">Demonstrações </w:t>
      </w:r>
      <w:r>
        <w:rPr>
          <w:rStyle w:val="CharStyle9"/>
          <w:lang w:val="pt-BR" w:eastAsia="pt-BR" w:bidi="pt-BR"/>
        </w:rPr>
        <w:t>Contábeis.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9"/>
        </w:rPr>
        <w:t xml:space="preserve">O objetivo principal das Notas Explicativas </w:t>
      </w:r>
      <w:r>
        <w:rPr>
          <w:rStyle w:val="CharStyle9"/>
          <w:lang w:val="pt-BR" w:eastAsia="pt-BR" w:bidi="pt-BR"/>
        </w:rPr>
        <w:t xml:space="preserve">às </w:t>
      </w:r>
      <w:r>
        <w:rPr>
          <w:rStyle w:val="CharStyle9"/>
        </w:rPr>
        <w:t xml:space="preserve">Demonstrações </w:t>
      </w:r>
      <w:r>
        <w:rPr>
          <w:rStyle w:val="CharStyle9"/>
          <w:lang w:val="pt-BR" w:eastAsia="pt-BR" w:bidi="pt-BR"/>
        </w:rPr>
        <w:t xml:space="preserve">Contábeis </w:t>
      </w:r>
      <w:r>
        <w:rPr>
          <w:rStyle w:val="CharStyle9"/>
        </w:rPr>
        <w:t>é fornecer, aos diversos usuários, informações sobre a situação económico-financeira da entidade, a sua situação patrimonial, o seu desempenho e os seus fluxos de caixa; contribuindo, dessa forma, na prestação de contas à sociedade.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9"/>
        </w:rPr>
        <w:t xml:space="preserve">As demonstrações </w:t>
      </w:r>
      <w:r>
        <w:rPr>
          <w:rStyle w:val="CharStyle9"/>
          <w:lang w:val="pt-BR" w:eastAsia="pt-BR" w:bidi="pt-BR"/>
        </w:rPr>
        <w:t xml:space="preserve">contábeis </w:t>
      </w:r>
      <w:r>
        <w:rPr>
          <w:rStyle w:val="CharStyle9"/>
        </w:rPr>
        <w:t xml:space="preserve">foram elaboradas a partir da escrituração </w:t>
      </w:r>
      <w:r>
        <w:rPr>
          <w:rStyle w:val="CharStyle9"/>
          <w:lang w:val="pt-BR" w:eastAsia="pt-BR" w:bidi="pt-BR"/>
        </w:rPr>
        <w:t xml:space="preserve">contábil </w:t>
      </w:r>
      <w:r>
        <w:rPr>
          <w:rStyle w:val="CharStyle9"/>
        </w:rPr>
        <w:t xml:space="preserve">por meio de classes de contas de natureza patrimonial, </w:t>
      </w:r>
      <w:r>
        <w:rPr>
          <w:rStyle w:val="CharStyle9"/>
          <w:lang w:val="pt-BR" w:eastAsia="pt-BR" w:bidi="pt-BR"/>
        </w:rPr>
        <w:t xml:space="preserve">orçamentária </w:t>
      </w:r>
      <w:r>
        <w:rPr>
          <w:rStyle w:val="CharStyle9"/>
        </w:rPr>
        <w:t xml:space="preserve">e de controle/compensação, visando evidenciar os fatos ligados à administração </w:t>
      </w:r>
      <w:r>
        <w:rPr>
          <w:rStyle w:val="CharStyle9"/>
          <w:lang w:val="pt-BR" w:eastAsia="pt-BR" w:bidi="pt-BR"/>
        </w:rPr>
        <w:t xml:space="preserve">orçamentária, </w:t>
      </w:r>
      <w:r>
        <w:rPr>
          <w:rStyle w:val="CharStyle9"/>
        </w:rPr>
        <w:t>financeira e patrimonial, em conformidade com os dispositivos previstos na Lei Federal 4.320/64, na Lei Complementar 101/2000, nas legislações municipal de planejamento, nas orientação previstas no Manual de Contabilidade Aplicada ao Setor Público - MCASP, 10</w:t>
      </w:r>
      <w:r>
        <w:rPr>
          <w:rStyle w:val="CharStyle9"/>
          <w:vertAlign w:val="superscript"/>
        </w:rPr>
        <w:t>a</w:t>
      </w:r>
      <w:r>
        <w:rPr>
          <w:rStyle w:val="CharStyle9"/>
        </w:rPr>
        <w:t xml:space="preserve"> edição publicado pela Secretaria do Tesouro Nacional, bem como das Normas Brasileiras de Contabilidade Aplicadas ao Setor Público (NBCT 16) e outras normas que regulam o assunto.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9"/>
        </w:rPr>
        <w:t xml:space="preserve">Todos os registros </w:t>
      </w:r>
      <w:r>
        <w:rPr>
          <w:rStyle w:val="CharStyle9"/>
          <w:lang w:val="pt-BR" w:eastAsia="pt-BR" w:bidi="pt-BR"/>
        </w:rPr>
        <w:t xml:space="preserve">contábeis </w:t>
      </w:r>
      <w:r>
        <w:rPr>
          <w:rStyle w:val="CharStyle9"/>
        </w:rPr>
        <w:t>do exercício de 2025 foram realizados por meio de sistema informatizado e integrado e adequado ao novo PCASP - Plano de Contas Aplicado ao Setor Público.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1700"/>
        <w:jc w:val="both"/>
      </w:pPr>
      <w:r>
        <w:rPr>
          <w:rStyle w:val="CharStyle9"/>
        </w:rPr>
        <w:t>Assim, o montante da receita escriturada considera apenas aquelas arrecadadas no exercício financeiro de 2025 e com relação à despesa empenhada, os números expressam os lançamentos ocorridos no período de I</w:t>
      </w:r>
      <w:r>
        <w:rPr>
          <w:rStyle w:val="CharStyle9"/>
          <w:vertAlign w:val="superscript"/>
        </w:rPr>
        <w:t>o</w:t>
      </w:r>
      <w:r>
        <w:rPr>
          <w:rStyle w:val="CharStyle9"/>
        </w:rPr>
        <w:t xml:space="preserve"> de janeiro a 31 de dezembro de 2025.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bookmarkStart w:id="12" w:name="bookmark12"/>
      <w:r>
        <w:rPr>
          <w:rStyle w:val="CharStyle7"/>
          <w:b/>
          <w:bCs/>
          <w:lang w:val="pt-PT" w:eastAsia="pt-PT" w:bidi="pt-PT"/>
        </w:rPr>
        <w:t xml:space="preserve">II - APRESENTAÇÃO DAS DEMONSTRAÇÕES </w:t>
      </w:r>
      <w:r>
        <w:rPr>
          <w:rStyle w:val="CharStyle7"/>
          <w:b/>
          <w:bCs/>
        </w:rPr>
        <w:t>CONTÁBEIS:</w:t>
      </w:r>
      <w:bookmarkEnd w:id="1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9"/>
        </w:rPr>
        <w:t xml:space="preserve">As demonstrações </w:t>
      </w:r>
      <w:r>
        <w:rPr>
          <w:rStyle w:val="CharStyle9"/>
          <w:lang w:val="pt-BR" w:eastAsia="pt-BR" w:bidi="pt-BR"/>
        </w:rPr>
        <w:t xml:space="preserve">contábeis </w:t>
      </w:r>
      <w:r>
        <w:rPr>
          <w:rStyle w:val="CharStyle9"/>
        </w:rPr>
        <w:t>do exercício financeiro de 2025 foram escrituradas em conformidade com a Lei 4320, de 17 de março de 1964, com o Plano de Contas Aplicado ao Setor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9"/>
          <w:lang w:val="pt-BR" w:eastAsia="pt-BR" w:bidi="pt-BR"/>
        </w:rPr>
        <w:t>Público, com as disposições do Manual de Contabilidade Aplicada ao Setor Público - MCASP, 10</w:t>
      </w:r>
      <w:r>
        <w:rPr>
          <w:rStyle w:val="CharStyle9"/>
          <w:vertAlign w:val="superscript"/>
          <w:lang w:val="pt-BR" w:eastAsia="pt-BR" w:bidi="pt-BR"/>
        </w:rPr>
        <w:t xml:space="preserve">a </w:t>
      </w:r>
      <w:r>
        <w:rPr>
          <w:rStyle w:val="CharStyle9"/>
          <w:lang w:val="pt-BR" w:eastAsia="pt-BR" w:bidi="pt-BR"/>
        </w:rPr>
        <w:t>edição publicado pela Secretaria do Tesouro Nacional, com as Normas Brasileiras de Contabilidade, em especial a NBCT 16 que trata da Contabilidade Aplicada ao Setor Público e com as normas contidas na Lei Complementar Estadual 6, de 22 de janeiro de 1991 e na Resolução TCE/AM 6, de 22 de julho de 2009.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1700"/>
        <w:jc w:val="both"/>
      </w:pPr>
      <w:r>
        <w:rPr>
          <w:rStyle w:val="CharStyle9"/>
          <w:lang w:val="pt-BR" w:eastAsia="pt-BR" w:bidi="pt-BR"/>
        </w:rPr>
        <w:t xml:space="preserve">Os registros contábeis foram processados por meio de sistema de informática, considerando o exercício econômico o </w:t>
      </w:r>
      <w:r>
        <w:rPr>
          <w:rStyle w:val="CharStyle9"/>
        </w:rPr>
        <w:t xml:space="preserve">ano-calendário </w:t>
      </w:r>
      <w:r>
        <w:rPr>
          <w:rStyle w:val="CharStyle9"/>
          <w:lang w:val="pt-BR" w:eastAsia="pt-BR" w:bidi="pt-BR"/>
        </w:rPr>
        <w:t>de 2025.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1700"/>
        <w:jc w:val="both"/>
      </w:pPr>
      <w:r>
        <w:rPr>
          <w:rStyle w:val="CharStyle9"/>
          <w:lang w:val="pt-BR" w:eastAsia="pt-BR" w:bidi="pt-BR"/>
        </w:rPr>
        <w:t>As Demonstrações Contábeis da Câmara de São Paulo de Olivença e suas respectivas notas explicativas estão apresentadas com valores expressos em reais.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0" w:line="240" w:lineRule="auto"/>
        <w:ind w:left="1700" w:right="0" w:firstLine="0"/>
        <w:jc w:val="both"/>
      </w:pPr>
      <w:bookmarkStart w:id="14" w:name="bookmark14"/>
      <w:r>
        <w:rPr>
          <w:rStyle w:val="CharStyle7"/>
          <w:b/>
          <w:bCs/>
        </w:rPr>
        <w:t>III - NOTA EXPLICATIVA DAS VARIAÇÕES PATRIMONIAIS</w:t>
      </w:r>
      <w:bookmarkEnd w:id="14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80" w:line="240" w:lineRule="auto"/>
        <w:ind w:left="1700" w:right="0" w:firstLine="0"/>
        <w:jc w:val="both"/>
      </w:pPr>
      <w:bookmarkStart w:id="16" w:name="bookmark16"/>
      <w:r>
        <w:rPr>
          <w:rStyle w:val="CharStyle7"/>
          <w:b/>
          <w:bCs/>
        </w:rPr>
        <w:t>1. CRITÉRIOS CONTÁBEIS ADOTADOS:</w:t>
      </w:r>
      <w:bookmarkEnd w:id="1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9"/>
          <w:lang w:val="pt-BR" w:eastAsia="pt-BR" w:bidi="pt-BR"/>
        </w:rPr>
        <w:t>A Demonstração das Variações Patrimoniais - DVP - Anexo XV - evidencia as alterações ocorridas no patrimônio do Município durante o exercício financeiro, resultantes ou independentes da execução orçamentária. A DVP revela o Resultado Patrimonial, que pode ser positivo ou negativo, dependendo do resultado líquido das variações positivas e negativas.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9"/>
          <w:lang w:val="pt-BR" w:eastAsia="pt-BR" w:bidi="pt-BR"/>
        </w:rPr>
        <w:t>A Demonstração das Variações Patrimoniais está prevista no art. 104 e Anexo 15 da Lei Federal 4.320/64.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9"/>
          <w:lang w:val="pt-BR" w:eastAsia="pt-BR" w:bidi="pt-BR"/>
        </w:rPr>
        <w:t>Com o advento das NBCASP - Normas Brasileiras de Contabilidade Aplicadas ao Setor Público, e de acordo com o MCASP - Manual de Contabilidade Aplicada ao Setor Público da STN - Secretaria do Tesouro Nacional, o referido demonstrativo sofreu algumas alterações para o exercício de 2022 em diante, de forma a evidenciar as variações patrimoniais quantitativas e qualitativas.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 w:firstLine="1700"/>
        <w:jc w:val="both"/>
      </w:pPr>
      <w:r>
        <w:rPr>
          <w:rStyle w:val="CharStyle9"/>
          <w:lang w:val="pt-BR" w:eastAsia="pt-BR" w:bidi="pt-BR"/>
        </w:rPr>
        <w:t>As variações patrimoniais são transações que promovem alterações nos elementos patrimoniais da entidade do setor público, mesmo em caráter compensatório, afetando ou não o seu resultado.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9"/>
          <w:lang w:val="pt-BR" w:eastAsia="pt-BR" w:bidi="pt-BR"/>
        </w:rPr>
        <w:t xml:space="preserve">Entende-se por variações patrimoniais quantitativas aquelas decorrentes de transações no setor público que aumentam ou diminuem o patrimônio líquido, e são divididas em Variações Patrimoniais </w:t>
      </w:r>
      <w:r>
        <w:rPr>
          <w:rStyle w:val="CharStyle9"/>
        </w:rPr>
        <w:t xml:space="preserve">Aumentativas </w:t>
      </w:r>
      <w:r>
        <w:rPr>
          <w:rStyle w:val="CharStyle9"/>
          <w:lang w:val="pt-BR" w:eastAsia="pt-BR" w:bidi="pt-BR"/>
        </w:rPr>
        <w:t xml:space="preserve">e </w:t>
      </w:r>
      <w:r>
        <w:rPr>
          <w:rStyle w:val="CharStyle9"/>
        </w:rPr>
        <w:t>Diminutivas.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1700"/>
        <w:jc w:val="both"/>
      </w:pPr>
      <w:r>
        <w:rPr>
          <w:rStyle w:val="CharStyle9"/>
          <w:lang w:val="pt-BR" w:eastAsia="pt-BR" w:bidi="pt-BR"/>
        </w:rPr>
        <w:t xml:space="preserve">As </w:t>
      </w:r>
      <w:r>
        <w:rPr>
          <w:rStyle w:val="CharStyle9"/>
          <w:b/>
          <w:bCs/>
          <w:lang w:val="pt-BR" w:eastAsia="pt-BR" w:bidi="pt-BR"/>
        </w:rPr>
        <w:t xml:space="preserve">VARIAÇÕES PATRIMONIAIS </w:t>
      </w:r>
      <w:r>
        <w:rPr>
          <w:rStyle w:val="CharStyle9"/>
          <w:b/>
          <w:bCs/>
        </w:rPr>
        <w:t xml:space="preserve">AUMENTATIVAS </w:t>
      </w:r>
      <w:r>
        <w:rPr>
          <w:rStyle w:val="CharStyle9"/>
          <w:b/>
          <w:bCs/>
          <w:lang w:val="pt-BR" w:eastAsia="pt-BR" w:bidi="pt-BR"/>
        </w:rPr>
        <w:t xml:space="preserve">(VPA) </w:t>
      </w:r>
      <w:r>
        <w:rPr>
          <w:rStyle w:val="CharStyle9"/>
          <w:lang w:val="pt-BR" w:eastAsia="pt-BR" w:bidi="pt-BR"/>
        </w:rPr>
        <w:t>são aquelas que refletem no patrimônio líquido aumentando-o (receita sob o enfoque patrimonial)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9"/>
          <w:lang w:val="pt-BR" w:eastAsia="pt-BR" w:bidi="pt-BR"/>
        </w:rPr>
        <w:t xml:space="preserve">A VPA é composta pelas Transferências e Delegações Recebidas, que compreendem os repasses para o Poder Legislativo e somam </w:t>
      </w:r>
      <w:r>
        <w:rPr>
          <w:rStyle w:val="CharStyle9"/>
          <w:b/>
          <w:bCs/>
          <w:lang w:val="pt-BR" w:eastAsia="pt-BR" w:bidi="pt-BR"/>
        </w:rPr>
        <w:t>R$ 4.278.859,45 (Quatro milhões, duzentos e setenta oito mil, oitocentos e cinquenta e noves reais e quarenta e cinco centavos).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1700"/>
        <w:jc w:val="both"/>
      </w:pPr>
      <w:r>
        <w:rPr>
          <w:rStyle w:val="CharStyle9"/>
        </w:rPr>
        <w:t xml:space="preserve">As </w:t>
      </w:r>
      <w:r>
        <w:rPr>
          <w:rStyle w:val="CharStyle9"/>
          <w:b/>
          <w:bCs/>
        </w:rPr>
        <w:t xml:space="preserve">VARIAÇÕES PATRIMONIAIS DIMINUTIVAS (VPD) </w:t>
      </w:r>
      <w:r>
        <w:rPr>
          <w:rStyle w:val="CharStyle9"/>
        </w:rPr>
        <w:t xml:space="preserve">são aquelas que refletem no </w:t>
      </w:r>
      <w:r>
        <w:rPr>
          <w:rStyle w:val="CharStyle9"/>
          <w:lang w:val="pt-BR" w:eastAsia="pt-BR" w:bidi="pt-BR"/>
        </w:rPr>
        <w:t xml:space="preserve">patrimônio </w:t>
      </w:r>
      <w:r>
        <w:rPr>
          <w:rStyle w:val="CharStyle9"/>
        </w:rPr>
        <w:t>líquido diminuindo-o (despesa sob o enfoque patrimonial).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9"/>
        </w:rPr>
        <w:t xml:space="preserve">As Variações Patrimoniais Diminutivas somam </w:t>
      </w:r>
      <w:r>
        <w:rPr>
          <w:rStyle w:val="CharStyle9"/>
          <w:b/>
          <w:bCs/>
        </w:rPr>
        <w:t xml:space="preserve">RS 4.340.247,81 (Quatro milhões, trezentos e quarenta mil, duzentos e quarenta e sete reais e oitenta e um centavos), </w:t>
      </w:r>
      <w:r>
        <w:rPr>
          <w:rStyle w:val="CharStyle9"/>
        </w:rPr>
        <w:t xml:space="preserve">com o seguinte </w:t>
      </w:r>
      <w:r>
        <w:rPr>
          <w:rStyle w:val="CharStyle9"/>
          <w:lang w:val="pt-BR" w:eastAsia="pt-BR" w:bidi="pt-BR"/>
        </w:rPr>
        <w:t>detalhamento: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leader="underscore" w:pos="3523" w:val="left"/>
        </w:tabs>
        <w:bidi w:val="0"/>
        <w:spacing w:before="0" w:after="0" w:line="252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6140450</wp:posOffset>
                </wp:positionH>
                <wp:positionV relativeFrom="paragraph">
                  <wp:posOffset>12700</wp:posOffset>
                </wp:positionV>
                <wp:extent cx="701040" cy="18376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8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Valor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2.195.268,94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286.437,39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9.000,00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205.707,88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204.436,72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1.088.338,79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36.801,70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2.163,85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95.366,99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165,15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  <w:u w:val="none"/>
                              </w:rPr>
                              <w:t>216.560,40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3.5pt;margin-top:1.pt;width:55.200000000000003pt;height:144.70000000000002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380" w:firstLine="0"/>
                        <w:jc w:val="right"/>
                      </w:pPr>
                      <w:r>
                        <w:rPr>
                          <w:rStyle w:val="CharStyle22"/>
                        </w:rPr>
                        <w:t>Valor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2.195.268,94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286.437,39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9.000,00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205.707,88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204.436,72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1.088.338,79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36.801,70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2.163,85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95.366,99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165,15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  <w:u w:val="none"/>
                        </w:rPr>
                        <w:t>216.560,40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2"/>
        </w:rPr>
        <w:tab/>
      </w:r>
      <w:r>
        <w:rPr>
          <w:rStyle w:val="CharStyle22"/>
          <w:u w:val="single"/>
        </w:rPr>
        <w:t>Título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4526" w:val="left"/>
          <w:tab w:leader="underscore" w:pos="4526" w:val="left"/>
          <w:tab w:leader="underscore" w:pos="4526" w:val="left"/>
          <w:tab w:leader="underscore" w:pos="4526" w:val="left"/>
          <w:tab w:leader="underscore" w:pos="4526" w:val="left"/>
          <w:tab w:leader="underscore" w:pos="4526" w:val="left"/>
          <w:tab w:leader="underscore" w:pos="4526" w:val="left"/>
          <w:tab w:leader="underscore" w:pos="4526" w:val="left"/>
          <w:tab w:leader="underscore" w:pos="4530" w:val="left"/>
        </w:tabs>
        <w:bidi w:val="0"/>
        <w:spacing w:before="0" w:after="560" w:line="264" w:lineRule="auto"/>
        <w:ind w:left="0" w:right="0" w:firstLine="0"/>
        <w:jc w:val="both"/>
      </w:pPr>
      <w:r>
        <w:rPr>
          <w:rStyle w:val="CharStyle13"/>
        </w:rPr>
        <w:t>Remuneração a pessoal - vencimentos e vantagens fixas Encargos patronais</w:t>
      </w:r>
      <w:r>
        <w:rPr>
          <w:rStyle w:val="CharStyle13"/>
          <w:u w:val="none"/>
        </w:rPr>
        <w:tab/>
        <w:t xml:space="preserve"> </w:t>
      </w:r>
      <w:r>
        <w:rPr>
          <w:rStyle w:val="CharStyle13"/>
        </w:rPr>
        <w:t>Outras variações diminutivas - Pessoal e encargos</w:t>
      </w:r>
      <w:r>
        <w:rPr>
          <w:rStyle w:val="CharStyle13"/>
          <w:u w:val="none"/>
        </w:rPr>
        <w:tab/>
        <w:t xml:space="preserve"> </w:t>
      </w:r>
      <w:r>
        <w:rPr>
          <w:rStyle w:val="CharStyle13"/>
        </w:rPr>
        <w:t>Aposentadoria e Pensões</w:t>
      </w:r>
      <w:r>
        <w:rPr>
          <w:rStyle w:val="CharStyle13"/>
          <w:u w:val="none"/>
        </w:rPr>
        <w:tab/>
        <w:t xml:space="preserve"> </w:t>
      </w:r>
      <w:r>
        <w:rPr>
          <w:rStyle w:val="CharStyle13"/>
        </w:rPr>
        <w:t>Uso de material de consumo</w:t>
      </w:r>
      <w:r>
        <w:rPr>
          <w:rStyle w:val="CharStyle13"/>
          <w:u w:val="none"/>
        </w:rPr>
        <w:tab/>
        <w:t xml:space="preserve"> </w:t>
      </w:r>
      <w:r>
        <w:rPr>
          <w:rStyle w:val="CharStyle13"/>
        </w:rPr>
        <w:t>Serviços</w:t>
      </w:r>
      <w:r>
        <w:rPr>
          <w:rStyle w:val="CharStyle13"/>
          <w:u w:val="none"/>
        </w:rPr>
        <w:tab/>
        <w:t xml:space="preserve"> </w:t>
      </w:r>
      <w:r>
        <w:rPr>
          <w:rStyle w:val="CharStyle13"/>
        </w:rPr>
        <w:t>Depreciação - variação no exercício</w:t>
      </w:r>
      <w:r>
        <w:rPr>
          <w:rStyle w:val="CharStyle13"/>
          <w:u w:val="none"/>
        </w:rPr>
        <w:tab/>
        <w:t xml:space="preserve"> </w:t>
      </w:r>
      <w:r>
        <w:rPr>
          <w:rStyle w:val="CharStyle13"/>
        </w:rPr>
        <w:t>Outras Variações Patrimoniais Diminutivas -Financeira Transferências Intragovernamentais</w:t>
      </w:r>
      <w:r>
        <w:rPr>
          <w:rStyle w:val="CharStyle13"/>
          <w:u w:val="none"/>
        </w:rPr>
        <w:tab/>
        <w:t xml:space="preserve"> </w:t>
      </w:r>
      <w:r>
        <w:rPr>
          <w:rStyle w:val="CharStyle13"/>
        </w:rPr>
        <w:t>Contribuições</w:t>
      </w:r>
      <w:r>
        <w:rPr>
          <w:rStyle w:val="CharStyle13"/>
          <w:u w:val="none"/>
        </w:rPr>
        <w:tab/>
        <w:t xml:space="preserve"> </w:t>
      </w:r>
      <w:r>
        <w:rPr>
          <w:rStyle w:val="CharStyle13"/>
        </w:rPr>
        <w:t>Diversas Variações Patrimoniais Diminutivas</w:t>
      </w:r>
      <w:r>
        <w:rPr>
          <w:rStyle w:val="CharStyle13"/>
          <w:u w:val="none"/>
        </w:rPr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1700"/>
        <w:jc w:val="both"/>
      </w:pPr>
      <w:r>
        <w:rPr>
          <w:rStyle w:val="CharStyle9"/>
        </w:rPr>
        <w:t>O Resultado Patrimonial teve o déficit no valor de R$ 59.888,36(Cinquenta e nove mil, oitocentos e oitenta e oito reais e trinta e seis centavos).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680" w:right="0" w:firstLine="0"/>
        <w:jc w:val="both"/>
      </w:pPr>
      <w:r>
        <w:rPr>
          <w:rStyle w:val="CharStyle9"/>
          <w:b/>
          <w:bCs/>
        </w:rPr>
        <w:t>ANÁLISE DAS VARIAÇÕES PATRIMONIAIS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9"/>
        </w:rPr>
        <w:t>O quociente do Resultado das Variações Patrimoniais, que é resultante da relação entre o total das Variações Patrimoniais Aumentativas e o total das Variações Patrimoniais Diminutivas.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680" w:right="0" w:firstLine="0"/>
        <w:jc w:val="left"/>
      </w:pPr>
      <w:r>
        <w:rPr>
          <w:rStyle w:val="CharStyle9"/>
        </w:rPr>
        <w:t>O Resultado indica outra maneira de se evidenciar o resultado patrimonial.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680" w:right="0" w:firstLine="0"/>
        <w:jc w:val="left"/>
      </w:pPr>
      <w:r>
        <w:rPr>
          <w:rStyle w:val="CharStyle9"/>
        </w:rPr>
        <w:t>Total das Variações Patrimoniais Aumentativas = 4.280.359,45 = 1,001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230" w:val="left"/>
        </w:tabs>
        <w:bidi w:val="0"/>
        <w:spacing w:before="0" w:after="600" w:line="240" w:lineRule="auto"/>
        <w:ind w:left="1680" w:right="0" w:firstLine="0"/>
        <w:jc w:val="left"/>
      </w:pPr>
      <w:r>
        <w:rPr>
          <w:rStyle w:val="CharStyle9"/>
        </w:rPr>
        <w:t>Total das Variações Patrimoniais Diminutivas =</w:t>
        <w:tab/>
        <w:t>4.340.247,81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40"/>
        <w:ind w:left="0" w:right="0" w:firstLine="1700"/>
        <w:jc w:val="both"/>
      </w:pPr>
      <w:r>
        <w:rPr>
          <w:rStyle w:val="CharStyle9"/>
          <w:lang w:val="pt-BR" w:eastAsia="pt-BR" w:bidi="pt-BR"/>
        </w:rPr>
        <w:t xml:space="preserve">Verifica-se </w:t>
      </w:r>
      <w:r>
        <w:rPr>
          <w:rStyle w:val="CharStyle9"/>
        </w:rPr>
        <w:t>que o resultado foi maior que 1, comprovando que o resultado patrimonial foi superavitário.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6525" w:val="left"/>
        </w:tabs>
        <w:bidi w:val="0"/>
        <w:spacing w:before="0" w:after="40" w:line="240" w:lineRule="auto"/>
        <w:ind w:left="3760" w:right="0" w:firstLine="0"/>
        <w:jc w:val="both"/>
        <w:rPr>
          <w:sz w:val="24"/>
          <w:szCs w:val="24"/>
        </w:rPr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4780915</wp:posOffset>
                </wp:positionH>
                <wp:positionV relativeFrom="paragraph">
                  <wp:posOffset>12700</wp:posOffset>
                </wp:positionV>
                <wp:extent cx="838200" cy="1892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  <w:sz w:val="24"/>
                                <w:szCs w:val="24"/>
                              </w:rPr>
                              <w:t>E MORAES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76.44999999999999pt;margin-top:1.pt;width:66.pt;height:14.9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b/>
                          <w:bCs/>
                          <w:sz w:val="24"/>
                          <w:szCs w:val="24"/>
                        </w:rPr>
                        <w:t>E MORAES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  <w:b/>
          <w:bCs/>
          <w:sz w:val="24"/>
          <w:szCs w:val="24"/>
        </w:rPr>
        <w:t xml:space="preserve">MARIARI 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4300" w:right="0" w:firstLine="0"/>
        <w:jc w:val="left"/>
        <w:rPr>
          <w:sz w:val="24"/>
          <w:szCs w:val="24"/>
        </w:rPr>
      </w:pPr>
      <w:r>
        <w:rPr>
          <w:rStyle w:val="CharStyle9"/>
          <w:b/>
          <w:bCs/>
          <w:sz w:val="24"/>
          <w:szCs w:val="24"/>
        </w:rPr>
        <w:t>CRC-AM 007366/0-8</w:t>
      </w:r>
    </w:p>
    <w:sectPr>
      <w:footnotePr>
        <w:pos w:val="pageBottom"/>
        <w:numFmt w:val="decimal"/>
        <w:numRestart w:val="continuous"/>
      </w:footnotePr>
      <w:pgSz w:w="11900" w:h="16840"/>
      <w:pgMar w:top="1864" w:right="996" w:bottom="1369" w:left="1750" w:header="1436" w:footer="941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5">
    <w:name w:val="Heading #2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7">
    <w:name w:val="Heading #3|1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Body text|5_"/>
    <w:basedOn w:val="DefaultParagraphFont"/>
    <w:link w:val="Style10"/>
    <w:rPr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character" w:customStyle="1" w:styleId="CharStyle13">
    <w:name w:val="Body text|3_"/>
    <w:basedOn w:val="DefaultParagraphFont"/>
    <w:link w:val="Style12"/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character" w:customStyle="1" w:styleId="CharStyle18">
    <w:name w:val="Pictur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0">
    <w:name w:val="Body text|4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character" w:customStyle="1" w:styleId="CharStyle22">
    <w:name w:val="Body text|6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Heading #1|1_"/>
    <w:basedOn w:val="DefaultParagraphFont"/>
    <w:link w:val="Style24"/>
    <w:rPr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auto"/>
      <w:jc w:val="center"/>
      <w:outlineLvl w:val="1"/>
    </w:pPr>
    <w:rPr>
      <w:b/>
      <w:bCs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6">
    <w:name w:val="Heading #3|1"/>
    <w:basedOn w:val="Normal"/>
    <w:link w:val="CharStyle7"/>
    <w:pPr>
      <w:widowControl w:val="0"/>
      <w:shd w:val="clear" w:color="auto" w:fill="auto"/>
      <w:spacing w:after="300"/>
      <w:ind w:left="1680"/>
      <w:outlineLvl w:val="2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auto"/>
      <w:spacing w:after="280" w:line="276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Body text|5"/>
    <w:basedOn w:val="Normal"/>
    <w:link w:val="CharStyle1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paragraph" w:customStyle="1" w:styleId="Style17">
    <w:name w:val="Picture caption|1"/>
    <w:basedOn w:val="Normal"/>
    <w:link w:val="CharStyle18"/>
    <w:pPr>
      <w:widowControl w:val="0"/>
      <w:shd w:val="clear" w:color="auto" w:fill="auto"/>
      <w:spacing w:line="36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21">
    <w:name w:val="Body text|6"/>
    <w:basedOn w:val="Normal"/>
    <w:link w:val="CharStyle22"/>
    <w:pPr>
      <w:widowControl w:val="0"/>
      <w:shd w:val="clear" w:color="auto" w:fill="auto"/>
      <w:spacing w:line="245" w:lineRule="auto"/>
      <w:ind w:right="1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Heading #1|1"/>
    <w:basedOn w:val="Normal"/>
    <w:link w:val="CharStyle25"/>
    <w:pPr>
      <w:widowControl w:val="0"/>
      <w:shd w:val="clear" w:color="auto" w:fill="auto"/>
      <w:spacing w:after="1060" w:line="276" w:lineRule="auto"/>
      <w:jc w:val="center"/>
      <w:outlineLvl w:val="0"/>
    </w:pPr>
    <w:rPr>
      <w:b/>
      <w:bCs/>
      <w:i w:val="0"/>
      <w:iCs w:val="0"/>
      <w:smallCaps w:val="0"/>
      <w:strike w:val="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