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094" w:h="173" w:wrap="none" w:hAnchor="page" w:x="513" w:y="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de 2025</w:t>
      </w:r>
    </w:p>
    <w:p>
      <w:pPr>
        <w:pStyle w:val="Style2"/>
        <w:keepNext w:val="0"/>
        <w:keepLines w:val="0"/>
        <w:framePr w:w="1680" w:h="192" w:wrap="none" w:hAnchor="page" w:x="522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A) QUADRO PRINCIPAL</w:t>
      </w:r>
    </w:p>
    <w:p>
      <w:pPr>
        <w:pStyle w:val="Style2"/>
        <w:keepNext w:val="0"/>
        <w:keepLines w:val="0"/>
        <w:framePr w:w="1133" w:h="206" w:wrap="none" w:hAnchor="page" w:x="580" w:y="16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1493" w:h="178" w:wrap="none" w:hAnchor="page" w:x="585" w:y="20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ATIVO CIRCULANTE</w:t>
      </w:r>
    </w:p>
    <w:p>
      <w:pPr>
        <w:pStyle w:val="Style5"/>
        <w:keepNext/>
        <w:keepLines/>
        <w:framePr w:w="7253" w:h="878" w:wrap="none" w:hAnchor="page" w:x="4674" w:y="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bookmarkStart w:id="0" w:name="bookmark0"/>
      <w:r>
        <w:rPr>
          <w:rStyle w:val="CharStyle6"/>
          <w:b/>
          <w:bCs/>
        </w:rPr>
        <w:t>CAMARA MUNICIPAL DE SAO PAULO DE OLIVENÇA</w:t>
      </w:r>
      <w:bookmarkEnd w:id="0"/>
    </w:p>
    <w:p>
      <w:pPr>
        <w:pStyle w:val="Style7"/>
        <w:keepNext w:val="0"/>
        <w:keepLines w:val="0"/>
        <w:framePr w:w="7253" w:h="878" w:wrap="none" w:hAnchor="page" w:x="4674" w:y="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8"/>
          <w:b/>
          <w:bCs/>
          <w:lang w:val="pt-BR" w:eastAsia="pt-BR" w:bidi="pt-BR"/>
        </w:rPr>
        <w:t>ANEXO 14 - BALANÇO PATRIMONIAL</w:t>
      </w:r>
    </w:p>
    <w:p>
      <w:pPr>
        <w:pStyle w:val="Style7"/>
        <w:keepNext w:val="0"/>
        <w:keepLines w:val="0"/>
        <w:framePr w:w="7253" w:h="878" w:wrap="none" w:hAnchor="page" w:x="467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8"/>
          <w:lang w:val="pt-BR" w:eastAsia="pt-BR" w:bidi="pt-BR"/>
        </w:rPr>
        <w:t>Dezembro(31/12/2025)</w:t>
      </w:r>
    </w:p>
    <w:p>
      <w:pPr>
        <w:pStyle w:val="Style10"/>
        <w:keepNext w:val="0"/>
        <w:keepLines w:val="0"/>
        <w:framePr w:w="6115" w:h="240" w:wrap="none" w:hAnchor="page" w:x="5197" w:y="9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1"/>
          <w:lang w:val="pt-BR" w:eastAsia="pt-BR" w:bidi="pt-BR"/>
        </w:rPr>
        <w:t>ISOLADO:2 - CAMARA MUNICIPAL DE SAO PAULO DE OLIVENÇA</w:t>
      </w:r>
    </w:p>
    <w:p>
      <w:pPr>
        <w:pStyle w:val="Style12"/>
        <w:keepNext w:val="0"/>
        <w:keepLines w:val="0"/>
        <w:framePr w:w="480" w:h="202" w:wrap="none" w:hAnchor="page" w:x="15527" w:y="6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Style w:val="CharStyle13"/>
          <w:sz w:val="13"/>
          <w:szCs w:val="13"/>
        </w:rPr>
        <w:t>Pág.: 1</w:t>
      </w:r>
    </w:p>
    <w:p>
      <w:pPr>
        <w:pStyle w:val="Style10"/>
        <w:keepNext w:val="0"/>
        <w:keepLines w:val="0"/>
        <w:framePr w:w="634" w:h="226" w:wrap="none" w:hAnchor="page" w:x="4074" w:y="13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b/>
          <w:bCs/>
          <w:sz w:val="18"/>
          <w:szCs w:val="18"/>
          <w:lang w:val="pt-BR" w:eastAsia="pt-BR" w:bidi="pt-BR"/>
        </w:rPr>
        <w:t>ATIVO</w:t>
      </w:r>
    </w:p>
    <w:p>
      <w:pPr>
        <w:pStyle w:val="Style10"/>
        <w:keepNext w:val="0"/>
        <w:keepLines w:val="0"/>
        <w:framePr w:w="830" w:h="226" w:wrap="none" w:hAnchor="page" w:x="11754" w:y="12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b/>
          <w:bCs/>
          <w:sz w:val="18"/>
          <w:szCs w:val="18"/>
          <w:lang w:val="pt-BR" w:eastAsia="pt-BR" w:bidi="pt-BR"/>
        </w:rPr>
        <w:t>PASSIVO</w:t>
      </w:r>
    </w:p>
    <w:p>
      <w:pPr>
        <w:pStyle w:val="Style2"/>
        <w:keepNext w:val="0"/>
        <w:keepLines w:val="0"/>
        <w:framePr w:w="326" w:h="173" w:wrap="none" w:hAnchor="page" w:x="5039" w:y="16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2" w:h="178" w:wrap="none" w:hAnchor="page" w:x="5697" w:y="1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85" w:h="182" w:wrap="none" w:hAnchor="page" w:x="7026" w:y="16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1118" w:h="211" w:wrap="none" w:hAnchor="page" w:x="8389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22" w:h="173" w:wrap="none" w:hAnchor="page" w:x="12786" w:y="1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7" w:h="178" w:wrap="none" w:hAnchor="page" w:x="13453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0" w:h="178" w:wrap="none" w:hAnchor="page" w:x="14793" w:y="16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CAIXA E EQUIVALENTES DE CAIXA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1" w:lineRule="auto"/>
        <w:ind w:left="440" w:right="0" w:hanging="200"/>
        <w:jc w:val="left"/>
      </w:pPr>
      <w:r>
        <w:rPr>
          <w:rStyle w:val="CharStyle3"/>
          <w:b/>
          <w:bCs/>
          <w:sz w:val="14"/>
          <w:szCs w:val="14"/>
        </w:rPr>
        <w:t xml:space="preserve">CAIXA E EQUIVALENTES DE CAIXA EM MOEDA NACIONAL </w:t>
      </w:r>
      <w:r>
        <w:rPr>
          <w:rStyle w:val="CharStyle3"/>
        </w:rPr>
        <w:t>CONTA ÚNICA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440" w:right="0" w:firstLine="0"/>
        <w:jc w:val="left"/>
      </w:pPr>
      <w:r>
        <w:rPr>
          <w:rStyle w:val="CharStyle3"/>
        </w:rPr>
        <w:t>APLICAÇÕES FINANCEIRAS DE LIQUIDEZ IMEDIATA - USO GERAL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DEMAIS CRÉDITOS E VALORES A CURTO PRAZO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57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CRÉDITOS POR DANOS AO PATRIMÔNIO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440" w:right="0" w:firstLine="0"/>
        <w:jc w:val="left"/>
      </w:pPr>
      <w:r>
        <w:rPr>
          <w:rStyle w:val="CharStyle3"/>
        </w:rPr>
        <w:t>CRÉDITOS POR DANOS AO PATRIMÔNIO DECORRENTES DE PROCESSOS ADMINISTRATIVOS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1" w:lineRule="auto"/>
        <w:ind w:left="440" w:right="0" w:hanging="200"/>
        <w:jc w:val="left"/>
      </w:pPr>
      <w:r>
        <w:rPr>
          <w:rStyle w:val="CharStyle3"/>
          <w:b/>
          <w:bCs/>
          <w:sz w:val="14"/>
          <w:szCs w:val="14"/>
        </w:rPr>
        <w:t xml:space="preserve">OUTROS CRÉDITOS A RECEBER E VALORES A CURTO PRAZO </w:t>
      </w:r>
      <w:r>
        <w:rPr>
          <w:rStyle w:val="CharStyle3"/>
        </w:rPr>
        <w:t>VALORES EM TRÂNSITO REALIZÁVEIS A CURTO PRAZO CRÉDITOS A RECEBER POR REEMBOLSO DE SALÁRIO FAMÍLIA PAGO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440" w:right="0" w:firstLine="0"/>
        <w:jc w:val="left"/>
      </w:pPr>
      <w:r>
        <w:rPr>
          <w:rStyle w:val="CharStyle3"/>
        </w:rPr>
        <w:t>OUTROS CRÉDITOS A RECEBER E VALORES DE CURTO PRAZO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ESTOQUES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57" w:lineRule="auto"/>
        <w:ind w:left="0" w:right="0" w:firstLine="22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  <w:lang w:val="pt-PT" w:eastAsia="pt-PT" w:bidi="pt-PT"/>
        </w:rPr>
        <w:t>ALMOXARIFADO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0" w:right="0" w:firstLine="440"/>
        <w:jc w:val="left"/>
      </w:pPr>
      <w:r>
        <w:rPr>
          <w:rStyle w:val="CharStyle3"/>
        </w:rPr>
        <w:t>MATERIAL DE CONSUMO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0" w:right="0" w:firstLine="440"/>
        <w:jc w:val="left"/>
      </w:pPr>
      <w:r>
        <w:rPr>
          <w:rStyle w:val="CharStyle3"/>
        </w:rPr>
        <w:t>GÊNEROS ALIMENTÍCIOS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76" w:lineRule="auto"/>
        <w:ind w:left="0" w:right="0" w:firstLine="440"/>
        <w:jc w:val="left"/>
      </w:pPr>
      <w:r>
        <w:rPr>
          <w:rStyle w:val="CharStyle3"/>
        </w:rPr>
        <w:t>MATERIAL DE EXPEDIENTE</w:t>
      </w:r>
    </w:p>
    <w:p>
      <w:pPr>
        <w:pStyle w:val="Style2"/>
        <w:keepNext w:val="0"/>
        <w:keepLines w:val="0"/>
        <w:framePr w:w="4536" w:h="3816" w:wrap="none" w:hAnchor="page" w:x="585" w:y="228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ATIVO NÃO CIRCULANTE</w:t>
      </w:r>
    </w:p>
    <w:p>
      <w:pPr>
        <w:pStyle w:val="Style2"/>
        <w:keepNext w:val="0"/>
        <w:keepLines w:val="0"/>
        <w:framePr w:w="682" w:h="379" w:wrap="none" w:hAnchor="page" w:x="6167" w:y="2065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251.918,40</w:t>
      </w:r>
    </w:p>
    <w:p>
      <w:pPr>
        <w:pStyle w:val="Style2"/>
        <w:keepNext w:val="0"/>
        <w:keepLines w:val="0"/>
        <w:framePr w:w="682" w:h="379" w:wrap="none" w:hAnchor="page" w:x="6167" w:y="2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69.843,96</w:t>
      </w:r>
    </w:p>
    <w:p>
      <w:pPr>
        <w:pStyle w:val="Style2"/>
        <w:keepNext w:val="0"/>
        <w:keepLines w:val="0"/>
        <w:framePr w:w="686" w:h="379" w:wrap="none" w:hAnchor="page" w:x="7444" w:y="206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407.608,70</w:t>
      </w:r>
    </w:p>
    <w:p>
      <w:pPr>
        <w:pStyle w:val="Style2"/>
        <w:keepNext w:val="0"/>
        <w:keepLines w:val="0"/>
        <w:framePr w:w="686" w:h="379" w:wrap="none" w:hAnchor="page" w:x="7444" w:y="20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268.489,42</w:t>
      </w:r>
    </w:p>
    <w:p>
      <w:pPr>
        <w:pStyle w:val="Style2"/>
        <w:keepNext w:val="0"/>
        <w:keepLines w:val="0"/>
        <w:framePr w:w="1618" w:h="178" w:wrap="none" w:hAnchor="page" w:x="8394" w:y="2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PASSIVO CIRCULANTE</w:t>
      </w:r>
    </w:p>
    <w:p>
      <w:pPr>
        <w:pStyle w:val="Style2"/>
        <w:keepNext w:val="0"/>
        <w:keepLines w:val="0"/>
        <w:framePr w:w="619" w:h="173" w:wrap="none" w:hAnchor="page" w:x="13977" w:y="20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48.376,88</w:t>
      </w:r>
    </w:p>
    <w:p>
      <w:pPr>
        <w:pStyle w:val="Style2"/>
        <w:keepNext w:val="0"/>
        <w:keepLines w:val="0"/>
        <w:framePr w:w="677" w:h="173" w:wrap="none" w:hAnchor="page" w:x="15340" w:y="20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116.161,48</w:t>
      </w:r>
    </w:p>
    <w:p>
      <w:pPr>
        <w:pStyle w:val="Style2"/>
        <w:keepNext w:val="0"/>
        <w:keepLines w:val="0"/>
        <w:framePr w:w="1046" w:h="178" w:wrap="none" w:hAnchor="page" w:x="714" w:y="61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IMOBILIZADO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BENS MOVEIS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MÁQUINAS, APARELHOS, EQUIPAMENTOS E FERRAMENTAS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BENS DE INFORMÁTICA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MÓVEIS E UTENSÍLIOS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MATERIAIS CULTURAIS, EDUCACIONAIS E DE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COMUNICAÇÃO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DEMAIS BENS MÓVEIS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BENS IMÓVEIS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BENS DE USO ESPECIAL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BENS IMÓVEIS EM ANDAMENTO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INSTALAÇÕES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(-) DEPRECIAÇÃO, EXAUSTÃO E AMORTIZAÇÃO ACUMULADAS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(-) DEPRECIAÇÃO ACUMULADA - BENS MÓVEIS</w:t>
      </w:r>
    </w:p>
    <w:p>
      <w:pPr>
        <w:pStyle w:val="Style2"/>
        <w:keepNext w:val="0"/>
        <w:keepLines w:val="0"/>
        <w:framePr w:w="4430" w:h="2482" w:wrap="none" w:hAnchor="page" w:x="820" w:y="637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(-) DEPRECIAÇÃO ACUMULADA - BENS IMÓVEIS</w:t>
      </w:r>
    </w:p>
    <w:p>
      <w:pPr>
        <w:pStyle w:val="Style2"/>
        <w:keepNext w:val="0"/>
        <w:keepLines w:val="0"/>
        <w:framePr w:w="542" w:h="178" w:wrap="none" w:hAnchor="page" w:x="637" w:y="8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2"/>
        <w:keepNext w:val="0"/>
        <w:keepLines w:val="0"/>
        <w:framePr w:w="130" w:h="749" w:wrap="none" w:hAnchor="page" w:x="5524" w:y="6558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3"/>
        </w:rPr>
        <w:t>P P</w:t>
      </w:r>
    </w:p>
    <w:p>
      <w:pPr>
        <w:pStyle w:val="Style2"/>
        <w:keepNext w:val="0"/>
        <w:keepLines w:val="0"/>
        <w:framePr w:w="130" w:h="749" w:wrap="none" w:hAnchor="page" w:x="5524" w:y="6558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3"/>
        </w:rPr>
        <w:t>P</w:t>
      </w:r>
    </w:p>
    <w:p>
      <w:pPr>
        <w:pStyle w:val="Style2"/>
        <w:keepNext w:val="0"/>
        <w:keepLines w:val="0"/>
        <w:framePr w:w="130" w:h="749" w:wrap="none" w:hAnchor="page" w:x="5524" w:y="6558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left"/>
      </w:pPr>
      <w:r>
        <w:rPr>
          <w:rStyle w:val="CharStyle3"/>
        </w:rPr>
        <w:t>P</w:t>
      </w:r>
    </w:p>
    <w:p>
      <w:pPr>
        <w:pStyle w:val="Style2"/>
        <w:keepNext w:val="0"/>
        <w:keepLines w:val="0"/>
        <w:framePr w:w="619" w:h="533" w:wrap="none" w:hAnchor="page" w:x="622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69.843,96</w:t>
      </w:r>
    </w:p>
    <w:p>
      <w:pPr>
        <w:pStyle w:val="Style2"/>
        <w:keepNext w:val="0"/>
        <w:keepLines w:val="0"/>
        <w:framePr w:w="619" w:h="533" w:wrap="none" w:hAnchor="page" w:x="622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42.423,68</w:t>
      </w:r>
    </w:p>
    <w:p>
      <w:pPr>
        <w:pStyle w:val="Style2"/>
        <w:keepNext w:val="0"/>
        <w:keepLines w:val="0"/>
        <w:framePr w:w="619" w:h="533" w:wrap="none" w:hAnchor="page" w:x="6229" w:y="2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27.420,28</w:t>
      </w:r>
    </w:p>
    <w:p>
      <w:pPr>
        <w:pStyle w:val="Style2"/>
        <w:keepNext w:val="0"/>
        <w:keepLines w:val="0"/>
        <w:framePr w:w="672" w:h="173" w:wrap="none" w:hAnchor="page" w:x="6177" w:y="31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176.891,56</w:t>
      </w:r>
    </w:p>
    <w:p>
      <w:pPr>
        <w:pStyle w:val="Style2"/>
        <w:keepNext w:val="0"/>
        <w:keepLines w:val="0"/>
        <w:framePr w:w="672" w:h="350" w:wrap="none" w:hAnchor="page" w:x="6177" w:y="3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125.691,10</w:t>
      </w:r>
    </w:p>
    <w:p>
      <w:pPr>
        <w:pStyle w:val="Style2"/>
        <w:keepNext w:val="0"/>
        <w:keepLines w:val="0"/>
        <w:framePr w:w="672" w:h="350" w:wrap="none" w:hAnchor="page" w:x="6177" w:y="3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125.691,10</w:t>
      </w:r>
    </w:p>
    <w:p>
      <w:pPr>
        <w:pStyle w:val="Style2"/>
        <w:keepNext w:val="0"/>
        <w:keepLines w:val="0"/>
        <w:framePr w:w="614" w:h="528" w:wrap="none" w:hAnchor="page" w:x="6234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51.200,46</w:t>
      </w:r>
    </w:p>
    <w:p>
      <w:pPr>
        <w:pStyle w:val="Style2"/>
        <w:keepNext w:val="0"/>
        <w:keepLines w:val="0"/>
        <w:framePr w:w="614" w:h="528" w:wrap="none" w:hAnchor="page" w:x="6234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2.465,06</w:t>
      </w:r>
    </w:p>
    <w:p>
      <w:pPr>
        <w:pStyle w:val="Style2"/>
        <w:keepNext w:val="0"/>
        <w:keepLines w:val="0"/>
        <w:framePr w:w="614" w:h="528" w:wrap="none" w:hAnchor="page" w:x="6234" w:y="39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7.177,77</w:t>
      </w:r>
    </w:p>
    <w:p>
      <w:pPr>
        <w:pStyle w:val="Style2"/>
        <w:keepNext w:val="0"/>
        <w:keepLines w:val="0"/>
        <w:framePr w:w="605" w:h="173" w:wrap="none" w:hAnchor="page" w:x="6234" w:y="45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41.557,63</w:t>
      </w:r>
    </w:p>
    <w:p>
      <w:pPr>
        <w:pStyle w:val="Style2"/>
        <w:keepNext w:val="0"/>
        <w:keepLines w:val="0"/>
        <w:framePr w:w="547" w:h="173" w:wrap="none" w:hAnchor="page" w:x="6301" w:y="48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5.182,88</w:t>
      </w:r>
    </w:p>
    <w:p>
      <w:pPr>
        <w:pStyle w:val="Style2"/>
        <w:keepNext w:val="0"/>
        <w:keepLines w:val="0"/>
        <w:framePr w:w="547" w:h="720" w:wrap="none" w:hAnchor="page" w:x="6301" w:y="5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5.182,88</w:t>
      </w:r>
    </w:p>
    <w:p>
      <w:pPr>
        <w:pStyle w:val="Style2"/>
        <w:keepNext w:val="0"/>
        <w:keepLines w:val="0"/>
        <w:framePr w:w="547" w:h="720" w:wrap="none" w:hAnchor="page" w:x="6301" w:y="5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2.500,40</w:t>
      </w:r>
    </w:p>
    <w:p>
      <w:pPr>
        <w:pStyle w:val="Style2"/>
        <w:keepNext w:val="0"/>
        <w:keepLines w:val="0"/>
        <w:framePr w:w="547" w:h="720" w:wrap="none" w:hAnchor="page" w:x="6301" w:y="5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344,25</w:t>
      </w:r>
    </w:p>
    <w:p>
      <w:pPr>
        <w:pStyle w:val="Style2"/>
        <w:keepNext w:val="0"/>
        <w:keepLines w:val="0"/>
        <w:framePr w:w="547" w:h="720" w:wrap="none" w:hAnchor="page" w:x="6301" w:y="51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2.338,23</w:t>
      </w:r>
    </w:p>
    <w:p>
      <w:pPr>
        <w:pStyle w:val="Style2"/>
        <w:keepNext w:val="0"/>
        <w:keepLines w:val="0"/>
        <w:framePr w:w="682" w:h="384" w:wrap="none" w:hAnchor="page" w:x="6162" w:y="592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"/>
        </w:rPr>
        <w:t>640.874,52</w:t>
      </w:r>
    </w:p>
    <w:p>
      <w:pPr>
        <w:pStyle w:val="Style2"/>
        <w:keepNext w:val="0"/>
        <w:keepLines w:val="0"/>
        <w:framePr w:w="682" w:h="384" w:wrap="none" w:hAnchor="page" w:x="6162" w:y="59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640.874,52</w:t>
      </w:r>
    </w:p>
    <w:p>
      <w:pPr>
        <w:pStyle w:val="Style2"/>
        <w:keepNext w:val="0"/>
        <w:keepLines w:val="0"/>
        <w:framePr w:w="682" w:h="893" w:wrap="none" w:hAnchor="page" w:x="6167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220.653,54</w:t>
      </w:r>
    </w:p>
    <w:p>
      <w:pPr>
        <w:pStyle w:val="Style2"/>
        <w:keepNext w:val="0"/>
        <w:keepLines w:val="0"/>
        <w:framePr w:w="682" w:h="893" w:wrap="none" w:hAnchor="page" w:x="6167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27.305,50</w:t>
      </w:r>
    </w:p>
    <w:p>
      <w:pPr>
        <w:pStyle w:val="Style2"/>
        <w:keepNext w:val="0"/>
        <w:keepLines w:val="0"/>
        <w:framePr w:w="682" w:h="893" w:wrap="none" w:hAnchor="page" w:x="6167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22.050,00</w:t>
      </w:r>
    </w:p>
    <w:p>
      <w:pPr>
        <w:pStyle w:val="Style2"/>
        <w:keepNext w:val="0"/>
        <w:keepLines w:val="0"/>
        <w:framePr w:w="682" w:h="893" w:wrap="none" w:hAnchor="page" w:x="6167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106.265,88</w:t>
      </w:r>
    </w:p>
    <w:p>
      <w:pPr>
        <w:pStyle w:val="Style2"/>
        <w:keepNext w:val="0"/>
        <w:keepLines w:val="0"/>
        <w:framePr w:w="682" w:h="893" w:wrap="none" w:hAnchor="page" w:x="6167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23.237,46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41.794,70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557.638,11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145.720,34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80.052,45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331.865,32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-137.417,13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-100.987,04</w:t>
      </w:r>
    </w:p>
    <w:p>
      <w:pPr>
        <w:pStyle w:val="Style2"/>
        <w:keepNext w:val="0"/>
        <w:keepLines w:val="0"/>
        <w:framePr w:w="730" w:h="1435" w:wrap="none" w:hAnchor="page" w:x="6119" w:y="74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-36.430,09</w:t>
      </w:r>
    </w:p>
    <w:p>
      <w:pPr>
        <w:pStyle w:val="Style2"/>
        <w:keepNext w:val="0"/>
        <w:keepLines w:val="0"/>
        <w:framePr w:w="682" w:h="173" w:wrap="none" w:hAnchor="page" w:x="6167" w:y="8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892.792,92</w:t>
      </w:r>
    </w:p>
    <w:p>
      <w:pPr>
        <w:pStyle w:val="Style2"/>
        <w:keepNext w:val="0"/>
        <w:keepLines w:val="0"/>
        <w:framePr w:w="682" w:h="528" w:wrap="none" w:hAnchor="page" w:x="7444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268.489,42</w:t>
      </w:r>
    </w:p>
    <w:p>
      <w:pPr>
        <w:pStyle w:val="Style2"/>
        <w:keepNext w:val="0"/>
        <w:keepLines w:val="0"/>
        <w:framePr w:w="682" w:h="528" w:wrap="none" w:hAnchor="page" w:x="7444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246.061,29</w:t>
      </w:r>
    </w:p>
    <w:p>
      <w:pPr>
        <w:pStyle w:val="Style2"/>
        <w:keepNext w:val="0"/>
        <w:keepLines w:val="0"/>
        <w:framePr w:w="682" w:h="528" w:wrap="none" w:hAnchor="page" w:x="7444" w:y="25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22.428,13</w:t>
      </w:r>
    </w:p>
    <w:p>
      <w:pPr>
        <w:pStyle w:val="Style2"/>
        <w:keepNext w:val="0"/>
        <w:keepLines w:val="0"/>
        <w:framePr w:w="672" w:h="173" w:wrap="none" w:hAnchor="page" w:x="7458" w:y="31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139.119,28</w:t>
      </w:r>
    </w:p>
    <w:p>
      <w:pPr>
        <w:pStyle w:val="Style2"/>
        <w:keepNext w:val="0"/>
        <w:keepLines w:val="0"/>
        <w:framePr w:w="672" w:h="346" w:wrap="none" w:hAnchor="page" w:x="7458" w:y="3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125.691,10</w:t>
      </w:r>
    </w:p>
    <w:p>
      <w:pPr>
        <w:pStyle w:val="Style2"/>
        <w:keepNext w:val="0"/>
        <w:keepLines w:val="0"/>
        <w:framePr w:w="672" w:h="346" w:wrap="none" w:hAnchor="page" w:x="7458" w:y="34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125.691,10</w:t>
      </w:r>
    </w:p>
    <w:p>
      <w:pPr>
        <w:pStyle w:val="Style2"/>
        <w:keepNext w:val="0"/>
        <w:keepLines w:val="0"/>
        <w:framePr w:w="600" w:h="552" w:wrap="none" w:hAnchor="page" w:x="7530" w:y="3903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13.428,18</w:t>
      </w:r>
    </w:p>
    <w:p>
      <w:pPr>
        <w:pStyle w:val="Style12"/>
        <w:keepNext w:val="0"/>
        <w:keepLines w:val="0"/>
        <w:framePr w:w="600" w:h="552" w:wrap="none" w:hAnchor="page" w:x="7530" w:y="390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  <w:rPr>
          <w:sz w:val="14"/>
          <w:szCs w:val="14"/>
        </w:rPr>
      </w:pPr>
      <w:r>
        <w:rPr>
          <w:rStyle w:val="CharStyle13"/>
          <w:rFonts w:ascii="Times New Roman" w:eastAsia="Times New Roman" w:hAnsi="Times New Roman" w:cs="Times New Roman"/>
          <w:sz w:val="13"/>
          <w:szCs w:val="13"/>
        </w:rPr>
        <w:t xml:space="preserve">0,00 </w:t>
      </w:r>
      <w:r>
        <w:rPr>
          <w:rStyle w:val="CharStyle13"/>
          <w:i/>
          <w:iCs/>
          <w:sz w:val="14"/>
          <w:szCs w:val="14"/>
        </w:rPr>
        <w:t>lAnji</w:t>
      </w:r>
    </w:p>
    <w:p>
      <w:pPr>
        <w:pStyle w:val="Style2"/>
        <w:keepNext w:val="0"/>
        <w:keepLines w:val="0"/>
        <w:framePr w:w="528" w:h="173" w:wrap="none" w:hAnchor="page" w:x="7583" w:y="45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6.250,41</w:t>
      </w:r>
    </w:p>
    <w:p>
      <w:pPr>
        <w:pStyle w:val="Style2"/>
        <w:keepNext w:val="0"/>
        <w:keepLines w:val="0"/>
        <w:framePr w:w="298" w:h="173" w:wrap="none" w:hAnchor="page" w:x="7833" w:y="48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720" w:wrap="none" w:hAnchor="page" w:x="7828" w:y="5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720" w:wrap="none" w:hAnchor="page" w:x="7828" w:y="5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720" w:wrap="none" w:hAnchor="page" w:x="7828" w:y="5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720" w:wrap="none" w:hAnchor="page" w:x="7828" w:y="5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82" w:h="384" w:wrap="none" w:hAnchor="page" w:x="7444" w:y="5924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"/>
        </w:rPr>
        <w:t>612.279,22</w:t>
      </w:r>
    </w:p>
    <w:p>
      <w:pPr>
        <w:pStyle w:val="Style2"/>
        <w:keepNext w:val="0"/>
        <w:keepLines w:val="0"/>
        <w:framePr w:w="682" w:h="384" w:wrap="none" w:hAnchor="page" w:x="7444" w:y="59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612.279,22</w:t>
      </w:r>
    </w:p>
    <w:p>
      <w:pPr>
        <w:pStyle w:val="Style2"/>
        <w:keepNext w:val="0"/>
        <w:keepLines w:val="0"/>
        <w:framePr w:w="672" w:h="888" w:wrap="none" w:hAnchor="page" w:x="7458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155.256,54</w:t>
      </w:r>
    </w:p>
    <w:p>
      <w:pPr>
        <w:pStyle w:val="Style2"/>
        <w:keepNext w:val="0"/>
        <w:keepLines w:val="0"/>
        <w:framePr w:w="672" w:h="888" w:wrap="none" w:hAnchor="page" w:x="7458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27.305,50</w:t>
      </w:r>
    </w:p>
    <w:p>
      <w:pPr>
        <w:pStyle w:val="Style2"/>
        <w:keepNext w:val="0"/>
        <w:keepLines w:val="0"/>
        <w:framePr w:w="672" w:h="888" w:wrap="none" w:hAnchor="page" w:x="7458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22.050,00</w:t>
      </w:r>
    </w:p>
    <w:p>
      <w:pPr>
        <w:pStyle w:val="Style2"/>
        <w:keepNext w:val="0"/>
        <w:keepLines w:val="0"/>
        <w:framePr w:w="672" w:h="888" w:wrap="none" w:hAnchor="page" w:x="7458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57.815,88</w:t>
      </w:r>
    </w:p>
    <w:p>
      <w:pPr>
        <w:pStyle w:val="Style2"/>
        <w:keepNext w:val="0"/>
        <w:keepLines w:val="0"/>
        <w:framePr w:w="672" w:h="888" w:wrap="none" w:hAnchor="page" w:x="7458" w:y="6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6.290,46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41.794,70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557.638,11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145.720,34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80.052,45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331.865,32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-100.615,43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-71.471,36</w:t>
      </w:r>
    </w:p>
    <w:p>
      <w:pPr>
        <w:pStyle w:val="Style2"/>
        <w:keepNext w:val="0"/>
        <w:keepLines w:val="0"/>
        <w:framePr w:w="730" w:h="1435" w:wrap="none" w:hAnchor="page" w:x="7401" w:y="7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-29.144,07</w:t>
      </w:r>
    </w:p>
    <w:p>
      <w:pPr>
        <w:pStyle w:val="Style2"/>
        <w:keepNext w:val="0"/>
        <w:keepLines w:val="0"/>
        <w:framePr w:w="773" w:h="173" w:wrap="none" w:hAnchor="page" w:x="7357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1.019.887,92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OBRIGAÇÕES TRABALHISTAS, PREVIDENCIÁRIAS E ASSISTENCIAIS A PAGAR A CURTO PRAZO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PESSOAL A PAGAR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54" w:lineRule="auto"/>
        <w:ind w:left="0" w:right="0" w:firstLine="200"/>
        <w:jc w:val="left"/>
      </w:pPr>
      <w:r>
        <w:rPr>
          <w:rStyle w:val="CharStyle3"/>
        </w:rPr>
        <w:t>PESSOAL A PAGAR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BENEFÍCIOS PREVIDENCIÁRIOS A PAGAR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71" w:lineRule="auto"/>
        <w:ind w:left="0" w:right="0" w:firstLine="200"/>
        <w:jc w:val="left"/>
      </w:pPr>
      <w:r>
        <w:rPr>
          <w:rStyle w:val="CharStyle3"/>
        </w:rPr>
        <w:t>BENEFÍCIOS PREVIDENCIÁRIOS A PAGAR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ADIANTAMENTO DE CLIENTES E DEMAIS OBRIGAÇÕES A CURTO PRAZO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VALORES RESTITUÍVEIS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71" w:lineRule="auto"/>
        <w:ind w:left="0" w:right="0" w:firstLine="200"/>
        <w:jc w:val="left"/>
      </w:pPr>
      <w:r>
        <w:rPr>
          <w:rStyle w:val="CharStyle3"/>
        </w:rPr>
        <w:t>CONSIGNAÇÕES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71" w:lineRule="auto"/>
        <w:ind w:left="0" w:right="0" w:firstLine="200"/>
        <w:jc w:val="left"/>
      </w:pPr>
      <w:r>
        <w:rPr>
          <w:rStyle w:val="CharStyle3"/>
        </w:rPr>
        <w:t>DEPOSITOS NAO JUDICIAIS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OUTRAS OBRIGAÇÕES A CURTO PRAZO</w:t>
      </w:r>
    </w:p>
    <w:p>
      <w:pPr>
        <w:pStyle w:val="Style2"/>
        <w:keepNext w:val="0"/>
        <w:keepLines w:val="0"/>
        <w:framePr w:w="4608" w:h="2285" w:wrap="none" w:hAnchor="page" w:x="8538" w:y="2247"/>
        <w:widowControl w:val="0"/>
        <w:shd w:val="clear" w:color="auto" w:fill="auto"/>
        <w:bidi w:val="0"/>
        <w:spacing w:before="0" w:after="0" w:line="271" w:lineRule="auto"/>
        <w:ind w:left="0" w:right="0" w:firstLine="200"/>
        <w:jc w:val="left"/>
      </w:pPr>
      <w:r>
        <w:rPr>
          <w:rStyle w:val="CharStyle3"/>
        </w:rPr>
        <w:t>DIARIAS A PAGAR</w:t>
      </w:r>
    </w:p>
    <w:p>
      <w:pPr>
        <w:pStyle w:val="Style2"/>
        <w:keepNext w:val="0"/>
        <w:keepLines w:val="0"/>
        <w:framePr w:w="1176" w:h="178" w:wrap="none" w:hAnchor="page" w:x="8433" w:y="4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 PASSIVO</w:t>
      </w:r>
    </w:p>
    <w:p>
      <w:pPr>
        <w:pStyle w:val="Style2"/>
        <w:keepNext w:val="0"/>
        <w:keepLines w:val="0"/>
        <w:framePr w:w="1642" w:h="437" w:wrap="none" w:hAnchor="page" w:x="8394" w:y="5147"/>
        <w:widowControl w:val="0"/>
        <w:shd w:val="clear" w:color="auto" w:fill="auto"/>
        <w:bidi w:val="0"/>
        <w:spacing w:before="0" w:after="60" w:line="240" w:lineRule="auto"/>
        <w:ind w:left="0" w:right="0" w:firstLine="140"/>
        <w:jc w:val="left"/>
      </w:pPr>
      <w:r>
        <w:rPr>
          <w:rStyle w:val="CharStyle3"/>
          <w:shd w:val="clear" w:color="auto" w:fill="BFBFBB"/>
        </w:rPr>
        <w:t>ESPECIFICAÇÃO</w:t>
      </w:r>
    </w:p>
    <w:p>
      <w:pPr>
        <w:pStyle w:val="Style2"/>
        <w:keepNext w:val="0"/>
        <w:keepLines w:val="0"/>
        <w:framePr w:w="1642" w:h="437" w:wrap="none" w:hAnchor="page" w:x="8394" w:y="51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PATRIMÔNIO LIQUIDO</w:t>
      </w:r>
    </w:p>
    <w:p>
      <w:pPr>
        <w:pStyle w:val="Style2"/>
        <w:keepNext w:val="0"/>
        <w:keepLines w:val="0"/>
        <w:framePr w:w="547" w:h="173" w:wrap="none" w:hAnchor="page" w:x="14044" w:y="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3.483,33</w:t>
      </w:r>
    </w:p>
    <w:p>
      <w:pPr>
        <w:pStyle w:val="Style2"/>
        <w:keepNext w:val="0"/>
        <w:keepLines w:val="0"/>
        <w:framePr w:w="552" w:h="173" w:wrap="none" w:hAnchor="page" w:x="15465" w:y="22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634" w:h="893" w:wrap="none" w:hAnchor="page" w:x="13972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3.483,00</w:t>
      </w:r>
    </w:p>
    <w:p>
      <w:pPr>
        <w:pStyle w:val="Style2"/>
        <w:keepNext w:val="0"/>
        <w:keepLines w:val="0"/>
        <w:framePr w:w="634" w:h="893" w:wrap="none" w:hAnchor="page" w:x="13972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3.483,00</w:t>
      </w:r>
    </w:p>
    <w:p>
      <w:pPr>
        <w:pStyle w:val="Style2"/>
        <w:keepNext w:val="0"/>
        <w:keepLines w:val="0"/>
        <w:framePr w:w="634" w:h="893" w:wrap="none" w:hAnchor="page" w:x="13972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0,33</w:t>
      </w:r>
    </w:p>
    <w:p>
      <w:pPr>
        <w:pStyle w:val="Style2"/>
        <w:keepNext w:val="0"/>
        <w:keepLines w:val="0"/>
        <w:framePr w:w="634" w:h="893" w:wrap="none" w:hAnchor="page" w:x="13972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0,33</w:t>
      </w:r>
    </w:p>
    <w:p>
      <w:pPr>
        <w:pStyle w:val="Style2"/>
        <w:keepNext w:val="0"/>
        <w:keepLines w:val="0"/>
        <w:framePr w:w="634" w:h="893" w:wrap="none" w:hAnchor="page" w:x="13972" w:y="25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44.893,55</w:t>
      </w:r>
    </w:p>
    <w:p>
      <w:pPr>
        <w:pStyle w:val="Style2"/>
        <w:keepNext w:val="0"/>
        <w:keepLines w:val="0"/>
        <w:framePr w:w="629" w:h="907" w:wrap="none" w:hAnchor="page" w:x="13972" w:y="3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44.293,55</w:t>
      </w:r>
    </w:p>
    <w:p>
      <w:pPr>
        <w:pStyle w:val="Style2"/>
        <w:keepNext w:val="0"/>
        <w:keepLines w:val="0"/>
        <w:framePr w:w="629" w:h="907" w:wrap="none" w:hAnchor="page" w:x="13972" w:y="3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34.131,04</w:t>
      </w:r>
    </w:p>
    <w:p>
      <w:pPr>
        <w:pStyle w:val="Style2"/>
        <w:keepNext w:val="0"/>
        <w:keepLines w:val="0"/>
        <w:framePr w:w="629" w:h="907" w:wrap="none" w:hAnchor="page" w:x="13972" w:y="3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10.162,51</w:t>
      </w:r>
    </w:p>
    <w:p>
      <w:pPr>
        <w:pStyle w:val="Style2"/>
        <w:keepNext w:val="0"/>
        <w:keepLines w:val="0"/>
        <w:framePr w:w="629" w:h="907" w:wrap="none" w:hAnchor="page" w:x="13972" w:y="3625"/>
        <w:widowControl w:val="0"/>
        <w:shd w:val="clear" w:color="auto" w:fill="auto"/>
        <w:bidi w:val="0"/>
        <w:spacing w:before="0" w:after="0" w:line="240" w:lineRule="auto"/>
        <w:ind w:left="0" w:right="0" w:firstLine="180"/>
        <w:jc w:val="lef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629" w:h="907" w:wrap="none" w:hAnchor="page" w:x="13972" w:y="3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600,00</w:t>
      </w:r>
    </w:p>
    <w:p>
      <w:pPr>
        <w:pStyle w:val="Style2"/>
        <w:keepNext w:val="0"/>
        <w:keepLines w:val="0"/>
        <w:framePr w:w="614" w:h="173" w:wrap="none" w:hAnchor="page" w:x="13972" w:y="4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48.376,88</w:t>
      </w:r>
    </w:p>
    <w:p>
      <w:pPr>
        <w:pStyle w:val="Style10"/>
        <w:keepNext w:val="0"/>
        <w:keepLines w:val="0"/>
        <w:framePr w:w="3374" w:h="533" w:wrap="none" w:hAnchor="page" w:x="10986" w:y="4835"/>
        <w:widowControl w:val="0"/>
        <w:shd w:val="clear" w:color="auto" w:fill="auto"/>
        <w:tabs>
          <w:tab w:leader="underscore" w:pos="3326" w:val="left"/>
        </w:tabs>
        <w:bidi w:val="0"/>
        <w:spacing w:before="0" w:after="40" w:line="240" w:lineRule="auto"/>
        <w:ind w:left="0" w:right="0" w:firstLine="0"/>
        <w:jc w:val="right"/>
        <w:rPr>
          <w:sz w:val="18"/>
          <w:szCs w:val="18"/>
        </w:rPr>
      </w:pPr>
      <w:r>
        <w:rPr>
          <w:rStyle w:val="CharStyle11"/>
          <w:b/>
          <w:bCs/>
          <w:sz w:val="18"/>
          <w:szCs w:val="18"/>
          <w:lang w:val="pt-BR" w:eastAsia="pt-BR" w:bidi="pt-BR"/>
        </w:rPr>
        <w:t>PATRIMÔNIO LÍQUIDO</w:t>
        <w:tab/>
      </w:r>
    </w:p>
    <w:p>
      <w:pPr>
        <w:pStyle w:val="Style2"/>
        <w:keepNext w:val="0"/>
        <w:keepLines w:val="0"/>
        <w:framePr w:w="3374" w:h="533" w:wrap="none" w:hAnchor="page" w:x="10986" w:y="4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Nota | Exercício Atual</w:t>
      </w:r>
    </w:p>
    <w:p>
      <w:pPr>
        <w:pStyle w:val="Style2"/>
        <w:keepNext w:val="0"/>
        <w:keepLines w:val="0"/>
        <w:framePr w:w="3950" w:h="960" w:wrap="none" w:hAnchor="page" w:x="8543" w:y="5655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RESULTADOS ACUMULADOS</w:t>
      </w:r>
    </w:p>
    <w:p>
      <w:pPr>
        <w:pStyle w:val="Style2"/>
        <w:keepNext w:val="0"/>
        <w:keepLines w:val="0"/>
        <w:framePr w:w="3950" w:h="960" w:wrap="none" w:hAnchor="page" w:x="8543" w:y="56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 xml:space="preserve">SUPERÁVITS OU </w:t>
      </w:r>
      <w:r>
        <w:rPr>
          <w:rStyle w:val="CharStyle3"/>
          <w:b/>
          <w:bCs/>
          <w:sz w:val="14"/>
          <w:szCs w:val="14"/>
          <w:lang w:val="pt-PT" w:eastAsia="pt-PT" w:bidi="pt-PT"/>
        </w:rPr>
        <w:t xml:space="preserve">DÉFICITS </w:t>
      </w:r>
      <w:r>
        <w:rPr>
          <w:rStyle w:val="CharStyle3"/>
          <w:b/>
          <w:bCs/>
          <w:sz w:val="14"/>
          <w:szCs w:val="14"/>
        </w:rPr>
        <w:t>ACUMULADOS</w:t>
      </w:r>
    </w:p>
    <w:p>
      <w:pPr>
        <w:pStyle w:val="Style2"/>
        <w:keepNext w:val="0"/>
        <w:keepLines w:val="0"/>
        <w:framePr w:w="3950" w:h="960" w:wrap="none" w:hAnchor="page" w:x="8543" w:y="565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 xml:space="preserve">SUPERÁVITS OU </w:t>
      </w:r>
      <w:r>
        <w:rPr>
          <w:rStyle w:val="CharStyle3"/>
          <w:lang w:val="pt-PT" w:eastAsia="pt-PT" w:bidi="pt-PT"/>
        </w:rPr>
        <w:t xml:space="preserve">DÉFICITS </w:t>
      </w:r>
      <w:r>
        <w:rPr>
          <w:rStyle w:val="CharStyle3"/>
        </w:rPr>
        <w:t>DO EXERCÍCIO</w:t>
      </w:r>
    </w:p>
    <w:p>
      <w:pPr>
        <w:pStyle w:val="Style2"/>
        <w:keepNext w:val="0"/>
        <w:keepLines w:val="0"/>
        <w:framePr w:w="3950" w:h="960" w:wrap="none" w:hAnchor="page" w:x="8543" w:y="565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 xml:space="preserve">SUPERÁVITS OU </w:t>
      </w:r>
      <w:r>
        <w:rPr>
          <w:rStyle w:val="CharStyle3"/>
          <w:lang w:val="pt-PT" w:eastAsia="pt-PT" w:bidi="pt-PT"/>
        </w:rPr>
        <w:t xml:space="preserve">DÉFICITS </w:t>
      </w:r>
      <w:r>
        <w:rPr>
          <w:rStyle w:val="CharStyle3"/>
        </w:rPr>
        <w:t>DE EXERCÍCIOS ANTERIORES</w:t>
      </w:r>
    </w:p>
    <w:p>
      <w:pPr>
        <w:pStyle w:val="Style2"/>
        <w:keepNext w:val="0"/>
        <w:keepLines w:val="0"/>
        <w:framePr w:w="3950" w:h="960" w:wrap="none" w:hAnchor="page" w:x="8543" w:y="5655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3"/>
        </w:rPr>
        <w:t>AJUSTES DE EXERCÍCIOS ANTERIORES</w:t>
      </w:r>
    </w:p>
    <w:p>
      <w:pPr>
        <w:pStyle w:val="Style2"/>
        <w:keepNext w:val="0"/>
        <w:keepLines w:val="0"/>
        <w:framePr w:w="2170" w:h="206" w:wrap="none" w:hAnchor="page" w:x="8433" w:y="6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 PATRIMÔNIO LÍQUIDO</w:t>
      </w:r>
    </w:p>
    <w:p>
      <w:pPr>
        <w:pStyle w:val="Style2"/>
        <w:keepNext w:val="0"/>
        <w:keepLines w:val="0"/>
        <w:framePr w:w="538" w:h="178" w:wrap="none" w:hAnchor="page" w:x="8433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2"/>
        <w:keepNext w:val="0"/>
        <w:keepLines w:val="0"/>
        <w:framePr w:w="686" w:h="173" w:wrap="none" w:hAnchor="page" w:x="13900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844.416,04</w:t>
      </w:r>
    </w:p>
    <w:p>
      <w:pPr>
        <w:pStyle w:val="Style2"/>
        <w:keepNext w:val="0"/>
        <w:keepLines w:val="0"/>
        <w:framePr w:w="682" w:h="173" w:wrap="none" w:hAnchor="page" w:x="13900" w:y="5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844.416,04</w:t>
      </w:r>
    </w:p>
    <w:p>
      <w:pPr>
        <w:pStyle w:val="Style2"/>
        <w:keepNext w:val="0"/>
        <w:keepLines w:val="0"/>
        <w:framePr w:w="696" w:h="730" w:wrap="none" w:hAnchor="page" w:x="1390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844.416,04</w:t>
      </w:r>
    </w:p>
    <w:p>
      <w:pPr>
        <w:pStyle w:val="Style2"/>
        <w:keepNext w:val="0"/>
        <w:keepLines w:val="0"/>
        <w:framePr w:w="696" w:h="730" w:wrap="none" w:hAnchor="page" w:x="1390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-59.888,36</w:t>
      </w:r>
    </w:p>
    <w:p>
      <w:pPr>
        <w:pStyle w:val="Style2"/>
        <w:keepNext w:val="0"/>
        <w:keepLines w:val="0"/>
        <w:framePr w:w="696" w:h="730" w:wrap="none" w:hAnchor="page" w:x="1390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903.726,44</w:t>
      </w:r>
    </w:p>
    <w:p>
      <w:pPr>
        <w:pStyle w:val="Style2"/>
        <w:keepNext w:val="0"/>
        <w:keepLines w:val="0"/>
        <w:framePr w:w="696" w:h="730" w:wrap="none" w:hAnchor="page" w:x="13900" w:y="59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577,96</w:t>
      </w:r>
    </w:p>
    <w:p>
      <w:pPr>
        <w:pStyle w:val="Style2"/>
        <w:keepNext w:val="0"/>
        <w:keepLines w:val="0"/>
        <w:framePr w:w="686" w:h="173" w:wrap="none" w:hAnchor="page" w:x="13895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844.416,04</w:t>
      </w:r>
    </w:p>
    <w:p>
      <w:pPr>
        <w:pStyle w:val="Style2"/>
        <w:keepNext w:val="0"/>
        <w:keepLines w:val="0"/>
        <w:framePr w:w="682" w:h="173" w:wrap="none" w:hAnchor="page" w:x="13895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892.792,92</w:t>
      </w:r>
    </w:p>
    <w:p>
      <w:pPr>
        <w:pStyle w:val="Style2"/>
        <w:keepNext w:val="0"/>
        <w:keepLines w:val="0"/>
        <w:framePr w:w="672" w:h="888" w:wrap="none" w:hAnchor="page" w:x="15340" w:y="2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672" w:h="888" w:wrap="none" w:hAnchor="page" w:x="15340" w:y="2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3.478,00</w:t>
      </w:r>
    </w:p>
    <w:p>
      <w:pPr>
        <w:pStyle w:val="Style2"/>
        <w:keepNext w:val="0"/>
        <w:keepLines w:val="0"/>
        <w:framePr w:w="672" w:h="888" w:wrap="none" w:hAnchor="page" w:x="15340" w:y="2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2" w:h="888" w:wrap="none" w:hAnchor="page" w:x="15340" w:y="2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672" w:h="888" w:wrap="none" w:hAnchor="page" w:x="15340" w:y="25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112.683,48</w:t>
      </w:r>
    </w:p>
    <w:p>
      <w:pPr>
        <w:pStyle w:val="Style2"/>
        <w:keepNext w:val="0"/>
        <w:keepLines w:val="0"/>
        <w:framePr w:w="667" w:h="902" w:wrap="none" w:hAnchor="page" w:x="15340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110.583,48</w:t>
      </w:r>
    </w:p>
    <w:p>
      <w:pPr>
        <w:pStyle w:val="Style2"/>
        <w:keepNext w:val="0"/>
        <w:keepLines w:val="0"/>
        <w:framePr w:w="667" w:h="902" w:wrap="none" w:hAnchor="page" w:x="15340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105.593,46</w:t>
      </w:r>
    </w:p>
    <w:p>
      <w:pPr>
        <w:pStyle w:val="Style2"/>
        <w:keepNext w:val="0"/>
        <w:keepLines w:val="0"/>
        <w:framePr w:w="667" w:h="902" w:wrap="none" w:hAnchor="page" w:x="15340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4.990,02</w:t>
      </w:r>
    </w:p>
    <w:p>
      <w:pPr>
        <w:pStyle w:val="Style2"/>
        <w:keepNext w:val="0"/>
        <w:keepLines w:val="0"/>
        <w:framePr w:w="667" w:h="902" w:wrap="none" w:hAnchor="page" w:x="15340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667" w:h="902" w:wrap="none" w:hAnchor="page" w:x="15340" w:y="36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2.100,00</w:t>
      </w:r>
    </w:p>
    <w:p>
      <w:pPr>
        <w:pStyle w:val="Style2"/>
        <w:keepNext w:val="0"/>
        <w:keepLines w:val="0"/>
        <w:framePr w:w="672" w:h="173" w:wrap="none" w:hAnchor="page" w:x="15335" w:y="45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116.161,48</w:t>
      </w:r>
    </w:p>
    <w:p>
      <w:pPr>
        <w:pStyle w:val="Style2"/>
        <w:keepNext w:val="0"/>
        <w:keepLines w:val="0"/>
        <w:framePr w:w="1090" w:h="178" w:wrap="none" w:hAnchor="page" w:x="14764" w:y="51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686" w:h="173" w:wrap="none" w:hAnchor="page" w:x="15316" w:y="54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903.726,44</w:t>
      </w:r>
    </w:p>
    <w:p>
      <w:pPr>
        <w:pStyle w:val="Style2"/>
        <w:keepNext w:val="0"/>
        <w:keepLines w:val="0"/>
        <w:framePr w:w="686" w:h="173" w:wrap="none" w:hAnchor="page" w:x="15316" w:y="56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903.726,44</w:t>
      </w:r>
    </w:p>
    <w:p>
      <w:pPr>
        <w:pStyle w:val="Style2"/>
        <w:keepNext w:val="0"/>
        <w:keepLines w:val="0"/>
        <w:framePr w:w="686" w:h="754" w:wrap="none" w:hAnchor="page" w:x="15316" w:y="590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903.726,44</w:t>
      </w:r>
    </w:p>
    <w:p>
      <w:pPr>
        <w:pStyle w:val="Style2"/>
        <w:keepNext w:val="0"/>
        <w:keepLines w:val="0"/>
        <w:framePr w:w="686" w:h="754" w:wrap="none" w:hAnchor="page" w:x="15316" w:y="590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Style w:val="CharStyle3"/>
        </w:rPr>
        <w:t>95.947,34</w:t>
      </w:r>
    </w:p>
    <w:p>
      <w:pPr>
        <w:pStyle w:val="Style2"/>
        <w:keepNext w:val="0"/>
        <w:keepLines w:val="0"/>
        <w:framePr w:w="686" w:h="754" w:wrap="none" w:hAnchor="page" w:x="15316" w:y="590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right"/>
      </w:pPr>
      <w:r>
        <w:rPr>
          <w:rStyle w:val="CharStyle3"/>
        </w:rPr>
        <w:t>807.779,10 0,00</w:t>
      </w:r>
    </w:p>
    <w:p>
      <w:pPr>
        <w:pStyle w:val="Style2"/>
        <w:keepNext w:val="0"/>
        <w:keepLines w:val="0"/>
        <w:framePr w:w="682" w:h="173" w:wrap="none" w:hAnchor="page" w:x="15316" w:y="66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903.726,44</w:t>
      </w:r>
    </w:p>
    <w:p>
      <w:pPr>
        <w:pStyle w:val="Style2"/>
        <w:keepNext w:val="0"/>
        <w:keepLines w:val="0"/>
        <w:framePr w:w="768" w:h="173" w:wrap="none" w:hAnchor="page" w:x="15225" w:y="6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1.019.887,92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34" w:right="825" w:bottom="734" w:left="512" w:header="306" w:footer="306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40" w:lineRule="auto"/>
        <w:ind w:left="3080" w:right="0" w:firstLine="0"/>
        <w:jc w:val="left"/>
      </w:pPr>
      <w:bookmarkStart w:id="2" w:name="bookmark2"/>
      <w:r>
        <w:rPr>
          <w:rStyle w:val="CharStyle6"/>
          <w:b/>
          <w:bCs/>
        </w:rPr>
        <w:t>CAMARA MUNICIPAL DE SAO PAULO DE OLIVENÇA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00" w:right="0" w:firstLine="0"/>
        <w:jc w:val="left"/>
      </w:pPr>
      <w:r>
        <w:rPr>
          <w:rStyle w:val="CharStyle8"/>
          <w:b/>
          <w:bCs/>
          <w:lang w:val="pt-BR" w:eastAsia="pt-BR" w:bidi="pt-BR"/>
        </w:rPr>
        <w:t>BALANÇO PATRIMONIAL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564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315595</wp:posOffset>
                </wp:positionH>
                <wp:positionV relativeFrom="paragraph">
                  <wp:posOffset>50800</wp:posOffset>
                </wp:positionV>
                <wp:extent cx="694690" cy="10985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Exercício de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4.850000000000001pt;margin-top:4.pt;width:54.700000000000003pt;height:8.6500000000000004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Exercício de 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9858375</wp:posOffset>
                </wp:positionH>
                <wp:positionV relativeFrom="paragraph">
                  <wp:posOffset>38100</wp:posOffset>
                </wp:positionV>
                <wp:extent cx="313690" cy="12827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36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3"/>
                                <w:sz w:val="13"/>
                                <w:szCs w:val="13"/>
                              </w:rPr>
                              <w:t>Pág.:2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76.25pt;margin-top:3.pt;width:24.699999999999999pt;height:10.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3"/>
                          <w:sz w:val="13"/>
                          <w:szCs w:val="13"/>
                        </w:rPr>
                        <w:t>Pág.:2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8"/>
          <w:lang w:val="pt-BR" w:eastAsia="pt-BR" w:bidi="pt-BR"/>
        </w:rPr>
        <w:t>Dezembro(3l/12/2025)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-855" w:val="left"/>
        </w:tabs>
        <w:bidi w:val="0"/>
        <w:spacing w:before="0" w:after="0" w:line="240" w:lineRule="auto"/>
        <w:ind w:left="0" w:right="0" w:hanging="1180"/>
        <w:jc w:val="left"/>
        <w:rPr>
          <w:sz w:val="14"/>
          <w:szCs w:val="14"/>
        </w:rPr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67" w:right="4915" w:bottom="6883" w:left="1591" w:header="339" w:footer="6455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  <w:sz w:val="14"/>
          <w:szCs w:val="14"/>
        </w:rPr>
        <w:t>QUADRO DOS ATIVOS E PASSIVOS FINANCEIROS E PERMANENTES</w:t>
      </w:r>
    </w:p>
    <w:p>
      <w:pPr>
        <w:pStyle w:val="Style2"/>
        <w:keepNext w:val="0"/>
        <w:keepLines w:val="0"/>
        <w:framePr w:w="1128" w:h="211" w:wrap="none" w:vAnchor="text" w:hAnchor="page" w:x="464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26" w:h="178" w:wrap="none" w:vAnchor="text" w:hAnchor="page" w:x="4870" w:y="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07" w:h="178" w:wrap="none" w:vAnchor="text" w:hAnchor="page" w:x="5691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0" w:h="178" w:wrap="none" w:vAnchor="text" w:hAnchor="page" w:x="6882" w:y="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1118" w:h="211" w:wrap="none" w:vAnchor="text" w:hAnchor="page" w:x="81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ESPECIFICAÇÃO</w:t>
      </w:r>
    </w:p>
    <w:p>
      <w:pPr>
        <w:pStyle w:val="Style2"/>
        <w:keepNext w:val="0"/>
        <w:keepLines w:val="0"/>
        <w:framePr w:w="331" w:h="173" w:wrap="none" w:vAnchor="text" w:hAnchor="page" w:x="12680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22" w:h="178" w:wrap="none" w:vAnchor="text" w:hAnchor="page" w:x="1330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0" w:h="178" w:wrap="none" w:vAnchor="text" w:hAnchor="page" w:x="146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1373" w:h="182" w:wrap="none" w:vAnchor="text" w:hAnchor="page" w:x="454" w:y="3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ATIVO FINANCEIRO</w:t>
      </w:r>
    </w:p>
    <w:p>
      <w:pPr>
        <w:pStyle w:val="Style2"/>
        <w:keepNext w:val="0"/>
        <w:keepLines w:val="0"/>
        <w:framePr w:w="662" w:h="182" w:wrap="none" w:vAnchor="text" w:hAnchor="page" w:x="6037" w:y="3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121.044,42</w:t>
      </w:r>
    </w:p>
    <w:p>
      <w:pPr>
        <w:pStyle w:val="Style2"/>
        <w:keepNext w:val="0"/>
        <w:keepLines w:val="0"/>
        <w:framePr w:w="686" w:h="182" w:wrap="none" w:vAnchor="text" w:hAnchor="page" w:x="7453" w:y="3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281.917,60</w:t>
      </w:r>
    </w:p>
    <w:p>
      <w:pPr>
        <w:pStyle w:val="Style2"/>
        <w:keepNext w:val="0"/>
        <w:keepLines w:val="0"/>
        <w:framePr w:w="3336" w:h="192" w:wrap="none" w:vAnchor="text" w:hAnchor="page" w:x="8192" w:y="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PASSIVO FINANCEIRO (48.376.88)+RP não Proc (0,00)</w:t>
      </w:r>
    </w:p>
    <w:p>
      <w:pPr>
        <w:pStyle w:val="Style2"/>
        <w:keepNext w:val="0"/>
        <w:keepLines w:val="0"/>
        <w:framePr w:w="614" w:h="182" w:wrap="none" w:vAnchor="text" w:hAnchor="page" w:x="13851" w:y="3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48.376,88</w:t>
      </w:r>
    </w:p>
    <w:p>
      <w:pPr>
        <w:pStyle w:val="Style2"/>
        <w:keepNext w:val="0"/>
        <w:keepLines w:val="0"/>
        <w:framePr w:w="672" w:h="182" w:wrap="none" w:vAnchor="text" w:hAnchor="page" w:x="15219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116.161,48</w:t>
      </w:r>
    </w:p>
    <w:p>
      <w:pPr>
        <w:pStyle w:val="Style2"/>
        <w:keepNext w:val="0"/>
        <w:keepLines w:val="0"/>
        <w:framePr w:w="1459" w:h="178" w:wrap="none" w:vAnchor="text" w:hAnchor="page" w:x="445" w:y="6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ATIVO PERMANENTE</w:t>
      </w:r>
    </w:p>
    <w:p>
      <w:pPr>
        <w:pStyle w:val="Style2"/>
        <w:keepNext w:val="0"/>
        <w:keepLines w:val="0"/>
        <w:framePr w:w="682" w:h="182" w:wrap="none" w:vAnchor="text" w:hAnchor="page" w:x="6022" w:y="60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771.748,50</w:t>
      </w:r>
    </w:p>
    <w:p>
      <w:pPr>
        <w:pStyle w:val="Style2"/>
        <w:keepNext w:val="0"/>
        <w:keepLines w:val="0"/>
        <w:framePr w:w="682" w:h="187" w:wrap="none" w:vAnchor="text" w:hAnchor="page" w:x="7453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737.970,32</w:t>
      </w:r>
    </w:p>
    <w:p>
      <w:pPr>
        <w:pStyle w:val="Style2"/>
        <w:keepNext w:val="0"/>
        <w:keepLines w:val="0"/>
        <w:framePr w:w="1598" w:h="182" w:wrap="none" w:vAnchor="text" w:hAnchor="page" w:x="8187" w:y="5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PASSIVO PERMANENTE</w:t>
      </w:r>
    </w:p>
    <w:p>
      <w:pPr>
        <w:pStyle w:val="Style2"/>
        <w:keepNext w:val="0"/>
        <w:keepLines w:val="0"/>
        <w:framePr w:w="298" w:h="182" w:wrap="none" w:vAnchor="text" w:hAnchor="page" w:x="14168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302" w:h="178" w:wrap="none" w:vAnchor="text" w:hAnchor="page" w:x="15608" w:y="6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0,00</w:t>
      </w:r>
    </w:p>
    <w:p>
      <w:pPr>
        <w:pStyle w:val="Style2"/>
        <w:keepNext w:val="0"/>
        <w:keepLines w:val="0"/>
        <w:framePr w:w="1488" w:h="178" w:wrap="none" w:vAnchor="text" w:hAnchor="page" w:x="8178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SALDO PATRIMONIAL</w:t>
      </w:r>
    </w:p>
    <w:p>
      <w:pPr>
        <w:pStyle w:val="Style2"/>
        <w:keepNext w:val="0"/>
        <w:keepLines w:val="0"/>
        <w:framePr w:w="677" w:h="178" w:wrap="none" w:vAnchor="text" w:hAnchor="page" w:x="13784" w:y="8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844.416,04</w:t>
      </w:r>
    </w:p>
    <w:p>
      <w:pPr>
        <w:pStyle w:val="Style2"/>
        <w:keepNext w:val="0"/>
        <w:keepLines w:val="0"/>
        <w:framePr w:w="691" w:h="178" w:wrap="none" w:vAnchor="text" w:hAnchor="page" w:x="15214" w:y="8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903.726,44</w:t>
      </w:r>
    </w:p>
    <w:p>
      <w:pPr>
        <w:pStyle w:val="Style19"/>
        <w:keepNext w:val="0"/>
        <w:keepLines w:val="0"/>
        <w:framePr w:w="811" w:h="158" w:wrap="none" w:vAnchor="text" w:hAnchor="page" w:x="3766" w:y="23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PRESIDENTE</w:t>
      </w:r>
    </w:p>
    <w:p>
      <w:pPr>
        <w:pStyle w:val="Style19"/>
        <w:keepNext w:val="0"/>
        <w:keepLines w:val="0"/>
        <w:framePr w:w="1517" w:h="230" w:wrap="none" w:vAnchor="text" w:hAnchor="page" w:x="3416" w:y="2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JORÓE ROBERTO LUCAS</w:t>
      </w:r>
    </w:p>
    <w:p>
      <w:pPr>
        <w:pStyle w:val="Style12"/>
        <w:keepNext w:val="0"/>
        <w:keepLines w:val="0"/>
        <w:framePr w:w="600" w:h="158" w:wrap="none" w:vAnchor="text" w:hAnchor="page" w:x="10933" w:y="21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MARIA RI’</w:t>
      </w:r>
    </w:p>
    <w:p>
      <w:pPr>
        <w:pStyle w:val="Style21"/>
        <w:keepNext w:val="0"/>
        <w:keepLines w:val="0"/>
        <w:framePr w:w="989" w:h="192" w:wrap="none" w:vAnchor="text" w:hAnchor="page" w:x="11744" w:y="21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2"/>
          <w:smallCaps/>
          <w:lang w:val="pt-PT" w:eastAsia="pt-PT" w:bidi="pt-PT"/>
        </w:rPr>
        <w:t xml:space="preserve">Ima </w:t>
      </w:r>
      <w:r>
        <w:rPr>
          <w:rStyle w:val="CharStyle22"/>
          <w:smallCaps/>
        </w:rPr>
        <w:t>de moraes</w:t>
      </w:r>
    </w:p>
    <w:p>
      <w:pPr>
        <w:pStyle w:val="Style12"/>
        <w:keepNext w:val="0"/>
        <w:keepLines w:val="0"/>
        <w:framePr w:w="821" w:h="163" w:wrap="none" w:vAnchor="text" w:hAnchor="page" w:x="11422" w:y="23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CONTADORA</w:t>
      </w:r>
    </w:p>
    <w:p>
      <w:pPr>
        <w:pStyle w:val="Style12"/>
        <w:keepNext w:val="0"/>
        <w:keepLines w:val="0"/>
        <w:framePr w:w="898" w:h="163" w:wrap="none" w:vAnchor="text" w:hAnchor="page" w:x="3728" w:y="25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192.750.052-49</w:t>
      </w:r>
    </w:p>
    <w:p>
      <w:pPr>
        <w:pStyle w:val="Style12"/>
        <w:keepNext w:val="0"/>
        <w:keepLines w:val="0"/>
        <w:framePr w:w="1200" w:h="158" w:wrap="none" w:vAnchor="text" w:hAnchor="page" w:x="11235" w:y="25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CRC/AM 007366/0-8</w:t>
      </w:r>
    </w:p>
    <w:p>
      <w:pPr>
        <w:widowControl w:val="0"/>
        <w:spacing w:line="360" w:lineRule="exact"/>
      </w:pPr>
      <w:r>
        <w:drawing>
          <wp:anchor distT="0" distB="274320" distL="12065" distR="0" simplePos="0" relativeHeight="62914690" behindDoc="1" locked="0" layoutInCell="1" allowOverlap="1">
            <wp:simplePos x="0" y="0"/>
            <wp:positionH relativeFrom="page">
              <wp:posOffset>2180590</wp:posOffset>
            </wp:positionH>
            <wp:positionV relativeFrom="paragraph">
              <wp:posOffset>822960</wp:posOffset>
            </wp:positionV>
            <wp:extent cx="1127760" cy="50609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127760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7609205</wp:posOffset>
            </wp:positionH>
            <wp:positionV relativeFrom="paragraph">
              <wp:posOffset>993775</wp:posOffset>
            </wp:positionV>
            <wp:extent cx="396240" cy="31686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96240" cy="316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67" w:right="820" w:bottom="767" w:left="444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bookmarkStart w:id="4" w:name="bookmark4"/>
      <w:r>
        <w:rPr>
          <w:rStyle w:val="CharStyle6"/>
          <w:b/>
          <w:bCs/>
        </w:rPr>
        <w:t>CAMARA MUNICIPAL DE SAO PAULO DE OLIVENÇA</w:t>
      </w:r>
      <w:bookmarkEnd w:id="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rStyle w:val="CharStyle8"/>
          <w:b/>
          <w:bCs/>
          <w:lang w:val="pt-BR" w:eastAsia="pt-BR" w:bidi="pt-BR"/>
        </w:rPr>
        <w:t>ANEXO 14 - BALANÇO PATRIMONIAL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6840" w:h="11900" w:orient="landscape"/>
          <w:pgMar w:top="703" w:right="4929" w:bottom="860" w:left="4663" w:header="275" w:footer="432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312420</wp:posOffset>
                </wp:positionH>
                <wp:positionV relativeFrom="paragraph">
                  <wp:posOffset>50800</wp:posOffset>
                </wp:positionV>
                <wp:extent cx="694690" cy="10985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469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Exercício de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.600000000000001pt;margin-top:4.pt;width:54.700000000000003pt;height:8.6500000000000004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Exercício de 2025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9849485</wp:posOffset>
                </wp:positionH>
                <wp:positionV relativeFrom="paragraph">
                  <wp:posOffset>25400</wp:posOffset>
                </wp:positionV>
                <wp:extent cx="311150" cy="12827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11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3"/>
                                <w:sz w:val="13"/>
                                <w:szCs w:val="13"/>
                              </w:rPr>
                              <w:t>Pág.: 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75.55000000000007pt;margin-top:2.pt;width:24.5pt;height:10.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3"/>
                          <w:sz w:val="13"/>
                          <w:szCs w:val="13"/>
                        </w:rPr>
                        <w:t>Pág.: 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8"/>
          <w:lang w:val="pt-BR" w:eastAsia="pt-BR" w:bidi="pt-BR"/>
        </w:rPr>
        <w:t>Dezembro(31/12/2025)</w:t>
      </w:r>
    </w:p>
    <w:p>
      <w:pPr>
        <w:widowControl w:val="0"/>
        <w:spacing w:line="124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03" w:right="0" w:bottom="86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7231380</wp:posOffset>
                </wp:positionH>
                <wp:positionV relativeFrom="paragraph">
                  <wp:posOffset>167640</wp:posOffset>
                </wp:positionV>
                <wp:extent cx="975360" cy="15875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  <w:sz w:val="18"/>
                                <w:szCs w:val="18"/>
                                <w:lang w:val="pt-BR" w:eastAsia="pt-BR" w:bidi="pt-BR"/>
                              </w:rPr>
                              <w:t>ESPECIFICAÇÃO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69.39999999999998pt;margin-top:13.200000000000001pt;width:76.799999999999997pt;height:12.5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1"/>
                          <w:b/>
                          <w:bCs/>
                          <w:sz w:val="18"/>
                          <w:szCs w:val="18"/>
                          <w:lang w:val="pt-BR" w:eastAsia="pt-BR" w:bidi="pt-BR"/>
                        </w:rPr>
                        <w:t>ESPECIFICAÇÃO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39" w:val="left"/>
        </w:tabs>
        <w:bidi w:val="0"/>
        <w:spacing w:before="0" w:after="10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QUADRO DAS CONTAS DE COMPENSAÇÃO (CONTROLE)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8"/>
          <w:szCs w:val="18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03" w:right="11682" w:bottom="860" w:left="516" w:header="0" w:footer="3" w:gutter="0"/>
          <w:cols w:space="720"/>
          <w:noEndnote/>
          <w:rtlGutter w:val="0"/>
          <w:docGrid w:linePitch="360"/>
        </w:sectPr>
      </w:pPr>
      <w:r>
        <w:rPr>
          <w:rStyle w:val="CharStyle11"/>
          <w:b/>
          <w:bCs/>
          <w:sz w:val="18"/>
          <w:szCs w:val="18"/>
          <w:lang w:val="pt-BR" w:eastAsia="pt-BR" w:bidi="pt-BR"/>
        </w:rPr>
        <w:t>ESPECIFICAÇÃO</w:t>
      </w:r>
    </w:p>
    <w:p>
      <w:pPr>
        <w:pStyle w:val="Style2"/>
        <w:keepNext w:val="0"/>
        <w:keepLines w:val="0"/>
        <w:framePr w:w="4142" w:h="187" w:wrap="none" w:vAnchor="text" w:hAnchor="page" w:x="579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SALDOS DOS ATOS POTENCIAIS ATIVOS (Contas do Grupo 81 Ixx)</w:t>
      </w:r>
    </w:p>
    <w:p>
      <w:pPr>
        <w:pStyle w:val="Style2"/>
        <w:keepNext w:val="0"/>
        <w:keepLines w:val="0"/>
        <w:framePr w:w="322" w:h="173" w:wrap="none" w:vAnchor="text" w:hAnchor="page" w:x="5096" w:y="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2" w:h="178" w:wrap="none" w:vAnchor="text" w:hAnchor="page" w:x="56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90" w:h="178" w:wrap="none" w:vAnchor="text" w:hAnchor="page" w:x="700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4330" w:h="187" w:wrap="none" w:vAnchor="text" w:hAnchor="page" w:x="828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SALDOS DOS ATOS POTENCIAIS PASSIVOS ( Contas do Grupo 8l2xx)</w:t>
      </w:r>
    </w:p>
    <w:p>
      <w:pPr>
        <w:pStyle w:val="Style2"/>
        <w:keepNext w:val="0"/>
        <w:keepLines w:val="0"/>
        <w:framePr w:w="331" w:h="173" w:wrap="none" w:vAnchor="text" w:hAnchor="page" w:x="1293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Nota</w:t>
      </w:r>
    </w:p>
    <w:p>
      <w:pPr>
        <w:pStyle w:val="Style2"/>
        <w:keepNext w:val="0"/>
        <w:keepLines w:val="0"/>
        <w:framePr w:w="917" w:h="178" w:wrap="none" w:vAnchor="text" w:hAnchor="page" w:x="1344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Atual</w:t>
      </w:r>
    </w:p>
    <w:p>
      <w:pPr>
        <w:pStyle w:val="Style2"/>
        <w:keepNext w:val="0"/>
        <w:keepLines w:val="0"/>
        <w:framePr w:w="1085" w:h="173" w:wrap="none" w:vAnchor="text" w:hAnchor="page" w:x="1478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Exercício Anterior</w:t>
      </w:r>
    </w:p>
    <w:p>
      <w:pPr>
        <w:pStyle w:val="Style2"/>
        <w:keepNext w:val="0"/>
        <w:keepLines w:val="0"/>
        <w:framePr w:w="2059" w:h="365" w:wrap="none" w:vAnchor="text" w:hAnchor="page" w:x="8418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ATOS POTENCIAIS PASSIVO</w:t>
      </w:r>
    </w:p>
    <w:p>
      <w:pPr>
        <w:pStyle w:val="Style2"/>
        <w:keepNext w:val="0"/>
        <w:keepLines w:val="0"/>
        <w:framePr w:w="2059" w:h="365" w:wrap="none" w:vAnchor="text" w:hAnchor="page" w:x="8418" w:y="4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OBRIGAÇÕES CONTRATUAIS</w:t>
      </w:r>
    </w:p>
    <w:p>
      <w:pPr>
        <w:pStyle w:val="Style2"/>
        <w:keepNext w:val="0"/>
        <w:keepLines w:val="0"/>
        <w:framePr w:w="600" w:h="350" w:wrap="none" w:vAnchor="text" w:hAnchor="page" w:x="13986" w:y="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12.000,00</w:t>
      </w:r>
    </w:p>
    <w:p>
      <w:pPr>
        <w:pStyle w:val="Style2"/>
        <w:keepNext w:val="0"/>
        <w:keepLines w:val="0"/>
        <w:framePr w:w="600" w:h="350" w:wrap="none" w:vAnchor="text" w:hAnchor="page" w:x="13986" w:y="4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12.000,00</w:t>
      </w:r>
    </w:p>
    <w:p>
      <w:pPr>
        <w:pStyle w:val="Style2"/>
        <w:keepNext w:val="0"/>
        <w:keepLines w:val="0"/>
        <w:framePr w:w="782" w:h="350" w:wrap="none" w:vAnchor="text" w:hAnchor="page" w:x="15219" w:y="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1.932.661,38</w:t>
      </w:r>
    </w:p>
    <w:p>
      <w:pPr>
        <w:pStyle w:val="Style2"/>
        <w:keepNext w:val="0"/>
        <w:keepLines w:val="0"/>
        <w:framePr w:w="782" w:h="350" w:wrap="none" w:vAnchor="text" w:hAnchor="page" w:x="15219" w:y="4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1.932.661,38</w:t>
      </w:r>
    </w:p>
    <w:p>
      <w:pPr>
        <w:pStyle w:val="Style2"/>
        <w:keepNext w:val="0"/>
        <w:keepLines w:val="0"/>
        <w:framePr w:w="538" w:h="178" w:wrap="none" w:vAnchor="text" w:hAnchor="page" w:x="8418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rStyle w:val="CharStyle3"/>
          <w:b/>
          <w:bCs/>
          <w:sz w:val="14"/>
          <w:szCs w:val="14"/>
        </w:rPr>
        <w:t>TOTAL</w:t>
      </w:r>
    </w:p>
    <w:p>
      <w:pPr>
        <w:pStyle w:val="Style2"/>
        <w:keepNext w:val="0"/>
        <w:keepLines w:val="0"/>
        <w:framePr w:w="595" w:h="173" w:wrap="none" w:vAnchor="text" w:hAnchor="page" w:x="13986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12.000,00</w:t>
      </w:r>
    </w:p>
    <w:p>
      <w:pPr>
        <w:pStyle w:val="Style2"/>
        <w:keepNext w:val="0"/>
        <w:keepLines w:val="0"/>
        <w:framePr w:w="778" w:h="173" w:wrap="none" w:vAnchor="text" w:hAnchor="page" w:x="15219" w:y="9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1.932.661,38</w:t>
      </w:r>
    </w:p>
    <w:p>
      <w:pPr>
        <w:pStyle w:val="Style19"/>
        <w:keepNext w:val="0"/>
        <w:keepLines w:val="0"/>
        <w:framePr w:w="389" w:h="163" w:wrap="none" w:vAnchor="text" w:hAnchor="page" w:x="4539" w:y="7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PT" w:eastAsia="pt-PT" w:bidi="pt-PT"/>
        </w:rPr>
        <w:t>.UCAS</w:t>
      </w:r>
    </w:p>
    <w:p>
      <w:pPr>
        <w:pStyle w:val="Style19"/>
        <w:keepNext w:val="0"/>
        <w:keepLines w:val="0"/>
        <w:framePr w:w="811" w:h="158" w:wrap="none" w:vAnchor="text" w:hAnchor="page" w:x="3762" w:y="80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PRÉSIDENTE</w:t>
      </w:r>
    </w:p>
    <w:p>
      <w:pPr>
        <w:pStyle w:val="Style19"/>
        <w:keepNext w:val="0"/>
        <w:keepLines w:val="0"/>
        <w:framePr w:w="701" w:h="163" w:wrap="none" w:vAnchor="text" w:hAnchor="page" w:x="3411" w:y="78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JORGEROI</w:t>
      </w:r>
    </w:p>
    <w:p>
      <w:pPr>
        <w:pStyle w:val="Style12"/>
        <w:keepNext w:val="0"/>
        <w:keepLines w:val="0"/>
        <w:framePr w:w="600" w:h="158" w:wrap="none" w:vAnchor="text" w:hAnchor="page" w:x="10933" w:y="7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MARIA RI’</w:t>
      </w:r>
    </w:p>
    <w:p>
      <w:pPr>
        <w:pStyle w:val="Style12"/>
        <w:keepNext w:val="0"/>
        <w:keepLines w:val="0"/>
        <w:framePr w:w="768" w:h="163" w:wrap="none" w:vAnchor="text" w:hAnchor="page" w:x="11960" w:y="78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DE MORAES</w:t>
      </w:r>
    </w:p>
    <w:p>
      <w:pPr>
        <w:pStyle w:val="Style12"/>
        <w:keepNext w:val="0"/>
        <w:keepLines w:val="0"/>
        <w:framePr w:w="643" w:h="158" w:wrap="none" w:vAnchor="text" w:hAnchor="page" w:x="11595" w:y="80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ÍNTADORA</w:t>
      </w:r>
    </w:p>
    <w:p>
      <w:pPr>
        <w:pStyle w:val="Style12"/>
        <w:keepNext w:val="0"/>
        <w:keepLines w:val="0"/>
        <w:framePr w:w="893" w:h="158" w:wrap="none" w:vAnchor="text" w:hAnchor="page" w:x="3723" w:y="82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192.750.052-49</w:t>
      </w:r>
    </w:p>
    <w:p>
      <w:pPr>
        <w:pStyle w:val="Style12"/>
        <w:keepNext w:val="0"/>
        <w:keepLines w:val="0"/>
        <w:framePr w:w="1190" w:h="158" w:wrap="none" w:vAnchor="text" w:hAnchor="page" w:x="11235" w:y="82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>CRC/AM 007366/0-8</w:t>
      </w:r>
    </w:p>
    <w:p>
      <w:pPr>
        <w:widowControl w:val="0"/>
        <w:spacing w:line="360" w:lineRule="exact"/>
      </w:pPr>
      <w:r>
        <w:drawing>
          <wp:anchor distT="0" distB="250190" distL="52070" distR="0" simplePos="0" relativeHeight="62914692" behindDoc="1" locked="0" layoutInCell="1" allowOverlap="1">
            <wp:simplePos x="0" y="0"/>
            <wp:positionH relativeFrom="page">
              <wp:posOffset>2217420</wp:posOffset>
            </wp:positionH>
            <wp:positionV relativeFrom="paragraph">
              <wp:posOffset>4392295</wp:posOffset>
            </wp:positionV>
            <wp:extent cx="1127760" cy="57277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12776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7121525</wp:posOffset>
            </wp:positionH>
            <wp:positionV relativeFrom="paragraph">
              <wp:posOffset>4389120</wp:posOffset>
            </wp:positionV>
            <wp:extent cx="762000" cy="54229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6200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6840" w:h="11900" w:orient="landscape"/>
          <w:pgMar w:top="703" w:right="839" w:bottom="703" w:left="49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9"/>
        <w:keepNext/>
        <w:keepLines/>
        <w:widowControl w:val="0"/>
        <w:shd w:val="clear" w:color="auto" w:fill="auto"/>
        <w:bidi w:val="0"/>
        <w:ind w:left="0" w:right="0" w:firstLine="0"/>
        <w:jc w:val="center"/>
      </w:pPr>
      <w:bookmarkStart w:id="10" w:name="bookmark10"/>
      <w:r>
        <w:rPr>
          <w:rStyle w:val="CharStyle30"/>
          <w:b/>
          <w:bCs/>
        </w:rPr>
        <w:t>NOTAS EXPLICATIVAS DAS DEMONSTRAÇÕES</w:t>
        <w:br/>
      </w:r>
      <w:r>
        <w:rPr>
          <w:rStyle w:val="CharStyle30"/>
          <w:b/>
          <w:bCs/>
          <w:lang w:val="pt-BR" w:eastAsia="pt-BR" w:bidi="pt-BR"/>
        </w:rPr>
        <w:t xml:space="preserve">CONTÁBEIS </w:t>
      </w:r>
      <w:r>
        <w:rPr>
          <w:rStyle w:val="CharStyle30"/>
          <w:b/>
          <w:bCs/>
        </w:rPr>
        <w:t>DO EXERCÍCIO FINANCEIRO DE 2025</w:t>
      </w:r>
      <w:bookmarkEnd w:id="10"/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60" w:line="240" w:lineRule="auto"/>
        <w:ind w:right="0" w:firstLine="0"/>
        <w:jc w:val="both"/>
      </w:pPr>
      <w:bookmarkStart w:id="12" w:name="bookmark12"/>
      <w:r>
        <w:rPr>
          <w:rStyle w:val="CharStyle6"/>
          <w:b/>
          <w:bCs/>
        </w:rPr>
        <w:t xml:space="preserve">I - </w:t>
      </w:r>
      <w:r>
        <w:rPr>
          <w:rStyle w:val="CharStyle6"/>
          <w:b/>
          <w:bCs/>
          <w:lang w:val="pt-PT" w:eastAsia="pt-PT" w:bidi="pt-PT"/>
        </w:rPr>
        <w:t>CONTEXTO OPERACIONAL DAS DEMONSTRAÇÕES:</w:t>
      </w:r>
      <w:bookmarkEnd w:id="1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8"/>
        </w:rPr>
        <w:t>Para exercer sua função, a Câmara Municipal de Apuí necessita de recursos financeiros que garantam sua real independência.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Para o exercício de 2025, foi aprovada a Lei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 xml:space="preserve">Anual fixando um orçamento anual para o Poder Legislativo de </w:t>
      </w:r>
      <w:r>
        <w:rPr>
          <w:rStyle w:val="CharStyle8"/>
          <w:b/>
          <w:bCs/>
        </w:rPr>
        <w:t xml:space="preserve">RS 2.638.936,00 (Dois milhões seiscentos </w:t>
      </w:r>
      <w:r>
        <w:rPr>
          <w:rStyle w:val="CharStyle8"/>
        </w:rPr>
        <w:t xml:space="preserve">e </w:t>
      </w:r>
      <w:r>
        <w:rPr>
          <w:rStyle w:val="CharStyle8"/>
          <w:b/>
          <w:bCs/>
        </w:rPr>
        <w:t xml:space="preserve">trinta </w:t>
      </w:r>
      <w:r>
        <w:rPr>
          <w:rStyle w:val="CharStyle8"/>
        </w:rPr>
        <w:t xml:space="preserve">e </w:t>
      </w:r>
      <w:r>
        <w:rPr>
          <w:rStyle w:val="CharStyle8"/>
          <w:b/>
          <w:bCs/>
        </w:rPr>
        <w:t>oito mil e novecentos e trinta seis reais).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O orçamento da Edilidade é determinado anualmente pela Lei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>do Município, que prevê os recursos disponíveis para a cidade e fixa como esses recursos serão distribuídos e gastos, ou seja, o orçamento do Legislativo é uma parte desse total.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No </w:t>
      </w:r>
      <w:r>
        <w:rPr>
          <w:rStyle w:val="CharStyle8"/>
          <w:lang w:val="pt-BR" w:eastAsia="pt-BR" w:bidi="pt-BR"/>
        </w:rPr>
        <w:t xml:space="preserve">fim </w:t>
      </w:r>
      <w:r>
        <w:rPr>
          <w:rStyle w:val="CharStyle8"/>
        </w:rPr>
        <w:t xml:space="preserve">do exercício, que corresponde ao período de janeiro a dezembro, a Câmara Municipal deve elaborar suas </w:t>
      </w:r>
      <w:r>
        <w:rPr>
          <w:rStyle w:val="CharStyle8"/>
          <w:lang w:val="pt-BR" w:eastAsia="pt-BR" w:bidi="pt-BR"/>
        </w:rPr>
        <w:t xml:space="preserve">respectivas </w:t>
      </w:r>
      <w:r>
        <w:rPr>
          <w:rStyle w:val="CharStyle8"/>
        </w:rPr>
        <w:t xml:space="preserve">Demonstrações </w:t>
      </w:r>
      <w:r>
        <w:rPr>
          <w:rStyle w:val="CharStyle8"/>
          <w:lang w:val="pt-BR" w:eastAsia="pt-BR" w:bidi="pt-BR"/>
        </w:rPr>
        <w:t>Contábeis.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O objetivo principal das Notas Explicativas </w:t>
      </w:r>
      <w:r>
        <w:rPr>
          <w:rStyle w:val="CharStyle8"/>
          <w:lang w:val="pt-BR" w:eastAsia="pt-BR" w:bidi="pt-BR"/>
        </w:rPr>
        <w:t xml:space="preserve">às </w:t>
      </w:r>
      <w:r>
        <w:rPr>
          <w:rStyle w:val="CharStyle8"/>
        </w:rPr>
        <w:t xml:space="preserve">Demonstrações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>é fornecer, aos diversos usuários, informações sobre a situação económico-financeira da entidade, a sua situação patrimonial, o seu desempenho e os seus fluxos de caixa; contribuindo, dessa forma, na prestação de contas à sociedade.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A partir da Portaria 184 editada pelo Ministério da Fazenda em 25/08/2008, a Secretaria do Tesouro Nacional deu início ao processo de alteração da contabilidade pública (procedimentos, práticas, elaboração e divulgação das demonstrações </w:t>
      </w:r>
      <w:r>
        <w:rPr>
          <w:rStyle w:val="CharStyle8"/>
          <w:lang w:val="pt-BR" w:eastAsia="pt-BR" w:bidi="pt-BR"/>
        </w:rPr>
        <w:t xml:space="preserve">contábeis), </w:t>
      </w:r>
      <w:r>
        <w:rPr>
          <w:rStyle w:val="CharStyle8"/>
        </w:rPr>
        <w:t xml:space="preserve">no sentido de promover, de forma gradual, a convergência </w:t>
      </w:r>
      <w:r>
        <w:rPr>
          <w:rStyle w:val="CharStyle8"/>
          <w:lang w:val="pt-BR" w:eastAsia="pt-BR" w:bidi="pt-BR"/>
        </w:rPr>
        <w:t xml:space="preserve">às </w:t>
      </w:r>
      <w:r>
        <w:rPr>
          <w:rStyle w:val="CharStyle8"/>
        </w:rPr>
        <w:t xml:space="preserve">Normas Internacionais de Contabilidade publicadas pela </w:t>
      </w:r>
      <w:r>
        <w:rPr>
          <w:rStyle w:val="CharStyle8"/>
          <w:i/>
          <w:iCs/>
        </w:rPr>
        <w:t>International Federation of Accountants -</w:t>
      </w:r>
      <w:r>
        <w:rPr>
          <w:rStyle w:val="CharStyle8"/>
        </w:rPr>
        <w:t xml:space="preserve"> IFAC e </w:t>
      </w:r>
      <w:r>
        <w:rPr>
          <w:rStyle w:val="CharStyle8"/>
          <w:lang w:val="pt-BR" w:eastAsia="pt-BR" w:bidi="pt-BR"/>
        </w:rPr>
        <w:t xml:space="preserve">às </w:t>
      </w:r>
      <w:r>
        <w:rPr>
          <w:rStyle w:val="CharStyle8"/>
        </w:rPr>
        <w:t>Normas Brasileiras de Contabilidade aplicadas ao Setor Público editadas pelo Conselho Federal de Contabilidade - CFC, respeitados os aspectos formais e conceituais estabelecidos na legislação vigente.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As demonstrações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 xml:space="preserve">foram elaboradas a partir da escrituração </w:t>
      </w:r>
      <w:r>
        <w:rPr>
          <w:rStyle w:val="CharStyle8"/>
          <w:lang w:val="pt-BR" w:eastAsia="pt-BR" w:bidi="pt-BR"/>
        </w:rPr>
        <w:t xml:space="preserve">contábil </w:t>
      </w:r>
      <w:r>
        <w:rPr>
          <w:rStyle w:val="CharStyle8"/>
        </w:rPr>
        <w:t xml:space="preserve">por meio de classes de contas de natureza patrimonial, </w:t>
      </w:r>
      <w:r>
        <w:rPr>
          <w:rStyle w:val="CharStyle8"/>
          <w:lang w:val="pt-BR" w:eastAsia="pt-BR" w:bidi="pt-BR"/>
        </w:rPr>
        <w:t xml:space="preserve">orçamentária </w:t>
      </w:r>
      <w:r>
        <w:rPr>
          <w:rStyle w:val="CharStyle8"/>
        </w:rPr>
        <w:t xml:space="preserve">e de controle/compensação, visando evidenciar os fatos ligados à administração </w:t>
      </w:r>
      <w:r>
        <w:rPr>
          <w:rStyle w:val="CharStyle8"/>
          <w:lang w:val="pt-BR" w:eastAsia="pt-BR" w:bidi="pt-BR"/>
        </w:rPr>
        <w:t xml:space="preserve">orçamentária, </w:t>
      </w:r>
      <w:r>
        <w:rPr>
          <w:rStyle w:val="CharStyle8"/>
        </w:rPr>
        <w:t>financeira e patrimonial, em conformidade com os dispositivos previstos na Lei Federal 4.320/64, na Lei Complementar 101/2000, nas legislações municipal de planejamento, nas orientação previstas no Manual de Contabilidade Aplicada ao Setor Público - MCASP, 10</w:t>
      </w:r>
      <w:r>
        <w:rPr>
          <w:rStyle w:val="CharStyle8"/>
          <w:vertAlign w:val="superscript"/>
        </w:rPr>
        <w:t>a</w:t>
      </w:r>
      <w:r>
        <w:rPr>
          <w:rStyle w:val="CharStyle8"/>
        </w:rPr>
        <w:t xml:space="preserve"> edição publicado pela Secretaria do Tesouro Nacional, bem como das Normas Brasileiras de Contabilidade Aplicadas ao Setor Público (NBCT 16) e outras normas que regulam o assunto.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Todos os registros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>do exercício de 2025 foram realizados por meio de sistema informatizado e integrado e adequado ao novo PCASP - Plano de Contas Aplicado ao Setor Público.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1700"/>
        <w:jc w:val="both"/>
      </w:pPr>
      <w:r>
        <w:rPr>
          <w:rStyle w:val="CharStyle8"/>
        </w:rPr>
        <w:t xml:space="preserve">Os dados do Poder Legislativo foram </w:t>
      </w:r>
      <w:r>
        <w:rPr>
          <w:rStyle w:val="CharStyle8"/>
          <w:lang w:val="pt-BR" w:eastAsia="pt-BR" w:bidi="pt-BR"/>
        </w:rPr>
        <w:t xml:space="preserve">disponibilizados </w:t>
      </w:r>
      <w:r>
        <w:rPr>
          <w:rStyle w:val="CharStyle8"/>
        </w:rPr>
        <w:t>à Prefeitura via arquivos XML para integração.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80" w:line="283" w:lineRule="auto"/>
        <w:ind w:left="0" w:right="0" w:firstLine="1700"/>
        <w:jc w:val="both"/>
      </w:pPr>
      <w:r>
        <w:rPr>
          <w:rStyle w:val="CharStyle8"/>
        </w:rPr>
        <w:t>Assim, o montante da receita escriturada considera apenas aquelas arrecadadas no exercício financeiro de 2025 e com relação à despesa empenhada, os números expressam os lançamentos ocorridos no período de I</w:t>
      </w:r>
      <w:r>
        <w:rPr>
          <w:rStyle w:val="CharStyle8"/>
          <w:vertAlign w:val="superscript"/>
        </w:rPr>
        <w:t>o</w:t>
      </w:r>
      <w:r>
        <w:rPr>
          <w:rStyle w:val="CharStyle8"/>
        </w:rPr>
        <w:t xml:space="preserve"> de janeiro a 31 de dezembro de 2025.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380" w:line="240" w:lineRule="auto"/>
        <w:ind w:right="0" w:firstLine="0"/>
        <w:jc w:val="both"/>
      </w:pPr>
      <w:bookmarkStart w:id="14" w:name="bookmark14"/>
      <w:r>
        <w:rPr>
          <w:rStyle w:val="CharStyle6"/>
          <w:b/>
          <w:bCs/>
        </w:rPr>
        <w:t xml:space="preserve">II - </w:t>
      </w:r>
      <w:r>
        <w:rPr>
          <w:rStyle w:val="CharStyle6"/>
          <w:b/>
          <w:bCs/>
          <w:lang w:val="pt-PT" w:eastAsia="pt-PT" w:bidi="pt-PT"/>
        </w:rPr>
        <w:t xml:space="preserve">APRESENTAÇÃO DAS DEMONSTRAÇÕES </w:t>
      </w:r>
      <w:r>
        <w:rPr>
          <w:rStyle w:val="CharStyle6"/>
          <w:b/>
          <w:bCs/>
        </w:rPr>
        <w:t>CONTÁBEIS:</w:t>
      </w:r>
      <w:bookmarkEnd w:id="14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As demonstrações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>do exercício financeiro de 2025 foram escrituradas em conformidade com a Lei 4320, de 17 de março de 1964, com o Plano de Contas Aplicado ao Setor Público, com as disposições do Manual de Contabilidade Aplicada ao Setor Público - MCASP, 10</w:t>
      </w:r>
      <w:r>
        <w:rPr>
          <w:rStyle w:val="CharStyle8"/>
          <w:vertAlign w:val="superscript"/>
        </w:rPr>
        <w:t xml:space="preserve">a </w:t>
      </w:r>
      <w:r>
        <w:rPr>
          <w:rStyle w:val="CharStyle8"/>
        </w:rPr>
        <w:t>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6, de 22 de julho de 2009.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Os registros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 xml:space="preserve">foram processados por meio de sistema de informática, considerando o exercício </w:t>
      </w:r>
      <w:r>
        <w:rPr>
          <w:rStyle w:val="CharStyle8"/>
          <w:lang w:val="pt-BR" w:eastAsia="pt-BR" w:bidi="pt-BR"/>
        </w:rPr>
        <w:t xml:space="preserve">econômico </w:t>
      </w:r>
      <w:r>
        <w:rPr>
          <w:rStyle w:val="CharStyle8"/>
        </w:rPr>
        <w:t>o ano-calendário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700"/>
        <w:jc w:val="both"/>
      </w:pPr>
      <w:r>
        <w:rPr>
          <w:rStyle w:val="CharStyle8"/>
        </w:rPr>
        <w:t xml:space="preserve">As Demonstrações </w:t>
      </w:r>
      <w:r>
        <w:rPr>
          <w:rStyle w:val="CharStyle8"/>
          <w:lang w:val="pt-BR" w:eastAsia="pt-BR" w:bidi="pt-BR"/>
        </w:rPr>
        <w:t xml:space="preserve">Contábeis </w:t>
      </w:r>
      <w:r>
        <w:rPr>
          <w:rStyle w:val="CharStyle8"/>
        </w:rPr>
        <w:t xml:space="preserve">e suas </w:t>
      </w:r>
      <w:r>
        <w:rPr>
          <w:rStyle w:val="CharStyle8"/>
          <w:lang w:val="pt-BR" w:eastAsia="pt-BR" w:bidi="pt-BR"/>
        </w:rPr>
        <w:t xml:space="preserve">respectivas </w:t>
      </w:r>
      <w:r>
        <w:rPr>
          <w:rStyle w:val="CharStyle8"/>
        </w:rPr>
        <w:t>notas explicativas estão apresentadas com valores expressos em reais.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720" w:line="240" w:lineRule="auto"/>
        <w:ind w:right="0" w:firstLine="0"/>
        <w:jc w:val="both"/>
      </w:pPr>
      <w:bookmarkStart w:id="16" w:name="bookmark16"/>
      <w:r>
        <w:rPr>
          <w:rStyle w:val="CharStyle6"/>
          <w:b/>
          <w:bCs/>
          <w:lang w:val="pt-PT" w:eastAsia="pt-PT" w:bidi="pt-PT"/>
        </w:rPr>
        <w:t>III - NOTA EXPLICATIVA DO BALANÇO PATRIMONIAL</w:t>
      </w:r>
      <w:bookmarkEnd w:id="16"/>
    </w:p>
    <w:p>
      <w:pPr>
        <w:pStyle w:val="Style5"/>
        <w:keepNext/>
        <w:keepLines/>
        <w:widowControl w:val="0"/>
        <w:numPr>
          <w:ilvl w:val="0"/>
          <w:numId w:val="3"/>
        </w:numPr>
        <w:shd w:val="clear" w:color="auto" w:fill="auto"/>
        <w:tabs>
          <w:tab w:pos="1990" w:val="left"/>
        </w:tabs>
        <w:bidi w:val="0"/>
        <w:spacing w:before="0" w:after="380" w:line="240" w:lineRule="auto"/>
        <w:ind w:right="0" w:firstLine="0"/>
        <w:jc w:val="left"/>
      </w:pPr>
      <w:bookmarkStart w:id="18" w:name="bookmark18"/>
      <w:r>
        <w:rPr>
          <w:rStyle w:val="CharStyle6"/>
          <w:b/>
          <w:bCs/>
          <w:lang w:val="pt-PT" w:eastAsia="pt-PT" w:bidi="pt-PT"/>
        </w:rPr>
        <w:t xml:space="preserve">CRITÉRIOS </w:t>
      </w:r>
      <w:r>
        <w:rPr>
          <w:rStyle w:val="CharStyle6"/>
          <w:b/>
          <w:bCs/>
        </w:rPr>
        <w:t xml:space="preserve">CONTÁBEIS </w:t>
      </w:r>
      <w:r>
        <w:rPr>
          <w:rStyle w:val="CharStyle6"/>
          <w:b/>
          <w:bCs/>
          <w:lang w:val="pt-PT" w:eastAsia="pt-PT" w:bidi="pt-PT"/>
        </w:rPr>
        <w:t>ADOTADOS:</w:t>
      </w:r>
      <w:bookmarkEnd w:id="18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>O Balanço Patrimonial - Anexo XIV - evidencia a situação patrimonial do município em 31 de dezembro de 2025.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1700"/>
        <w:jc w:val="both"/>
      </w:pPr>
      <w:r>
        <w:rPr>
          <w:rStyle w:val="CharStyle8"/>
        </w:rPr>
        <w:t xml:space="preserve">Observando o Balanço Patrimonial, é possível conhecer qualitativa e quantitativamente a composição dos bens e direitos (ativos), das obrigações (passivos), e dos capitais, reservas e resultados acumulados </w:t>
      </w:r>
      <w:r>
        <w:rPr>
          <w:rStyle w:val="CharStyle8"/>
          <w:lang w:val="pt-BR" w:eastAsia="pt-BR" w:bidi="pt-BR"/>
        </w:rPr>
        <w:t xml:space="preserve">(patrimônio </w:t>
      </w:r>
      <w:r>
        <w:rPr>
          <w:rStyle w:val="CharStyle8"/>
        </w:rPr>
        <w:t>líquido) deste Ente da Federação.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00"/>
        <w:jc w:val="both"/>
      </w:pPr>
      <w:r>
        <w:rPr>
          <w:rStyle w:val="CharStyle8"/>
        </w:rPr>
        <w:t xml:space="preserve">De acordo com as novas regras do MCASP, </w:t>
      </w:r>
      <w:r>
        <w:rPr>
          <w:rStyle w:val="CharStyle8"/>
          <w:lang w:val="pt-BR" w:eastAsia="pt-BR" w:bidi="pt-BR"/>
        </w:rPr>
        <w:t xml:space="preserve">pode-se </w:t>
      </w:r>
      <w:r>
        <w:rPr>
          <w:rStyle w:val="CharStyle8"/>
        </w:rPr>
        <w:t>utilizar as seguintes definições para analisar o Balanço Patrimonial: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00"/>
        <w:jc w:val="both"/>
      </w:pPr>
      <w:r>
        <w:rPr>
          <w:rStyle w:val="CharStyle8"/>
        </w:rPr>
        <w:t xml:space="preserve">Ativo compreende recursos controlados pela entidade como resultado de eventos passados e dos quais se espera que resultem para a entidade benefícios </w:t>
      </w:r>
      <w:r>
        <w:rPr>
          <w:rStyle w:val="CharStyle8"/>
          <w:lang w:val="pt-BR" w:eastAsia="pt-BR" w:bidi="pt-BR"/>
        </w:rPr>
        <w:t xml:space="preserve">econômicos </w:t>
      </w:r>
      <w:r>
        <w:rPr>
          <w:rStyle w:val="CharStyle8"/>
        </w:rPr>
        <w:t>futuros ou</w:t>
        <w:br w:type="page"/>
      </w:r>
      <w:r>
        <w:rPr>
          <w:rStyle w:val="CharStyle8"/>
        </w:rPr>
        <w:t>potencial de serviços.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8"/>
        </w:rPr>
        <w:t>Os ativos estão segregados em “circulante” e “não circulante”, com base em seus atributos de conversibilidade e exigibilidade.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8"/>
        </w:rPr>
        <w:t xml:space="preserve">Os ativos estão classificados como circulantes quando satisfazem a um dos seguintes critérios: disponíveis para realização imediata ou </w:t>
      </w:r>
      <w:r>
        <w:rPr>
          <w:rStyle w:val="CharStyle8"/>
          <w:lang w:val="pt-BR" w:eastAsia="pt-BR" w:bidi="pt-BR"/>
        </w:rPr>
        <w:t xml:space="preserve">expectativa </w:t>
      </w:r>
      <w:r>
        <w:rPr>
          <w:rStyle w:val="CharStyle8"/>
        </w:rPr>
        <w:t xml:space="preserve">de realização até doze meses após a data das demonstrações </w:t>
      </w:r>
      <w:r>
        <w:rPr>
          <w:rStyle w:val="CharStyle8"/>
          <w:lang w:val="pt-BR" w:eastAsia="pt-BR" w:bidi="pt-BR"/>
        </w:rPr>
        <w:t>contábeis.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700" w:right="0" w:firstLine="0"/>
        <w:jc w:val="both"/>
      </w:pPr>
      <w:r>
        <w:rPr>
          <w:rStyle w:val="CharStyle8"/>
        </w:rPr>
        <w:t>Os demais ativos estão classificados como não circulantes.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8"/>
        </w:rPr>
        <w:t xml:space="preserve">Passivo compreende as obrigações presentes da entidade, derivadas de eventos passados, cujos pagamentos se esperam que resultem para à entidade saídas de recursos capazes de gerar benefícios </w:t>
      </w:r>
      <w:r>
        <w:rPr>
          <w:rStyle w:val="CharStyle8"/>
          <w:lang w:val="pt-BR" w:eastAsia="pt-BR" w:bidi="pt-BR"/>
        </w:rPr>
        <w:t xml:space="preserve">econômicos </w:t>
      </w:r>
      <w:r>
        <w:rPr>
          <w:rStyle w:val="CharStyle8"/>
        </w:rPr>
        <w:t>ou potencial de serviços.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8"/>
        </w:rPr>
        <w:t xml:space="preserve">Um passivo deve ser reconhecido no Balanço Patrimonial quando for provável que uma saída de recursos envolvendo benefícios </w:t>
      </w:r>
      <w:r>
        <w:rPr>
          <w:rStyle w:val="CharStyle8"/>
          <w:lang w:val="pt-BR" w:eastAsia="pt-BR" w:bidi="pt-BR"/>
        </w:rPr>
        <w:t xml:space="preserve">econômicos </w:t>
      </w:r>
      <w:r>
        <w:rPr>
          <w:rStyle w:val="CharStyle8"/>
        </w:rPr>
        <w:t>seja exigida em liquidação de uma obrigação presente e o valor pelo qual essa liquidação se dará possa ser determinado em bases confiáveis.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83" w:lineRule="auto"/>
        <w:ind w:left="0" w:right="0" w:firstLine="1720"/>
        <w:jc w:val="both"/>
      </w:pPr>
      <w:r>
        <w:rPr>
          <w:rStyle w:val="CharStyle8"/>
        </w:rPr>
        <w:t xml:space="preserve">Do ponto de vista patrimonial, as obrigações em que o fato gerador não tenha ocorrido não são geralmente reconhecidas como passivos nas demonstrações </w:t>
      </w:r>
      <w:r>
        <w:rPr>
          <w:rStyle w:val="CharStyle8"/>
          <w:lang w:val="pt-BR" w:eastAsia="pt-BR" w:bidi="pt-BR"/>
        </w:rPr>
        <w:t>contábeis.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8"/>
        </w:rPr>
        <w:t xml:space="preserve">Também são reconhecidos no passivo, pois se </w:t>
      </w:r>
      <w:r>
        <w:rPr>
          <w:rStyle w:val="CharStyle8"/>
          <w:lang w:val="pt-BR" w:eastAsia="pt-BR" w:bidi="pt-BR"/>
        </w:rPr>
        <w:t xml:space="preserve">caracterizam </w:t>
      </w:r>
      <w:r>
        <w:rPr>
          <w:rStyle w:val="CharStyle8"/>
        </w:rPr>
        <w:t xml:space="preserve">como obrigações para com terceiros, os depósitos </w:t>
      </w:r>
      <w:r>
        <w:rPr>
          <w:rStyle w:val="CharStyle8"/>
          <w:lang w:val="pt-BR" w:eastAsia="pt-BR" w:bidi="pt-BR"/>
        </w:rPr>
        <w:t xml:space="preserve">caracterizados </w:t>
      </w:r>
      <w:r>
        <w:rPr>
          <w:rStyle w:val="CharStyle8"/>
        </w:rPr>
        <w:t>como entradas compensatórias no ativo e no passivo financeiro a exemplo, as cauções em dinheiro para garantia de contratos, consignações a pagar, retenção de obrigações de terceiros a recolher e outros depósitos com finalidades especiais, como os para garantia de recursos.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 w:line="283" w:lineRule="auto"/>
        <w:ind w:left="0" w:right="0" w:firstLine="1720"/>
        <w:jc w:val="both"/>
      </w:pPr>
      <w:r>
        <w:rPr>
          <w:rStyle w:val="CharStyle8"/>
        </w:rPr>
        <w:t xml:space="preserve">Classificam como Passivo Circulante os valores exigíveis até doze meses após a data das demonstrações </w:t>
      </w:r>
      <w:r>
        <w:rPr>
          <w:rStyle w:val="CharStyle8"/>
          <w:lang w:val="pt-BR" w:eastAsia="pt-BR" w:bidi="pt-BR"/>
        </w:rPr>
        <w:t>contábeis.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700" w:right="0" w:firstLine="0"/>
        <w:jc w:val="both"/>
      </w:pPr>
      <w:r>
        <w:rPr>
          <w:rStyle w:val="CharStyle8"/>
        </w:rPr>
        <w:t>Os demais casos são classificados como Passivo Não Circulante.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40" w:line="240" w:lineRule="auto"/>
        <w:ind w:left="1700" w:right="0" w:firstLine="0"/>
        <w:jc w:val="both"/>
      </w:pPr>
      <w:bookmarkStart w:id="20" w:name="bookmark20"/>
      <w:r>
        <w:rPr>
          <w:rStyle w:val="CharStyle28"/>
          <w:b/>
          <w:bCs/>
        </w:rPr>
        <w:t>NOTA 1: ATIVO CIRCULANTE - CAIXA E EQUIVALENTE DE</w:t>
      </w:r>
      <w:bookmarkEnd w:id="20"/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28"/>
          <w:b/>
          <w:bCs/>
        </w:rPr>
        <w:t>CAIXA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1720"/>
        <w:jc w:val="both"/>
      </w:pPr>
      <w:r>
        <w:rPr>
          <w:rStyle w:val="CharStyle8"/>
        </w:rPr>
        <w:t>Nessa conta está escriturado o somatório dos valores em bancos conta movimento e aplicações no mercado financeiro com a seguinte composição: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3314" w:val="left"/>
          <w:tab w:leader="underscore" w:pos="4875" w:val="left"/>
        </w:tabs>
        <w:bidi w:val="0"/>
        <w:spacing w:before="0" w:after="0" w:line="240" w:lineRule="auto"/>
        <w:ind w:left="13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5093335</wp:posOffset>
                </wp:positionH>
                <wp:positionV relativeFrom="paragraph">
                  <wp:posOffset>12700</wp:posOffset>
                </wp:positionV>
                <wp:extent cx="969010" cy="61595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615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Consolidado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69.843,96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42.423,68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u w:val="single"/>
                              </w:rPr>
                              <w:t>• 27.420,28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01.05000000000001pt;margin-top:1.pt;width:76.299999999999997pt;height:48.5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Consolidado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69.843,96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42.423,68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u w:val="single"/>
                        </w:rPr>
                        <w:t>• 27.420,28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1"/>
          <w:b/>
          <w:bCs/>
        </w:rPr>
        <w:tab/>
      </w:r>
      <w:r>
        <w:rPr>
          <w:rStyle w:val="CharStyle11"/>
          <w:b/>
          <w:bCs/>
          <w:u w:val="single"/>
        </w:rPr>
        <w:t>Conta</w:t>
      </w:r>
      <w:r>
        <w:rPr>
          <w:rStyle w:val="CharStyle11"/>
          <w:b/>
          <w:bCs/>
        </w:rPr>
        <w:tab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4875" w:val="left"/>
        </w:tabs>
        <w:bidi w:val="0"/>
        <w:spacing w:before="0" w:after="0" w:line="240" w:lineRule="auto"/>
        <w:ind w:left="1360" w:right="0" w:firstLine="0"/>
        <w:jc w:val="both"/>
      </w:pPr>
      <w:r>
        <w:rPr>
          <w:rStyle w:val="CharStyle11"/>
          <w:b/>
          <w:bCs/>
          <w:u w:val="single"/>
        </w:rPr>
        <w:t>Caixa e equivalentes de Caixa</w:t>
      </w:r>
      <w:r>
        <w:rPr>
          <w:rStyle w:val="CharStyle11"/>
          <w:b/>
          <w:bCs/>
        </w:rPr>
        <w:tab/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leader="underscore" w:pos="4875" w:val="left"/>
        </w:tabs>
        <w:bidi w:val="0"/>
        <w:spacing w:before="0" w:after="0" w:line="240" w:lineRule="auto"/>
        <w:ind w:left="1360" w:right="0" w:firstLine="0"/>
        <w:jc w:val="both"/>
      </w:pPr>
      <w:r>
        <w:rPr>
          <w:rStyle w:val="CharStyle11"/>
          <w:u w:val="single"/>
        </w:rPr>
        <w:t>Conta Unica</w:t>
      </w:r>
      <w:r>
        <w:rPr>
          <w:rStyle w:val="CharStyle11"/>
        </w:rPr>
        <w:tab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360" w:right="0" w:firstLine="0"/>
        <w:jc w:val="both"/>
      </w:pPr>
      <w:r>
        <w:rPr>
          <w:rStyle w:val="CharStyle11"/>
        </w:rPr>
        <w:t>Aplicações financeiras de liquidez imediata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680" w:right="0" w:firstLine="0"/>
        <w:jc w:val="left"/>
        <w:rPr>
          <w:sz w:val="24"/>
          <w:szCs w:val="24"/>
        </w:rPr>
      </w:pPr>
      <w:r>
        <w:rPr>
          <w:rStyle w:val="CharStyle8"/>
          <w:b/>
          <w:bCs/>
          <w:sz w:val="24"/>
          <w:szCs w:val="24"/>
          <w:lang w:val="pt-BR" w:eastAsia="pt-BR" w:bidi="pt-BR"/>
        </w:rPr>
        <w:t>NOTA 2: CRÉDITOS A RECEBER E VALORES A CURTO PRAZO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1680"/>
        <w:jc w:val="both"/>
      </w:pPr>
      <w:r>
        <w:rPr>
          <w:rStyle w:val="CharStyle8"/>
          <w:b/>
          <w:bCs/>
          <w:lang w:val="pt-BR" w:eastAsia="pt-BR" w:bidi="pt-BR"/>
        </w:rPr>
        <w:t xml:space="preserve">A conta registra o saldo de valores a regularizar e valores sob responsabilidade acumulados até 31 de dezembro de 2025, no total de </w:t>
      </w:r>
      <w:r>
        <w:rPr>
          <w:rStyle w:val="CharStyle8"/>
          <w:lang w:val="pt-BR" w:eastAsia="pt-BR" w:bidi="pt-BR"/>
        </w:rPr>
        <w:t>R$ 176.891,56 (Cento e setenta e seis mil, oitocentos e noventa e um reais e cinquenta e seis centavos).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1680" w:right="0" w:firstLine="0"/>
        <w:jc w:val="left"/>
      </w:pPr>
      <w:bookmarkStart w:id="23" w:name="bookmark23"/>
      <w:r>
        <w:rPr>
          <w:rStyle w:val="CharStyle28"/>
          <w:b/>
          <w:bCs/>
          <w:lang w:val="pt-BR" w:eastAsia="pt-BR" w:bidi="pt-BR"/>
        </w:rPr>
        <w:t>NOTA 3: ESTOQUE</w:t>
      </w:r>
      <w:bookmarkEnd w:id="23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80" w:right="0" w:firstLine="0"/>
        <w:jc w:val="left"/>
      </w:pPr>
      <w:r>
        <w:rPr>
          <w:rStyle w:val="CharStyle8"/>
          <w:lang w:val="pt-BR" w:eastAsia="pt-BR" w:bidi="pt-BR"/>
        </w:rPr>
        <w:t>A conta registra o estoque da Câmara em 31 de dezembro de 2025, no total de RS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8"/>
          <w:b/>
          <w:bCs/>
          <w:lang w:val="pt-BR" w:eastAsia="pt-BR" w:bidi="pt-BR"/>
        </w:rPr>
        <w:t>5.182,88 (Cinco mil, cento e oitenta dois reais e oitenta e oito centavos).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1680"/>
        <w:jc w:val="both"/>
      </w:pPr>
      <w:r>
        <w:rPr>
          <w:rStyle w:val="CharStyle8"/>
          <w:lang w:val="pt-BR" w:eastAsia="pt-BR" w:bidi="pt-BR"/>
        </w:rPr>
        <w:t>De acordo com os grupos de conta, o valor registrado no Estoque obedece ao seguinte detalhamento: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73050" distB="0" distL="0" distR="0" simplePos="0" relativeHeight="125829390" behindDoc="0" locked="0" layoutInCell="1" allowOverlap="1">
                <wp:simplePos x="0" y="0"/>
                <wp:positionH relativeFrom="page">
                  <wp:posOffset>2182495</wp:posOffset>
                </wp:positionH>
                <wp:positionV relativeFrom="paragraph">
                  <wp:posOffset>273050</wp:posOffset>
                </wp:positionV>
                <wp:extent cx="1341120" cy="567055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Material de Consumo Gêneros Alimentícios Material de Expediente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71.84999999999999pt;margin-top:21.5pt;width:105.60000000000001pt;height:44.649999999999999pt;z-index:-125829363;mso-wrap-distance-left:0;mso-wrap-distance-top:21.5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Material de Consumo Gêneros Alimentícios Material de Expediente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13360" distL="0" distR="0" simplePos="0" relativeHeight="125829392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266700</wp:posOffset>
                </wp:positionV>
                <wp:extent cx="219710" cy="35941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710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R$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R$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397.44999999999999pt;margin-top:21.pt;width:17.300000000000001pt;height:28.300000000000001pt;z-index:-125829361;mso-wrap-distance-left:0;mso-wrap-distance-top:21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R$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R$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6700" distB="213360" distL="0" distR="0" simplePos="0" relativeHeight="125829394" behindDoc="0" locked="0" layoutInCell="1" allowOverlap="1">
                <wp:simplePos x="0" y="0"/>
                <wp:positionH relativeFrom="page">
                  <wp:posOffset>5349240</wp:posOffset>
                </wp:positionH>
                <wp:positionV relativeFrom="paragraph">
                  <wp:posOffset>266700</wp:posOffset>
                </wp:positionV>
                <wp:extent cx="545465" cy="35941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359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2.500,40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344,25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21.19999999999999pt;margin-top:21.pt;width:42.950000000000003pt;height:28.300000000000001pt;z-index:-125829359;mso-wrap-distance-left:0;mso-wrap-distance-top:21.pt;mso-wrap-distance-right:0;mso-wrap-distance-bottom:16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2.500,40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344,25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635" distB="29845" distL="0" distR="0" simplePos="0" relativeHeight="125829396" behindDoc="0" locked="0" layoutInCell="1" allowOverlap="1">
                <wp:simplePos x="0" y="0"/>
                <wp:positionH relativeFrom="page">
                  <wp:posOffset>5086985</wp:posOffset>
                </wp:positionH>
                <wp:positionV relativeFrom="paragraph">
                  <wp:posOffset>635635</wp:posOffset>
                </wp:positionV>
                <wp:extent cx="810895" cy="17399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  <w:lang w:val="pt-BR" w:eastAsia="pt-BR" w:bidi="pt-BR"/>
                              </w:rPr>
                              <w:t>R$ 2.338,21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00.55000000000001pt;margin-top:50.050000000000004pt;width:63.850000000000001pt;height:13.700000000000001pt;z-index:-125829357;mso-wrap-distance-left:0;mso-wrap-distance-top:50.050000000000004pt;mso-wrap-distance-right:0;mso-wrap-distance-bottom:2.35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  <w:lang w:val="pt-BR" w:eastAsia="pt-BR" w:bidi="pt-BR"/>
                        </w:rPr>
                        <w:t>R$ 2.338,21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83" w:lineRule="auto"/>
        <w:ind w:left="0" w:right="0" w:firstLine="1720"/>
        <w:jc w:val="both"/>
      </w:pPr>
      <w:r>
        <w:rPr>
          <w:rStyle w:val="CharStyle8"/>
          <w:lang w:val="pt-BR" w:eastAsia="pt-BR" w:bidi="pt-BR"/>
        </w:rPr>
        <w:t xml:space="preserve">A relação detalhando os itens que compõe o </w:t>
      </w:r>
      <w:r>
        <w:rPr>
          <w:rStyle w:val="CharStyle8"/>
        </w:rPr>
        <w:t xml:space="preserve">Almoxarifado </w:t>
      </w:r>
      <w:r>
        <w:rPr>
          <w:rStyle w:val="CharStyle8"/>
          <w:lang w:val="pt-BR" w:eastAsia="pt-BR" w:bidi="pt-BR"/>
        </w:rPr>
        <w:t>é peça apresentada na Prestação de Contas.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40" w:line="240" w:lineRule="auto"/>
        <w:ind w:left="1700" w:right="0" w:firstLine="0"/>
        <w:jc w:val="both"/>
      </w:pPr>
      <w:bookmarkStart w:id="25" w:name="bookmark25"/>
      <w:r>
        <w:rPr>
          <w:rStyle w:val="CharStyle28"/>
          <w:b/>
          <w:bCs/>
          <w:lang w:val="pt-BR" w:eastAsia="pt-BR" w:bidi="pt-BR"/>
        </w:rPr>
        <w:t>NOTA 4: ATIVO NÃO CIRCULANTE - IMOBILIZADO - BENS</w:t>
      </w:r>
      <w:bookmarkEnd w:id="25"/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rStyle w:val="CharStyle28"/>
          <w:b/>
          <w:bCs/>
          <w:lang w:val="pt-BR" w:eastAsia="pt-BR" w:bidi="pt-BR"/>
        </w:rPr>
        <w:t>MÓVEIS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8"/>
          <w:lang w:val="pt-BR" w:eastAsia="pt-BR" w:bidi="pt-BR"/>
        </w:rPr>
        <w:t>Os bens móveis são reconhecidos inicialmente com base no valor de aquisição, produção ou construção, incluídos os custos de compra, impostos recuperáveis e outros custos necessários para colocar o bem em uso ou funcionamento.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8"/>
          <w:lang w:val="pt-BR" w:eastAsia="pt-BR" w:bidi="pt-BR"/>
        </w:rPr>
        <w:t>Os gastos posteriores à aquisição ou ao registro do bem do ativo imobilizado são incorporados quando houver a possibilidade de geração de benefícios econômicos futuros ou potenciais de serviços.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8"/>
          <w:lang w:val="pt-BR" w:eastAsia="pt-BR" w:bidi="pt-BR"/>
        </w:rPr>
        <w:t>O Conselho Federal de Contabilidade estabeleceu critérios e procedimentos para o registro contábil da depreciação no setor público, com adoção de forma obrigatória, conforme disposto na Norma Brasileira de Contabilidade - NBC T 16.9.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1720"/>
        <w:jc w:val="both"/>
      </w:pPr>
      <w:r>
        <w:rPr>
          <w:rStyle w:val="CharStyle8"/>
          <w:lang w:val="pt-BR" w:eastAsia="pt-BR" w:bidi="pt-BR"/>
        </w:rPr>
        <w:t xml:space="preserve">A conta Bens Móveis registra variação no ano de 2025 de </w:t>
      </w:r>
      <w:r>
        <w:rPr>
          <w:rStyle w:val="CharStyle8"/>
          <w:b/>
          <w:bCs/>
          <w:lang w:val="pt-BR" w:eastAsia="pt-BR" w:bidi="pt-BR"/>
        </w:rPr>
        <w:t xml:space="preserve">R$ 65.397,00 (Sessenta e cinco mil, trezentos e noventa </w:t>
      </w:r>
      <w:r>
        <w:rPr>
          <w:rStyle w:val="CharStyle8"/>
          <w:lang w:val="pt-BR" w:eastAsia="pt-BR" w:bidi="pt-BR"/>
        </w:rPr>
        <w:t xml:space="preserve">e </w:t>
      </w:r>
      <w:r>
        <w:rPr>
          <w:rStyle w:val="CharStyle8"/>
          <w:b/>
          <w:bCs/>
          <w:lang w:val="pt-BR" w:eastAsia="pt-BR" w:bidi="pt-BR"/>
        </w:rPr>
        <w:t xml:space="preserve">sete reais) </w:t>
      </w:r>
      <w:r>
        <w:rPr>
          <w:rStyle w:val="CharStyle8"/>
          <w:lang w:val="pt-BR" w:eastAsia="pt-BR" w:bidi="pt-BR"/>
        </w:rPr>
        <w:t xml:space="preserve">que, somado ao saldo do exercício anterior, alcança o total </w:t>
      </w:r>
      <w:r>
        <w:rPr>
          <w:rStyle w:val="CharStyle8"/>
          <w:b/>
          <w:bCs/>
          <w:lang w:val="pt-BR" w:eastAsia="pt-BR" w:bidi="pt-BR"/>
        </w:rPr>
        <w:t>de R$ 220.653,54 (Duzentos e vinte mil, seiscentos e cinquenta e três reais e cinquenta e quatro centavos).</w:t>
      </w:r>
      <w:r>
        <w:br w:type="page"/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" distB="279400" distL="0" distR="0" simplePos="0" relativeHeight="125829398" behindDoc="0" locked="0" layoutInCell="1" allowOverlap="1">
                <wp:simplePos x="0" y="0"/>
                <wp:positionH relativeFrom="page">
                  <wp:posOffset>1223645</wp:posOffset>
                </wp:positionH>
                <wp:positionV relativeFrom="paragraph">
                  <wp:posOffset>6350</wp:posOffset>
                </wp:positionV>
                <wp:extent cx="2575560" cy="9232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5560" cy="923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tabs>
                                <w:tab w:leader="underscore" w:pos="1512" w:val="left"/>
                                <w:tab w:leader="underscore" w:pos="4037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ab/>
                            </w:r>
                            <w:r>
                              <w:rPr>
                                <w:rStyle w:val="CharStyle11"/>
                                <w:b/>
                                <w:bCs/>
                                <w:u w:val="single"/>
                              </w:rPr>
                              <w:t>Especificação</w:t>
                            </w: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tabs>
                                <w:tab w:leader="underscore" w:pos="4003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u w:val="single"/>
                              </w:rPr>
                              <w:t>Bens de Informática</w:t>
                            </w:r>
                            <w:r>
                              <w:rPr>
                                <w:rStyle w:val="CharStyle11"/>
                              </w:rPr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u w:val="single"/>
                              </w:rPr>
                              <w:t>Máquinas, aparelhos, equipamentos e ferramentas Material cultural, educacionais e de comunicação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tabs>
                                <w:tab w:leader="underscore" w:pos="4003" w:val="left"/>
                              </w:tabs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u w:val="single"/>
                              </w:rPr>
                              <w:t>Móveis e utensílios</w:t>
                            </w:r>
                            <w:r>
                              <w:rPr>
                                <w:rStyle w:val="CharStyle11"/>
                              </w:rPr>
                              <w:tab/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Demais Bens Móveis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96.350000000000009pt;margin-top:0.5pt;width:202.80000000000001pt;height:72.700000000000003pt;z-index:-125829355;mso-wrap-distance-left:0;mso-wrap-distance-top:0.5pt;mso-wrap-distance-right:0;mso-wrap-distance-bottom:22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tabs>
                          <w:tab w:leader="underscore" w:pos="1512" w:val="left"/>
                          <w:tab w:leader="underscore" w:pos="4037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ab/>
                      </w:r>
                      <w:r>
                        <w:rPr>
                          <w:rStyle w:val="CharStyle11"/>
                          <w:b/>
                          <w:bCs/>
                          <w:u w:val="single"/>
                        </w:rPr>
                        <w:t>Especificação</w:t>
                      </w:r>
                      <w:r>
                        <w:rPr>
                          <w:rStyle w:val="CharStyle11"/>
                          <w:b/>
                          <w:bCs/>
                        </w:rPr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tabs>
                          <w:tab w:leader="underscore" w:pos="4003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u w:val="single"/>
                        </w:rPr>
                        <w:t>Bens de Informática</w:t>
                      </w:r>
                      <w:r>
                        <w:rPr>
                          <w:rStyle w:val="CharStyle11"/>
                        </w:rPr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u w:val="single"/>
                        </w:rPr>
                        <w:t>Máquinas, aparelhos, equipamentos e ferramentas Material cultural, educacionais e de comunicação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tabs>
                          <w:tab w:leader="underscore" w:pos="4003" w:val="left"/>
                        </w:tabs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u w:val="single"/>
                        </w:rPr>
                        <w:t>Móveis e utensílios</w:t>
                      </w:r>
                      <w:r>
                        <w:rPr>
                          <w:rStyle w:val="CharStyle11"/>
                        </w:rPr>
                        <w:tab/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Demais Bens Móveis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4640" distL="0" distR="0" simplePos="0" relativeHeight="125829400" behindDoc="0" locked="0" layoutInCell="1" allowOverlap="1">
                <wp:simplePos x="0" y="0"/>
                <wp:positionH relativeFrom="page">
                  <wp:posOffset>3930015</wp:posOffset>
                </wp:positionH>
                <wp:positionV relativeFrom="paragraph">
                  <wp:posOffset>0</wp:posOffset>
                </wp:positionV>
                <wp:extent cx="831850" cy="9144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914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Valor em 2024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22.050,00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46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27.305,50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6.290,46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57.815,88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41.794,70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09.44999999999999pt;margin-top:0;width:65.5pt;height:72.pt;z-index:-125829353;mso-wrap-distance-left:0;mso-wrap-distance-right:0;mso-wrap-distance-bottom:23.1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Valor em 2024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460"/>
                        <w:jc w:val="left"/>
                      </w:pPr>
                      <w:r>
                        <w:rPr>
                          <w:rStyle w:val="CharStyle11"/>
                        </w:rPr>
                        <w:t>22.050,00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460"/>
                        <w:jc w:val="left"/>
                      </w:pPr>
                      <w:r>
                        <w:rPr>
                          <w:rStyle w:val="CharStyle11"/>
                        </w:rPr>
                        <w:t>27.305,50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6.290,46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57.815,88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41.794,70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1053465" distL="0" distR="0" simplePos="0" relativeHeight="125829402" behindDoc="0" locked="0" layoutInCell="1" allowOverlap="1">
                <wp:simplePos x="0" y="0"/>
                <wp:positionH relativeFrom="page">
                  <wp:posOffset>4902835</wp:posOffset>
                </wp:positionH>
                <wp:positionV relativeFrom="paragraph">
                  <wp:posOffset>3175</wp:posOffset>
                </wp:positionV>
                <wp:extent cx="859790" cy="15240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979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Aquisição 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86.05000000000001pt;margin-top:0.25pt;width:67.700000000000003pt;height:12.pt;z-index:-125829351;mso-wrap-distance-left:0;mso-wrap-distance-top:0.25pt;mso-wrap-distance-right:0;mso-wrap-distance-bottom:82.95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Aquisição 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57200" distB="447040" distL="0" distR="0" simplePos="0" relativeHeight="125829404" behindDoc="0" locked="0" layoutInCell="1" allowOverlap="1">
                <wp:simplePos x="0" y="0"/>
                <wp:positionH relativeFrom="page">
                  <wp:posOffset>5301615</wp:posOffset>
                </wp:positionH>
                <wp:positionV relativeFrom="paragraph">
                  <wp:posOffset>457200</wp:posOffset>
                </wp:positionV>
                <wp:extent cx="542290" cy="30480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16.947,00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48.450,00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17.44999999999999pt;margin-top:36.pt;width:42.700000000000003pt;height:24.pt;z-index:-125829349;mso-wrap-distance-left:0;mso-wrap-distance-top:36.pt;mso-wrap-distance-right:0;mso-wrap-distance-bottom:35.200000000000003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16.947,00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48.450,00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297815" distL="0" distR="0" simplePos="0" relativeHeight="12582940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0</wp:posOffset>
                </wp:positionV>
                <wp:extent cx="829310" cy="91122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911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  <w:b/>
                                <w:bCs/>
                              </w:rPr>
                              <w:t>Valor em 2025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22.050,00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27.305,50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23.237,46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106.265,88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E3E3EA"/>
                                <w:left w:val="single" w:sz="0" w:space="3" w:color="E3E3EA"/>
                                <w:bottom w:val="single" w:sz="0" w:space="0" w:color="E3E3EA"/>
                                <w:right w:val="single" w:sz="0" w:space="3" w:color="E3E3EA"/>
                              </w:pBdr>
                              <w:shd w:val="clear" w:color="auto" w:fill="E3E3EA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41.794,70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5.25pt;margin-top:0;width:65.299999999999997pt;height:71.75pt;z-index:-125829347;mso-wrap-distance-left:0;mso-wrap-distance-right:0;mso-wrap-distance-bottom:23.44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  <w:b/>
                          <w:bCs/>
                        </w:rPr>
                        <w:t>Valor em 2025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22.050,00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27.305,50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23.237,46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106.265,88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E3E3EA"/>
                          <w:left w:val="single" w:sz="0" w:space="3" w:color="E3E3EA"/>
                          <w:bottom w:val="single" w:sz="0" w:space="0" w:color="E3E3EA"/>
                          <w:right w:val="single" w:sz="0" w:space="3" w:color="E3E3EA"/>
                        </w:pBdr>
                        <w:shd w:val="clear" w:color="auto" w:fill="E3E3EA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41.794,70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86" w:lineRule="auto"/>
        <w:ind w:left="0" w:right="0" w:firstLine="1700"/>
        <w:jc w:val="both"/>
      </w:pPr>
      <w:r>
        <w:rPr>
          <w:rStyle w:val="CharStyle8"/>
        </w:rPr>
        <w:t xml:space="preserve">As despesas que compõem a variação da conta Imobilizado - Bens Móveis estão escrituradas em Despesas de Capital - </w:t>
      </w:r>
      <w:r>
        <w:rPr>
          <w:rStyle w:val="CharStyle8"/>
          <w:b/>
          <w:bCs/>
        </w:rPr>
        <w:t>RS 640.874,52 (Seiscentos e quarenta mil, oitocentos e setenta e quatro reais e cinquenta e dois centavos).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680" w:right="0" w:firstLine="0"/>
        <w:jc w:val="both"/>
        <w:rPr>
          <w:sz w:val="24"/>
          <w:szCs w:val="24"/>
        </w:rPr>
      </w:pPr>
      <w:r>
        <w:rPr>
          <w:rStyle w:val="CharStyle8"/>
          <w:b/>
          <w:bCs/>
          <w:sz w:val="24"/>
          <w:szCs w:val="24"/>
        </w:rPr>
        <w:t>NOTA 5: ATIVO NÃO CIRCULANTE - IMOBILIZADO - BENS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8"/>
          <w:b/>
          <w:bCs/>
          <w:sz w:val="24"/>
          <w:szCs w:val="24"/>
        </w:rPr>
        <w:t>IMÓVEIS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1700"/>
        <w:jc w:val="left"/>
      </w:pPr>
      <w:r>
        <w:rPr>
          <w:rStyle w:val="CharStyle8"/>
        </w:rPr>
        <w:t xml:space="preserve">Os “Bens Imóveis” do Poder Legislativo não registraram variação em 2025, permanecendo o saldo de </w:t>
      </w:r>
      <w:r>
        <w:rPr>
          <w:rStyle w:val="CharStyle8"/>
          <w:b/>
          <w:bCs/>
        </w:rPr>
        <w:t>RS 557.638,11 (Quinhentos e cinquenta e sete mil, seiscentos e trinta e oito reais e onze centavos).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83" w:lineRule="auto"/>
        <w:ind w:left="0" w:right="0" w:firstLine="1700"/>
        <w:jc w:val="left"/>
      </w:pPr>
      <w:r>
        <mc:AlternateContent>
          <mc:Choice Requires="wps">
            <w:drawing>
              <wp:anchor distT="0" distB="0" distL="114300" distR="114300" simplePos="0" relativeHeight="125829408" behindDoc="0" locked="0" layoutInCell="1" allowOverlap="1">
                <wp:simplePos x="0" y="0"/>
                <wp:positionH relativeFrom="page">
                  <wp:posOffset>5567045</wp:posOffset>
                </wp:positionH>
                <wp:positionV relativeFrom="paragraph">
                  <wp:posOffset>12700</wp:posOffset>
                </wp:positionV>
                <wp:extent cx="1112520" cy="189230"/>
                <wp:wrapSquare wrapText="left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  <w:sz w:val="24"/>
                                <w:szCs w:val="24"/>
                              </w:rPr>
                              <w:t>IMOBILIZADO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38.35000000000002pt;margin-top:1.pt;width:87.600000000000009pt;height:14.9pt;z-index:-12582934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8"/>
                          <w:b/>
                          <w:bCs/>
                          <w:sz w:val="24"/>
                          <w:szCs w:val="24"/>
                        </w:rPr>
                        <w:t>IMOBILIZADO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8" w:name="bookmark28"/>
      <w:r>
        <w:rPr>
          <w:rStyle w:val="CharStyle28"/>
          <w:b/>
          <w:bCs/>
        </w:rPr>
        <w:t>NOTA 6: ATIVO NÃO CIRCULANTE DEPRECIAÇÃO</w:t>
      </w:r>
      <w:bookmarkEnd w:id="28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680" w:right="0" w:firstLine="0"/>
        <w:jc w:val="both"/>
      </w:pPr>
      <w:r>
        <w:rPr>
          <w:rStyle w:val="CharStyle8"/>
        </w:rPr>
        <w:t xml:space="preserve">A Depreciação acumulada incidente sobre os bens móveis soma </w:t>
      </w:r>
      <w:r>
        <w:rPr>
          <w:rStyle w:val="CharStyle8"/>
          <w:b/>
          <w:bCs/>
        </w:rPr>
        <w:t>R$ 100.987,04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rStyle w:val="CharStyle8"/>
          <w:b/>
          <w:bCs/>
        </w:rPr>
        <w:t>(Cem mil, novecentos e oitenta e sete reais e quatro centavos).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1700"/>
        <w:jc w:val="both"/>
      </w:pPr>
      <w:r>
        <w:rPr>
          <w:rStyle w:val="CharStyle8"/>
        </w:rPr>
        <w:t xml:space="preserve">No exercício de 2025, a Depreciação contabiliza </w:t>
      </w:r>
      <w:r>
        <w:rPr>
          <w:rStyle w:val="CharStyle8"/>
          <w:b/>
          <w:bCs/>
        </w:rPr>
        <w:t xml:space="preserve">RS 137.417,13 (Cento e trinta e sete mil, quatrocentos e </w:t>
      </w:r>
      <w:r>
        <w:rPr>
          <w:rStyle w:val="CharStyle8"/>
          <w:b/>
          <w:bCs/>
          <w:lang w:val="pt-BR" w:eastAsia="pt-BR" w:bidi="pt-BR"/>
        </w:rPr>
        <w:t xml:space="preserve">dezessete </w:t>
      </w:r>
      <w:r>
        <w:rPr>
          <w:rStyle w:val="CharStyle8"/>
          <w:b/>
          <w:bCs/>
        </w:rPr>
        <w:t>reais e treze centavos).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1680" w:right="0" w:firstLine="0"/>
        <w:jc w:val="left"/>
      </w:pPr>
      <w:bookmarkStart w:id="30" w:name="bookmark30"/>
      <w:r>
        <w:rPr>
          <w:rStyle w:val="CharStyle28"/>
          <w:b/>
          <w:bCs/>
        </w:rPr>
        <w:t>NOTA 7: PASSIVO CIRCULANTE.</w:t>
      </w:r>
      <w:bookmarkEnd w:id="3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1700"/>
        <w:jc w:val="both"/>
      </w:pPr>
      <w:r>
        <w:rPr>
          <w:rStyle w:val="CharStyle8"/>
        </w:rPr>
        <w:t xml:space="preserve">O Passivo Circulante é composto pelo grupo “Demais Obrigações a Curto Prazo” e registra saldo de </w:t>
      </w:r>
      <w:r>
        <w:rPr>
          <w:rStyle w:val="CharStyle8"/>
          <w:b/>
          <w:bCs/>
        </w:rPr>
        <w:t xml:space="preserve">RS 48.376,88 (Quarenta e oito mil, trezentos e sessenta e seis reais e oitenta e oito centavos), </w:t>
      </w:r>
      <w:r>
        <w:rPr>
          <w:rStyle w:val="CharStyle8"/>
        </w:rPr>
        <w:t>referente a: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50" w:val="left"/>
        </w:tabs>
        <w:bidi w:val="0"/>
        <w:spacing w:before="0" w:after="0"/>
        <w:ind w:left="2080" w:right="0" w:hanging="380"/>
        <w:jc w:val="both"/>
      </w:pPr>
      <w:r>
        <w:rPr>
          <w:rStyle w:val="CharStyle8"/>
        </w:rPr>
        <w:t>Valor de Pessoal a Pagar - RS 3.483,00 (Três mil, quatrocentos e oitenta e três reais);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50" w:val="left"/>
        </w:tabs>
        <w:bidi w:val="0"/>
        <w:spacing w:before="0" w:after="0"/>
        <w:ind w:left="1680" w:right="0" w:firstLine="0"/>
        <w:jc w:val="left"/>
      </w:pPr>
      <w:r>
        <w:rPr>
          <w:rStyle w:val="CharStyle8"/>
        </w:rPr>
        <w:t>Benefícios Previdenciários a Pagar - R$ 0,33 (Trinta e três centavos);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50" w:val="left"/>
        </w:tabs>
        <w:bidi w:val="0"/>
        <w:spacing w:before="0" w:after="0"/>
        <w:ind w:left="2080" w:right="0" w:hanging="380"/>
        <w:jc w:val="left"/>
      </w:pPr>
      <w:r>
        <w:rPr>
          <w:rStyle w:val="CharStyle8"/>
        </w:rPr>
        <w:t>Valores Restituíveis - RS 44.293,55 (Quarenta e quatro mil, duzentos e noventa e três reais e cinquenta e cinco centavos);</w:t>
      </w:r>
    </w:p>
    <w:p>
      <w:pPr>
        <w:pStyle w:val="Style7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050" w:val="left"/>
        </w:tabs>
        <w:bidi w:val="0"/>
        <w:spacing w:before="0" w:after="320"/>
        <w:ind w:left="1680" w:right="0" w:firstLine="0"/>
        <w:jc w:val="left"/>
      </w:pPr>
      <w:r>
        <w:rPr>
          <w:rStyle w:val="CharStyle8"/>
        </w:rPr>
        <w:t>Outras Obrigações a curto prazo - R$ 600,00 (Seiscentos reais).</w:t>
      </w:r>
      <w:r>
        <w:br w:type="page"/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360" w:line="240" w:lineRule="auto"/>
        <w:ind w:left="1700" w:right="0" w:firstLine="0"/>
        <w:jc w:val="left"/>
      </w:pPr>
      <w:bookmarkStart w:id="32" w:name="bookmark32"/>
      <w:r>
        <w:rPr>
          <w:rStyle w:val="CharStyle28"/>
          <w:b/>
          <w:bCs/>
          <w:lang w:val="pt-BR" w:eastAsia="pt-BR" w:bidi="pt-BR"/>
        </w:rPr>
        <w:t>NOTA 8: PATRIMÔNIO LÍQUIDO</w:t>
      </w:r>
      <w:bookmarkEnd w:id="3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80" w:line="264" w:lineRule="auto"/>
        <w:ind w:left="0" w:right="0" w:firstLine="1700"/>
        <w:jc w:val="both"/>
      </w:pPr>
      <w:r>
        <w:rPr>
          <w:rStyle w:val="CharStyle8"/>
          <w:lang w:val="pt-BR" w:eastAsia="pt-BR" w:bidi="pt-BR"/>
        </w:rPr>
        <w:t>Patrimônio Líquido é o valor residual dos ativos da entidade depois de deduzidos todos os seus passivos.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1700"/>
        <w:jc w:val="both"/>
      </w:pPr>
      <w:r>
        <w:rPr>
          <w:rStyle w:val="CharStyle8"/>
          <w:lang w:val="pt-BR" w:eastAsia="pt-BR" w:bidi="pt-BR"/>
        </w:rPr>
        <w:t xml:space="preserve">O saldo patrimonial em 2025 é de </w:t>
      </w:r>
      <w:r>
        <w:rPr>
          <w:rStyle w:val="CharStyle8"/>
          <w:b/>
          <w:bCs/>
          <w:lang w:val="pt-BR" w:eastAsia="pt-BR" w:bidi="pt-BR"/>
        </w:rPr>
        <w:t>RS 844.416,04 (Oitocentos e quarenta e quatro mil, quatrocentos e dezesseis reais e quatro centavos).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81965" distB="3175" distL="0" distR="0" simplePos="0" relativeHeight="125829410" behindDoc="0" locked="0" layoutInCell="1" allowOverlap="1">
                <wp:simplePos x="0" y="0"/>
                <wp:positionH relativeFrom="page">
                  <wp:posOffset>3343910</wp:posOffset>
                </wp:positionH>
                <wp:positionV relativeFrom="paragraph">
                  <wp:posOffset>481965</wp:posOffset>
                </wp:positionV>
                <wp:extent cx="560705" cy="18923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7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rStyle w:val="CharStyle28"/>
                                <w:b/>
                                <w:bCs/>
                                <w:lang w:val="pt-BR" w:eastAsia="pt-BR" w:bidi="pt-BR"/>
                              </w:rPr>
                              <w:t>MARIA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63.30000000000001pt;margin-top:37.950000000000003pt;width:44.149999999999999pt;height:14.9pt;z-index:-125829343;mso-wrap-distance-left:0;mso-wrap-distance-top:37.950000000000003pt;mso-wrap-distance-right:0;mso-wrap-distance-bottom:0.25pt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rStyle w:val="CharStyle28"/>
                          <w:b/>
                          <w:bCs/>
                          <w:lang w:val="pt-BR" w:eastAsia="pt-BR" w:bidi="pt-BR"/>
                        </w:rPr>
                        <w:t>MARIA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5100" distB="213360" distL="0" distR="0" simplePos="0" relativeHeight="125829412" behindDoc="0" locked="0" layoutInCell="1" allowOverlap="1">
            <wp:simplePos x="0" y="0"/>
            <wp:positionH relativeFrom="page">
              <wp:posOffset>4398645</wp:posOffset>
            </wp:positionH>
            <wp:positionV relativeFrom="paragraph">
              <wp:posOffset>165100</wp:posOffset>
            </wp:positionV>
            <wp:extent cx="280670" cy="298450"/>
            <wp:wrapTopAndBottom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80670" cy="298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439420" distB="0" distL="0" distR="0" simplePos="0" relativeHeight="125829413" behindDoc="0" locked="0" layoutInCell="1" allowOverlap="1">
                <wp:simplePos x="0" y="0"/>
                <wp:positionH relativeFrom="page">
                  <wp:posOffset>4368165</wp:posOffset>
                </wp:positionH>
                <wp:positionV relativeFrom="paragraph">
                  <wp:posOffset>439420</wp:posOffset>
                </wp:positionV>
                <wp:extent cx="1371600" cy="23495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7160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28"/>
                                <w:b/>
                                <w:bCs/>
                                <w:lang w:val="pt-BR" w:eastAsia="pt-BR" w:bidi="pt-BR"/>
                              </w:rPr>
                              <w:t>^A DE MORAES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43.94999999999999pt;margin-top:34.600000000000001pt;width:108.pt;height:18.5pt;z-index:-125829340;mso-wrap-distance-left:0;mso-wrap-distance-top:34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28"/>
                          <w:b/>
                          <w:bCs/>
                          <w:lang w:val="pt-BR" w:eastAsia="pt-BR" w:bidi="pt-BR"/>
                        </w:rPr>
                        <w:t>^A DE MORAES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24"/>
          <w:szCs w:val="24"/>
        </w:rPr>
      </w:pPr>
      <w:r>
        <w:rPr>
          <w:rStyle w:val="CharStyle8"/>
          <w:sz w:val="24"/>
          <w:szCs w:val="24"/>
          <w:lang w:val="pt-BR" w:eastAsia="pt-BR" w:bidi="pt-BR"/>
        </w:rPr>
        <w:t>CONTADOR</w:t>
        <w:br/>
        <w:t>CRbAM 007366/0-8</w:t>
      </w:r>
    </w:p>
    <w:sectPr>
      <w:footnotePr>
        <w:pos w:val="pageBottom"/>
        <w:numFmt w:val="decimal"/>
        <w:numRestart w:val="continuous"/>
      </w:footnotePr>
      <w:pgSz w:w="11900" w:h="16840"/>
      <w:pgMar w:top="1563" w:right="1023" w:bottom="1277" w:left="1723" w:header="1135" w:footer="8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upperLett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lowerLetter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character" w:customStyle="1" w:styleId="CharStyle6">
    <w:name w:val="Heading #2|1_"/>
    <w:basedOn w:val="DefaultParagraphFont"/>
    <w:link w:val="Style5"/>
    <w:rPr>
      <w:b/>
      <w:bCs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8">
    <w:name w:val="Body text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3_"/>
    <w:basedOn w:val="DefaultParagraphFont"/>
    <w:link w:val="Style1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3">
    <w:name w:val="Body text|4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character" w:customStyle="1" w:styleId="CharStyle20">
    <w:name w:val="Picture caption|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character" w:customStyle="1" w:styleId="CharStyle22">
    <w:name w:val="Body text|5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/>
      <w:strike w:val="0"/>
      <w:sz w:val="15"/>
      <w:szCs w:val="15"/>
      <w:u w:val="none"/>
      <w:lang w:val="pt-BR" w:eastAsia="pt-BR" w:bidi="pt-BR"/>
    </w:rPr>
  </w:style>
  <w:style w:type="character" w:customStyle="1" w:styleId="CharStyle28">
    <w:name w:val="Heading #3|1_"/>
    <w:basedOn w:val="DefaultParagraphFont"/>
    <w:link w:val="Style27"/>
    <w:rPr>
      <w:b/>
      <w:bCs/>
      <w:i w:val="0"/>
      <w:iCs w:val="0"/>
      <w:smallCaps w:val="0"/>
      <w:strike w:val="0"/>
      <w:u w:val="none"/>
    </w:rPr>
  </w:style>
  <w:style w:type="character" w:customStyle="1" w:styleId="CharStyle30">
    <w:name w:val="Heading #1|1_"/>
    <w:basedOn w:val="DefaultParagraphFont"/>
    <w:link w:val="Style29"/>
    <w:rPr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3"/>
      <w:szCs w:val="13"/>
      <w:u w:val="none"/>
      <w:lang w:val="pt-BR" w:eastAsia="pt-BR" w:bidi="pt-BR"/>
    </w:rPr>
  </w:style>
  <w:style w:type="paragraph" w:customStyle="1" w:styleId="Style5">
    <w:name w:val="Heading #2|1"/>
    <w:basedOn w:val="Normal"/>
    <w:link w:val="CharStyle6"/>
    <w:pPr>
      <w:widowControl w:val="0"/>
      <w:shd w:val="clear" w:color="auto" w:fill="auto"/>
      <w:spacing w:after="370"/>
      <w:ind w:left="1680"/>
      <w:outlineLvl w:val="1"/>
    </w:pPr>
    <w:rPr>
      <w:b/>
      <w:bCs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auto"/>
      <w:spacing w:after="280" w:line="276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3"/>
    <w:basedOn w:val="Normal"/>
    <w:link w:val="CharStyle11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2">
    <w:name w:val="Body text|4"/>
    <w:basedOn w:val="Normal"/>
    <w:link w:val="CharStyle1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  <w:lang w:val="pt-BR" w:eastAsia="pt-BR" w:bidi="pt-BR"/>
    </w:rPr>
  </w:style>
  <w:style w:type="paragraph" w:customStyle="1" w:styleId="Style21">
    <w:name w:val="Body text|5"/>
    <w:basedOn w:val="Normal"/>
    <w:link w:val="CharStyle22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sz w:val="15"/>
      <w:szCs w:val="15"/>
      <w:u w:val="none"/>
      <w:lang w:val="pt-BR" w:eastAsia="pt-BR" w:bidi="pt-BR"/>
    </w:rPr>
  </w:style>
  <w:style w:type="paragraph" w:customStyle="1" w:styleId="Style27">
    <w:name w:val="Heading #3|1"/>
    <w:basedOn w:val="Normal"/>
    <w:link w:val="CharStyle28"/>
    <w:pPr>
      <w:widowControl w:val="0"/>
      <w:shd w:val="clear" w:color="auto" w:fill="auto"/>
      <w:spacing w:after="320"/>
      <w:ind w:left="840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9">
    <w:name w:val="Heading #1|1"/>
    <w:basedOn w:val="Normal"/>
    <w:link w:val="CharStyle30"/>
    <w:pPr>
      <w:widowControl w:val="0"/>
      <w:shd w:val="clear" w:color="auto" w:fill="auto"/>
      <w:spacing w:before="840" w:after="1060" w:line="276" w:lineRule="auto"/>
      <w:jc w:val="center"/>
      <w:outlineLvl w:val="0"/>
    </w:pPr>
    <w:rPr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