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10693400" cy="7556500"/>
                        </a:xfrm>
                        <a:prstGeom prst="rect"/>
                        <a:solidFill>
                          <a:srgbClr val="E7E7F7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2" fillcolor="#E7E7F7" stroked="f"/>
            </w:pict>
          </mc:Fallback>
        </mc:AlternateContent>
      </w:r>
    </w:p>
    <w:p>
      <w:pPr>
        <w:pStyle w:val="Style2"/>
        <w:keepNext w:val="0"/>
        <w:keepLines w:val="0"/>
        <w:framePr w:w="1090" w:h="173" w:wrap="none" w:hAnchor="page" w:x="519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Exercício de 2025</w:t>
      </w:r>
    </w:p>
    <w:p>
      <w:pPr>
        <w:pStyle w:val="Style2"/>
        <w:keepNext w:val="0"/>
        <w:keepLines w:val="0"/>
        <w:framePr w:w="1123" w:h="211" w:wrap="none" w:hAnchor="page" w:x="577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4"/>
        <w:keepNext/>
        <w:keepLines/>
        <w:framePr w:w="7253" w:h="859" w:wrap="none" w:hAnchor="page" w:x="467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5"/>
          <w:b/>
          <w:bCs/>
          <w:lang w:val="pt-BR" w:eastAsia="pt-BR" w:bidi="pt-BR"/>
        </w:rPr>
        <w:t>CAMARA MUNICIPAL DE SAO PAULO DE OLIVENÇA</w:t>
      </w:r>
      <w:bookmarkEnd w:id="0"/>
    </w:p>
    <w:p>
      <w:pPr>
        <w:pStyle w:val="Style6"/>
        <w:keepNext w:val="0"/>
        <w:keepLines w:val="0"/>
        <w:framePr w:w="7253" w:h="859" w:wrap="none" w:hAnchor="page" w:x="467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  <w:lang w:val="pt-BR" w:eastAsia="pt-BR" w:bidi="pt-BR"/>
        </w:rPr>
        <w:t>ANEXO 13 - BALANÇO FINANCEIRO - MCASP</w:t>
      </w:r>
    </w:p>
    <w:p>
      <w:pPr>
        <w:pStyle w:val="Style6"/>
        <w:keepNext w:val="0"/>
        <w:keepLines w:val="0"/>
        <w:framePr w:w="7253" w:h="859" w:wrap="none" w:hAnchor="page" w:x="467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lang w:val="pt-BR" w:eastAsia="pt-BR" w:bidi="pt-BR"/>
        </w:rPr>
        <w:t>Dezembro(31/12/2025)</w:t>
      </w:r>
    </w:p>
    <w:p>
      <w:pPr>
        <w:pStyle w:val="Style9"/>
        <w:keepNext w:val="0"/>
        <w:keepLines w:val="0"/>
        <w:framePr w:w="6125" w:h="240" w:wrap="none" w:hAnchor="page" w:x="5209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ISOLADO:2 - CAMARA MUNICIPAL DE SAO PAULO DE OLIVENÇA</w:t>
      </w:r>
    </w:p>
    <w:p>
      <w:pPr>
        <w:pStyle w:val="Style11"/>
        <w:keepNext w:val="0"/>
        <w:keepLines w:val="0"/>
        <w:framePr w:w="480" w:h="206" w:wrap="none" w:hAnchor="page" w:x="15529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Pág.: 1</w:t>
      </w:r>
    </w:p>
    <w:p>
      <w:pPr>
        <w:pStyle w:val="Style13"/>
        <w:keepNext w:val="0"/>
        <w:keepLines w:val="0"/>
        <w:framePr w:w="1070" w:h="226" w:wrap="none" w:hAnchor="page" w:x="3850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b/>
          <w:bCs/>
          <w:sz w:val="18"/>
          <w:szCs w:val="18"/>
          <w:u w:val="none"/>
        </w:rPr>
        <w:t>INGRESSOS</w:t>
      </w:r>
    </w:p>
    <w:p>
      <w:pPr>
        <w:pStyle w:val="Style13"/>
        <w:keepNext w:val="0"/>
        <w:keepLines w:val="0"/>
        <w:framePr w:w="1162" w:h="259" w:wrap="none" w:hAnchor="page" w:x="11578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b/>
          <w:bCs/>
          <w:sz w:val="18"/>
          <w:szCs w:val="18"/>
          <w:u w:val="none"/>
          <w:lang w:val="pt-PT" w:eastAsia="pt-PT" w:bidi="pt-PT"/>
        </w:rPr>
        <w:t>DISPÊNDIOS</w:t>
      </w:r>
    </w:p>
    <w:p>
      <w:pPr>
        <w:pStyle w:val="Style2"/>
        <w:keepNext w:val="0"/>
        <w:keepLines w:val="0"/>
        <w:framePr w:w="331" w:h="178" w:wrap="none" w:hAnchor="page" w:x="5002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07" w:h="178" w:wrap="none" w:hAnchor="page" w:x="5684" w:y="1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85" w:h="178" w:wrap="none" w:hAnchor="page" w:x="7009" w:y="1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1123" w:h="206" w:wrap="none" w:hAnchor="page" w:x="8372" w:y="1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26" w:h="178" w:wrap="none" w:hAnchor="page" w:x="12519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7" w:h="178" w:wrap="none" w:hAnchor="page" w:x="13446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0" w:h="178" w:wrap="none" w:hAnchor="page" w:x="14780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2222" w:h="413" w:wrap="none" w:hAnchor="page" w:x="630" w:y="20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RECEITA ORÇAMENTÁRIA</w:t>
      </w:r>
    </w:p>
    <w:p>
      <w:pPr>
        <w:pStyle w:val="Style2"/>
        <w:keepNext w:val="0"/>
        <w:keepLines w:val="0"/>
        <w:framePr w:w="2222" w:h="413" w:wrap="none" w:hAnchor="page" w:x="630" w:y="204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  <w:u w:val="single"/>
        </w:rPr>
        <w:t>RECURSOS NÃO VINCULADOS</w:t>
      </w:r>
    </w:p>
    <w:p>
      <w:pPr>
        <w:pStyle w:val="Style2"/>
        <w:keepNext w:val="0"/>
        <w:keepLines w:val="0"/>
        <w:framePr w:w="302" w:h="384" w:wrap="none" w:hAnchor="page" w:x="6534" w:y="206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302" w:h="384" w:wrap="none" w:hAnchor="page" w:x="6534" w:y="2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298" w:h="379" w:wrap="none" w:hAnchor="page" w:x="7810" w:y="20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298" w:h="379" w:wrap="none" w:hAnchor="page" w:x="7810" w:y="2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3581" w:h="720" w:wrap="none" w:hAnchor="page" w:x="620" w:y="2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TRANSFERENCIAS FINANCEIRAS RECEBIDAS</w:t>
      </w:r>
    </w:p>
    <w:p>
      <w:pPr>
        <w:pStyle w:val="Style2"/>
        <w:keepNext w:val="0"/>
        <w:keepLines w:val="0"/>
        <w:framePr w:w="3581" w:h="720" w:wrap="none" w:hAnchor="page" w:x="620" w:y="257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  <w:u w:val="single"/>
        </w:rPr>
        <w:t>TRANSFERÊNCIAS RECEBIDAS PARA A EXECUÇÃO</w:t>
      </w:r>
    </w:p>
    <w:p>
      <w:pPr>
        <w:pStyle w:val="Style2"/>
        <w:keepNext w:val="0"/>
        <w:keepLines w:val="0"/>
        <w:framePr w:w="3581" w:h="720" w:wrap="none" w:hAnchor="page" w:x="620" w:y="257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  <w:u w:val="single"/>
        </w:rPr>
        <w:t>ORÇAMENTÁRIA</w:t>
      </w:r>
    </w:p>
    <w:p>
      <w:pPr>
        <w:pStyle w:val="Style2"/>
        <w:keepNext w:val="0"/>
        <w:keepLines w:val="0"/>
        <w:framePr w:w="3581" w:h="720" w:wrap="none" w:hAnchor="page" w:x="620" w:y="2574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3"/>
        </w:rPr>
        <w:t>REPASSE RECEBIDO</w:t>
      </w:r>
    </w:p>
    <w:p>
      <w:pPr>
        <w:pStyle w:val="Style2"/>
        <w:keepNext w:val="0"/>
        <w:keepLines w:val="0"/>
        <w:framePr w:w="792" w:h="379" w:wrap="none" w:hAnchor="page" w:x="6044" w:y="25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u w:val="single"/>
        </w:rPr>
        <w:t>4.278,859,45</w:t>
      </w:r>
    </w:p>
    <w:p>
      <w:pPr>
        <w:pStyle w:val="Style2"/>
        <w:keepNext w:val="0"/>
        <w:keepLines w:val="0"/>
        <w:framePr w:w="792" w:h="379" w:wrap="none" w:hAnchor="page" w:x="6044" w:y="25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4,278.859,45</w:t>
      </w:r>
    </w:p>
    <w:p>
      <w:pPr>
        <w:pStyle w:val="Style2"/>
        <w:keepNext w:val="0"/>
        <w:keepLines w:val="0"/>
        <w:framePr w:w="787" w:h="379" w:wrap="none" w:hAnchor="page" w:x="7321" w:y="25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u w:val="single"/>
        </w:rPr>
        <w:t>3.994.882,20</w:t>
      </w:r>
    </w:p>
    <w:p>
      <w:pPr>
        <w:pStyle w:val="Style2"/>
        <w:keepNext w:val="0"/>
        <w:keepLines w:val="0"/>
        <w:framePr w:w="787" w:h="379" w:wrap="none" w:hAnchor="page" w:x="7321" w:y="2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3.994.882,20</w:t>
      </w:r>
    </w:p>
    <w:p>
      <w:pPr>
        <w:pStyle w:val="Style2"/>
        <w:keepNext w:val="0"/>
        <w:keepLines w:val="0"/>
        <w:framePr w:w="782" w:h="173" w:wrap="none" w:hAnchor="page" w:x="6044" w:y="3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4.278.859,45</w:t>
      </w:r>
    </w:p>
    <w:p>
      <w:pPr>
        <w:pStyle w:val="Style2"/>
        <w:keepNext w:val="0"/>
        <w:keepLines w:val="0"/>
        <w:framePr w:w="787" w:h="173" w:wrap="none" w:hAnchor="page" w:x="7321" w:y="3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3.994 882,20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RECEBIMENTOS EXTRA-ORÇAMENTARIOS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180"/>
        <w:jc w:val="left"/>
      </w:pPr>
      <w:r>
        <w:rPr>
          <w:rStyle w:val="CharStyle3"/>
          <w:u w:val="single"/>
        </w:rPr>
        <w:t>INSCRIÇÃO DE RESTOS A PAGAR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INSCRIÇÃO DE RP PROCESSADOS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RP PROCESSADOS - INSCRIÇÃO NO EXERCÍCIO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180"/>
        <w:jc w:val="left"/>
      </w:pPr>
      <w:r>
        <w:rPr>
          <w:rStyle w:val="CharStyle3"/>
          <w:u w:val="single"/>
        </w:rPr>
        <w:t>DEPÓSITOS RESTITUÍVEIS E VALORES VINCULADOS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CONTRIBUIÇÃO AO RGPS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IMPOSTO SOBRE A RENDA RETIDO NA FONTE - IRRF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ISS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RETENÇÕES - EMPRÉSTIMOS E FINANCIAMENTOS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OUTROS DEPÓSITOS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180"/>
        <w:jc w:val="left"/>
      </w:pPr>
      <w:r>
        <w:rPr>
          <w:rStyle w:val="CharStyle3"/>
          <w:u w:val="single"/>
        </w:rPr>
        <w:t>OUTROS RECEBIMENTOS EXTRAORCAMENTÁRIOS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0" w:right="0" w:firstLine="340"/>
        <w:jc w:val="left"/>
      </w:pPr>
      <w:r>
        <w:rPr>
          <w:rStyle w:val="CharStyle3"/>
        </w:rPr>
        <w:t>VALORES EM TRÂNSITO REALIZÁVEIS A CURTO PRAZO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340" w:right="0" w:firstLine="20"/>
        <w:jc w:val="left"/>
      </w:pPr>
      <w:r>
        <w:rPr>
          <w:rStyle w:val="CharStyle3"/>
        </w:rPr>
        <w:t>CRÉDITOS A RECEBER POR REEMBOLSO DE SALÁRIO FAMÍLIA PAGO</w:t>
      </w:r>
    </w:p>
    <w:p>
      <w:pPr>
        <w:pStyle w:val="Style2"/>
        <w:keepNext w:val="0"/>
        <w:keepLines w:val="0"/>
        <w:framePr w:w="4512" w:h="2990" w:wrap="none" w:hAnchor="page" w:x="625" w:y="3395"/>
        <w:widowControl w:val="0"/>
        <w:shd w:val="clear" w:color="auto" w:fill="auto"/>
        <w:bidi w:val="0"/>
        <w:spacing w:before="0" w:after="0" w:line="286" w:lineRule="auto"/>
        <w:ind w:left="340" w:right="0" w:firstLine="20"/>
        <w:jc w:val="left"/>
      </w:pPr>
      <w:r>
        <w:rPr>
          <w:rStyle w:val="CharStyle3"/>
        </w:rPr>
        <w:t>OUTROS CRÉDITOS A RECEBER E VALORES DE CURTO PRAZO OUTROS CRÉDITOS A RECEBER E VALORES DE CURTO PRAZO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3"/>
          <w:u w:val="single"/>
        </w:rPr>
        <w:t>743.839,14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286" w:lineRule="auto"/>
        <w:ind w:left="360" w:right="0" w:firstLine="0"/>
        <w:jc w:val="right"/>
      </w:pPr>
      <w:r>
        <w:rPr>
          <w:rStyle w:val="CharStyle3"/>
        </w:rPr>
        <w:t>5,33 0,00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3"/>
        </w:rPr>
        <w:t>5,33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736.723.81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220.611,31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3"/>
        </w:rPr>
        <w:t>242.984,71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322" w:lineRule="auto"/>
        <w:ind w:left="0" w:right="0" w:firstLine="40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3"/>
        </w:rPr>
        <w:t>267.955,30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322" w:lineRule="auto"/>
        <w:ind w:left="140" w:right="0" w:firstLine="20"/>
        <w:jc w:val="left"/>
      </w:pPr>
      <w:r>
        <w:rPr>
          <w:rStyle w:val="CharStyle3"/>
        </w:rPr>
        <w:t xml:space="preserve">5.172,49 </w:t>
      </w:r>
      <w:r>
        <w:rPr>
          <w:rStyle w:val="CharStyle3"/>
          <w:u w:val="single"/>
        </w:rPr>
        <w:t xml:space="preserve">7110,00 </w:t>
      </w:r>
      <w:r>
        <w:rPr>
          <w:rStyle w:val="CharStyle3"/>
        </w:rPr>
        <w:t>5.911,83</w:t>
      </w:r>
    </w:p>
    <w:p>
      <w:pPr>
        <w:pStyle w:val="Style2"/>
        <w:keepNext w:val="0"/>
        <w:keepLines w:val="0"/>
        <w:framePr w:w="682" w:h="2424" w:wrap="none" w:hAnchor="page" w:x="6150" w:y="3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1.198,17</w:t>
      </w:r>
    </w:p>
    <w:p>
      <w:pPr>
        <w:pStyle w:val="Style2"/>
        <w:keepNext w:val="0"/>
        <w:keepLines w:val="0"/>
        <w:framePr w:w="682" w:h="2458" w:wrap="none" w:hAnchor="page" w:x="7426" w:y="339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3"/>
          <w:u w:val="single"/>
        </w:rPr>
        <w:t>424.042,04</w:t>
      </w:r>
    </w:p>
    <w:p>
      <w:pPr>
        <w:pStyle w:val="Style2"/>
        <w:keepNext w:val="0"/>
        <w:keepLines w:val="0"/>
        <w:framePr w:w="682" w:h="2458" w:wrap="none" w:hAnchor="page" w:x="7426" w:y="339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3"/>
          <w:u w:val="single"/>
        </w:rPr>
        <w:t>3.478,00</w:t>
      </w:r>
    </w:p>
    <w:p>
      <w:pPr>
        <w:pStyle w:val="Style2"/>
        <w:keepNext w:val="0"/>
        <w:keepLines w:val="0"/>
        <w:framePr w:w="682" w:h="2458" w:wrap="none" w:hAnchor="page" w:x="7426" w:y="3390"/>
        <w:widowControl w:val="0"/>
        <w:shd w:val="clear" w:color="auto" w:fill="auto"/>
        <w:bidi w:val="0"/>
        <w:spacing w:before="0" w:after="0" w:line="298" w:lineRule="auto"/>
        <w:ind w:left="380" w:right="0" w:hanging="240"/>
        <w:jc w:val="left"/>
      </w:pPr>
      <w:r>
        <w:rPr>
          <w:rStyle w:val="CharStyle3"/>
        </w:rPr>
        <w:t xml:space="preserve">3.478,00 0,00 </w:t>
      </w:r>
      <w:r>
        <w:rPr>
          <w:rStyle w:val="CharStyle3"/>
          <w:u w:val="single"/>
        </w:rPr>
        <w:t xml:space="preserve">0,00 </w:t>
      </w:r>
      <w:r>
        <w:rPr>
          <w:rStyle w:val="CharStyle3"/>
        </w:rPr>
        <w:t>0,00 0,00 0,00 0,00</w:t>
      </w:r>
    </w:p>
    <w:p>
      <w:pPr>
        <w:pStyle w:val="Style2"/>
        <w:keepNext w:val="0"/>
        <w:keepLines w:val="0"/>
        <w:framePr w:w="682" w:h="2458" w:wrap="none" w:hAnchor="page" w:x="7426" w:y="3390"/>
        <w:widowControl w:val="0"/>
        <w:shd w:val="clear" w:color="auto" w:fill="auto"/>
        <w:bidi w:val="0"/>
        <w:spacing w:before="0" w:after="0" w:line="298" w:lineRule="auto"/>
        <w:ind w:left="0" w:right="0" w:firstLine="38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2" w:h="2458" w:wrap="none" w:hAnchor="page" w:x="7426" w:y="339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Style w:val="CharStyle3"/>
          <w:u w:val="single"/>
        </w:rPr>
        <w:t xml:space="preserve">420.564,04 </w:t>
      </w:r>
      <w:r>
        <w:rPr>
          <w:rStyle w:val="CharStyle3"/>
        </w:rPr>
        <w:t>0,00 0,00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DESPESA ORÇAMENTÁRIA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RECURSOS NÃO VINCULADOS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TRANSFERÊNCIAS FINANCEIRAS CONCEDIDAS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TRANSFERÊNCIAS CONCEDIDAS - INDEPENDENTES DE EXECUÇÃO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ORÇAMENTÁRIA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OUTRAS TRANSFERÊNCIAS FINANCEIRAS CONCEDIDAS -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INDEPENDENTES DE EXECUÇÃO ORÇAMENTÁRIA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PAGAMENTOS EXTRA-ORÇAMENTARIOS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DEPÓSITOS RESTITUÍVEIS E VALORES VINCULADOS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CONTRIBUIÇÃO AO RGPS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IMPOSTO SOBRE A RENDA RETIDO NA FONTE - IRRF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1SS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RETENÇÕES - EMPRÉSTIMOS E FINANCIAMENTOS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OUTROS PAGAMENTOS EXTRAORCAMENTÁRIOS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VALORES EM TRÂNSITO REALIZÁVEIS A CURTO PRAZO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CRÉDITOS A RECEBER POR REEMBOLSO DE SALÁRIO FAMÍLIA PAGO</w:t>
      </w:r>
    </w:p>
    <w:p>
      <w:pPr>
        <w:pStyle w:val="Style2"/>
        <w:keepNext w:val="0"/>
        <w:keepLines w:val="0"/>
        <w:framePr w:w="4829" w:h="3322" w:wrap="none" w:hAnchor="page" w:x="8415" w:y="202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OUTROS CRÉDITOS A RECEBER E VALORES DE CURTO PRAZO</w:t>
      </w:r>
    </w:p>
    <w:p>
      <w:pPr>
        <w:pStyle w:val="Style2"/>
        <w:keepNext w:val="0"/>
        <w:keepLines w:val="0"/>
        <w:framePr w:w="792" w:h="346" w:wrap="none" w:hAnchor="page" w:x="13791" w:y="2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4.278.659,00</w:t>
      </w:r>
    </w:p>
    <w:p>
      <w:pPr>
        <w:pStyle w:val="Style2"/>
        <w:keepNext w:val="0"/>
        <w:keepLines w:val="0"/>
        <w:framePr w:w="792" w:h="346" w:wrap="none" w:hAnchor="page" w:x="13791" w:y="2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4,278,659,00</w:t>
      </w:r>
    </w:p>
    <w:p>
      <w:pPr>
        <w:pStyle w:val="Style2"/>
        <w:keepNext w:val="0"/>
        <w:keepLines w:val="0"/>
        <w:framePr w:w="797" w:h="346" w:wrap="none" w:hAnchor="page" w:x="15202" w:y="2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4.031.112,02</w:t>
      </w:r>
    </w:p>
    <w:p>
      <w:pPr>
        <w:pStyle w:val="Style2"/>
        <w:keepNext w:val="0"/>
        <w:keepLines w:val="0"/>
        <w:framePr w:w="797" w:h="346" w:wrap="none" w:hAnchor="page" w:x="15202" w:y="2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4031112,02</w:t>
      </w:r>
    </w:p>
    <w:p>
      <w:pPr>
        <w:pStyle w:val="Style2"/>
        <w:keepNext w:val="0"/>
        <w:keepLines w:val="0"/>
        <w:framePr w:w="302" w:h="350" w:wrap="none" w:hAnchor="page" w:x="6529" w:y="5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350" w:wrap="none" w:hAnchor="page" w:x="6529" w:y="5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7" w:h="350" w:wrap="none" w:hAnchor="page" w:x="7426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7" w:h="350" w:wrap="none" w:hAnchor="page" w:x="7426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420.564,04</w:t>
      </w:r>
    </w:p>
    <w:p>
      <w:pPr>
        <w:pStyle w:val="Style2"/>
        <w:keepNext w:val="0"/>
        <w:keepLines w:val="0"/>
        <w:framePr w:w="619" w:h="350" w:wrap="none" w:hAnchor="page" w:x="13964" w:y="2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95.366,99</w:t>
      </w:r>
    </w:p>
    <w:p>
      <w:pPr>
        <w:pStyle w:val="Style2"/>
        <w:keepNext w:val="0"/>
        <w:keepLines w:val="0"/>
        <w:framePr w:w="619" w:h="350" w:wrap="none" w:hAnchor="page" w:x="13964" w:y="2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95,366,99</w:t>
      </w:r>
    </w:p>
    <w:p>
      <w:pPr>
        <w:pStyle w:val="Style2"/>
        <w:keepNext w:val="0"/>
        <w:keepLines w:val="0"/>
        <w:framePr w:w="614" w:h="173" w:wrap="none" w:hAnchor="page" w:x="13964" w:y="3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95.366,99</w:t>
      </w:r>
    </w:p>
    <w:p>
      <w:pPr>
        <w:pStyle w:val="Style2"/>
        <w:keepNext w:val="0"/>
        <w:keepLines w:val="0"/>
        <w:framePr w:w="686" w:h="1958" w:wrap="none" w:hAnchor="page" w:x="13892" w:y="3414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rStyle w:val="CharStyle3"/>
          <w:u w:val="single"/>
        </w:rPr>
        <w:t xml:space="preserve">847318,06 802.435,78 </w:t>
      </w:r>
      <w:r>
        <w:rPr>
          <w:rStyle w:val="CharStyle3"/>
        </w:rPr>
        <w:t>220.611,31 321.236,97</w:t>
      </w:r>
    </w:p>
    <w:p>
      <w:pPr>
        <w:pStyle w:val="Style2"/>
        <w:keepNext w:val="0"/>
        <w:keepLines w:val="0"/>
        <w:framePr w:w="686" w:h="1958" w:wrap="none" w:hAnchor="page" w:x="13892" w:y="3414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right"/>
      </w:pPr>
      <w:r>
        <w:rPr>
          <w:rStyle w:val="CharStyle3"/>
        </w:rPr>
        <w:t xml:space="preserve">10,53 260.576,97 </w:t>
      </w:r>
      <w:r>
        <w:rPr>
          <w:rStyle w:val="CharStyle3"/>
          <w:u w:val="single"/>
        </w:rPr>
        <w:t>44,882,28</w:t>
      </w:r>
    </w:p>
    <w:p>
      <w:pPr>
        <w:pStyle w:val="Style2"/>
        <w:keepNext w:val="0"/>
        <w:keepLines w:val="0"/>
        <w:framePr w:w="686" w:h="1958" w:wrap="none" w:hAnchor="page" w:x="13892" w:y="3414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right"/>
      </w:pPr>
      <w:r>
        <w:rPr>
          <w:rStyle w:val="CharStyle3"/>
        </w:rPr>
        <w:t>8.376,89</w:t>
      </w:r>
    </w:p>
    <w:p>
      <w:pPr>
        <w:pStyle w:val="Style2"/>
        <w:keepNext w:val="0"/>
        <w:keepLines w:val="0"/>
        <w:framePr w:w="686" w:h="1958" w:wrap="none" w:hAnchor="page" w:x="13892" w:y="3414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right"/>
      </w:pPr>
      <w:r>
        <w:rPr>
          <w:rStyle w:val="CharStyle3"/>
        </w:rPr>
        <w:t>1.198,17</w:t>
      </w:r>
    </w:p>
    <w:p>
      <w:pPr>
        <w:pStyle w:val="Style2"/>
        <w:keepNext w:val="0"/>
        <w:keepLines w:val="0"/>
        <w:framePr w:w="686" w:h="1958" w:wrap="none" w:hAnchor="page" w:x="13892" w:y="3414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right"/>
      </w:pPr>
      <w:r>
        <w:rPr>
          <w:rStyle w:val="CharStyle3"/>
        </w:rPr>
        <w:t>35.307,22</w:t>
      </w:r>
    </w:p>
    <w:p>
      <w:pPr>
        <w:pStyle w:val="Style2"/>
        <w:keepNext w:val="0"/>
        <w:keepLines w:val="0"/>
        <w:framePr w:w="302" w:h="350" w:wrap="none" w:hAnchor="page" w:x="15697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302" w:h="350" w:wrap="none" w:hAnchor="page" w:x="15697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302" w:h="173" w:wrap="none" w:hAnchor="page" w:x="15697" w:y="3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958" w:wrap="none" w:hAnchor="page" w:x="15303" w:y="341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rStyle w:val="CharStyle3"/>
          <w:u w:val="single"/>
        </w:rPr>
        <w:t xml:space="preserve">414.939,03 0.00 </w:t>
      </w:r>
      <w:r>
        <w:rPr>
          <w:rStyle w:val="CharStyle3"/>
        </w:rPr>
        <w:t>0,00 0,00 0,00 0,00</w:t>
      </w:r>
    </w:p>
    <w:p>
      <w:pPr>
        <w:pStyle w:val="Style2"/>
        <w:keepNext w:val="0"/>
        <w:keepLines w:val="0"/>
        <w:framePr w:w="691" w:h="1958" w:wrap="none" w:hAnchor="page" w:x="15303" w:y="341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3"/>
          <w:u w:val="single"/>
        </w:rPr>
        <w:t>414939,03</w:t>
      </w:r>
    </w:p>
    <w:p>
      <w:pPr>
        <w:pStyle w:val="Style2"/>
        <w:keepNext w:val="0"/>
        <w:keepLines w:val="0"/>
        <w:framePr w:w="691" w:h="1958" w:wrap="none" w:hAnchor="page" w:x="15303" w:y="341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rStyle w:val="CharStyle3"/>
        </w:rPr>
        <w:t>414.939,03 0,00 0,00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SALDOS DO EXERC. ANTERIOR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  <w:u w:val="single"/>
        </w:rPr>
        <w:t>CAIXA E EQUIVALENTE DE CAIXA (EXCETO RPPS)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"/>
        </w:rPr>
        <w:t>CAIXA E EQUIVALENTES DE CAIXA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"/>
        </w:rPr>
        <w:t>CONTA ÚNICA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"/>
        </w:rPr>
        <w:t>APLICAÇÕES FINANCEIRAS DE LIQUIDEZ IMEDIATA - USO</w:t>
      </w:r>
    </w:p>
    <w:p>
      <w:pPr>
        <w:pStyle w:val="Style2"/>
        <w:keepNext w:val="0"/>
        <w:keepLines w:val="0"/>
        <w:framePr w:w="4219" w:h="1099" w:wrap="none" w:hAnchor="page" w:x="625" w:y="6471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"/>
        </w:rPr>
        <w:t>GERAL</w:t>
      </w:r>
    </w:p>
    <w:p>
      <w:pPr>
        <w:pStyle w:val="Style2"/>
        <w:keepNext w:val="0"/>
        <w:keepLines w:val="0"/>
        <w:framePr w:w="691" w:h="922" w:wrap="none" w:hAnchor="page" w:x="6150" w:y="6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268,489,42</w:t>
      </w:r>
    </w:p>
    <w:p>
      <w:pPr>
        <w:pStyle w:val="Style2"/>
        <w:keepNext w:val="0"/>
        <w:keepLines w:val="0"/>
        <w:framePr w:w="691" w:h="922" w:wrap="none" w:hAnchor="page" w:x="6150" w:y="6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268,489,42</w:t>
      </w:r>
    </w:p>
    <w:p>
      <w:pPr>
        <w:pStyle w:val="Style2"/>
        <w:keepNext w:val="0"/>
        <w:keepLines w:val="0"/>
        <w:framePr w:w="691" w:h="922" w:wrap="none" w:hAnchor="page" w:x="6150" w:y="6462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922" w:wrap="none" w:hAnchor="page" w:x="6150" w:y="6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246.061,29</w:t>
      </w:r>
    </w:p>
    <w:p>
      <w:pPr>
        <w:pStyle w:val="Style2"/>
        <w:keepNext w:val="0"/>
        <w:keepLines w:val="0"/>
        <w:framePr w:w="691" w:h="922" w:wrap="none" w:hAnchor="page" w:x="6150" w:y="6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22.428,13</w:t>
      </w:r>
    </w:p>
    <w:p>
      <w:pPr>
        <w:pStyle w:val="Style2"/>
        <w:keepNext w:val="0"/>
        <w:keepLines w:val="0"/>
        <w:framePr w:w="672" w:h="922" w:wrap="none" w:hAnchor="page" w:x="7431" w:y="6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296.569,87</w:t>
      </w:r>
    </w:p>
    <w:p>
      <w:pPr>
        <w:pStyle w:val="Style2"/>
        <w:keepNext w:val="0"/>
        <w:keepLines w:val="0"/>
        <w:framePr w:w="672" w:h="922" w:wrap="none" w:hAnchor="page" w:x="7431" w:y="6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296.569,87</w:t>
      </w:r>
    </w:p>
    <w:p>
      <w:pPr>
        <w:pStyle w:val="Style2"/>
        <w:keepNext w:val="0"/>
        <w:keepLines w:val="0"/>
        <w:framePr w:w="672" w:h="922" w:wrap="none" w:hAnchor="page" w:x="7431" w:y="6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296.569,87</w:t>
      </w:r>
    </w:p>
    <w:p>
      <w:pPr>
        <w:pStyle w:val="Style2"/>
        <w:keepNext w:val="0"/>
        <w:keepLines w:val="0"/>
        <w:framePr w:w="672" w:h="922" w:wrap="none" w:hAnchor="page" w:x="7431" w:y="6457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2" w:h="922" w:wrap="none" w:hAnchor="page" w:x="7431" w:y="6457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SALDOS P/O EXERC. SEGUINTE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CAIXA E EQUIVALENTE DE CAIXA (EXCETO RPPS)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CAIXA E EQUIVALENTES DE CAIXA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3"/>
        </w:rPr>
        <w:t>CONTA ÚNICA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3"/>
        </w:rPr>
        <w:t>APLICAÇÕES FINANCEIRAS DE LIQUIDEZ IMEDIATA - USO GERAL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  <w:u w:val="single"/>
        </w:rPr>
        <w:t>DEPÓSITOS RESTITUÍVEIS E VALORES VINCULADOS</w:t>
      </w:r>
    </w:p>
    <w:p>
      <w:pPr>
        <w:pStyle w:val="Style2"/>
        <w:keepNext w:val="0"/>
        <w:keepLines w:val="0"/>
        <w:framePr w:w="4613" w:h="1354" w:wrap="none" w:hAnchor="page" w:x="8415" w:y="54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3"/>
        </w:rPr>
        <w:t>OUTROS VALORES RESTITUÍVEIS</w:t>
      </w:r>
    </w:p>
    <w:p>
      <w:pPr>
        <w:pStyle w:val="Style2"/>
        <w:keepNext w:val="0"/>
        <w:keepLines w:val="0"/>
        <w:framePr w:w="614" w:h="1387" w:wrap="none" w:hAnchor="page" w:x="13959" w:y="5406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Style w:val="CharStyle3"/>
          <w:u w:val="single"/>
        </w:rPr>
        <w:t>69,843,96 69 843,96</w:t>
      </w:r>
    </w:p>
    <w:p>
      <w:pPr>
        <w:pStyle w:val="Style2"/>
        <w:keepNext w:val="0"/>
        <w:keepLines w:val="0"/>
        <w:framePr w:w="614" w:h="1387" w:wrap="none" w:hAnchor="page" w:x="13959" w:y="5406"/>
        <w:widowControl w:val="0"/>
        <w:shd w:val="clear" w:color="auto" w:fill="auto"/>
        <w:bidi w:val="0"/>
        <w:spacing w:before="0" w:after="0" w:line="317" w:lineRule="auto"/>
        <w:ind w:left="0" w:right="0" w:firstLine="320"/>
        <w:jc w:val="both"/>
      </w:pPr>
      <w:r>
        <w:rPr>
          <w:rStyle w:val="CharStyle3"/>
        </w:rPr>
        <w:t>0,00 42.423,68 27.420,28</w:t>
      </w:r>
    </w:p>
    <w:p>
      <w:pPr>
        <w:pStyle w:val="Style2"/>
        <w:keepNext w:val="0"/>
        <w:keepLines w:val="0"/>
        <w:framePr w:w="614" w:h="1387" w:wrap="none" w:hAnchor="page" w:x="13959" w:y="5406"/>
        <w:widowControl w:val="0"/>
        <w:shd w:val="clear" w:color="auto" w:fill="auto"/>
        <w:bidi w:val="0"/>
        <w:spacing w:before="0" w:after="0" w:line="317" w:lineRule="auto"/>
        <w:ind w:left="0" w:right="0" w:firstLine="320"/>
        <w:jc w:val="both"/>
      </w:pPr>
      <w:r>
        <w:rPr>
          <w:rStyle w:val="CharStyle3"/>
          <w:u w:val="single"/>
        </w:rPr>
        <w:t>0,00</w:t>
      </w:r>
    </w:p>
    <w:p>
      <w:pPr>
        <w:pStyle w:val="Style2"/>
        <w:keepNext w:val="0"/>
        <w:keepLines w:val="0"/>
        <w:framePr w:w="614" w:h="1387" w:wrap="none" w:hAnchor="page" w:x="13959" w:y="5406"/>
        <w:widowControl w:val="0"/>
        <w:shd w:val="clear" w:color="auto" w:fill="auto"/>
        <w:bidi w:val="0"/>
        <w:spacing w:before="0" w:after="0" w:line="317" w:lineRule="auto"/>
        <w:ind w:left="0" w:right="0" w:firstLine="320"/>
        <w:jc w:val="both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u w:val="single"/>
        </w:rPr>
        <w:t>269.443,06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u w:val="single"/>
        </w:rPr>
        <w:t>268.489,42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268.489,42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  <w:u w:val="single"/>
        </w:rPr>
        <w:t>953,64</w:t>
      </w:r>
    </w:p>
    <w:p>
      <w:pPr>
        <w:pStyle w:val="Style2"/>
        <w:keepNext w:val="0"/>
        <w:keepLines w:val="0"/>
        <w:framePr w:w="686" w:h="1339" w:wrap="none" w:hAnchor="page" w:x="15308" w:y="54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953,64</w:t>
      </w:r>
    </w:p>
    <w:p>
      <w:pPr>
        <w:pStyle w:val="Style2"/>
        <w:keepNext w:val="0"/>
        <w:keepLines w:val="0"/>
        <w:framePr w:w="538" w:h="178" w:wrap="none" w:hAnchor="page" w:x="630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2"/>
        <w:keepNext w:val="0"/>
        <w:keepLines w:val="0"/>
        <w:framePr w:w="782" w:h="173" w:wrap="none" w:hAnchor="page" w:x="6044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5.291.188,01</w:t>
      </w:r>
    </w:p>
    <w:p>
      <w:pPr>
        <w:pStyle w:val="Style2"/>
        <w:keepNext w:val="0"/>
        <w:keepLines w:val="0"/>
        <w:framePr w:w="768" w:h="173" w:wrap="none" w:hAnchor="page" w:x="7326" w:y="7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4.715.494,11</w:t>
      </w:r>
    </w:p>
    <w:p>
      <w:pPr>
        <w:pStyle w:val="Style18"/>
        <w:keepNext w:val="0"/>
        <w:keepLines w:val="0"/>
        <w:framePr w:w="226" w:h="168" w:wrap="none" w:hAnchor="page" w:x="3193" w:y="9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JOI</w:t>
      </w:r>
    </w:p>
    <w:p>
      <w:pPr>
        <w:pStyle w:val="Style2"/>
        <w:keepNext w:val="0"/>
        <w:keepLines w:val="0"/>
        <w:framePr w:w="542" w:h="178" w:wrap="none" w:hAnchor="page" w:x="8410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2"/>
        <w:keepNext w:val="0"/>
        <w:keepLines w:val="0"/>
        <w:framePr w:w="773" w:h="178" w:wrap="none" w:hAnchor="page" w:x="13782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5.291.188,01</w:t>
      </w:r>
    </w:p>
    <w:p>
      <w:pPr>
        <w:pStyle w:val="Style2"/>
        <w:keepNext w:val="0"/>
        <w:keepLines w:val="0"/>
        <w:framePr w:w="782" w:h="173" w:wrap="none" w:hAnchor="page" w:x="15193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4.715.494,11</w:t>
      </w:r>
    </w:p>
    <w:p>
      <w:pPr>
        <w:pStyle w:val="Style20"/>
        <w:keepNext w:val="0"/>
        <w:keepLines w:val="0"/>
        <w:framePr w:w="1075" w:h="178" w:wrap="none" w:hAnchor="page" w:x="3630" w:y="9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1"/>
          <w:rFonts w:ascii="Arial" w:eastAsia="Arial" w:hAnsi="Arial" w:cs="Arial"/>
          <w:smallCaps/>
          <w:sz w:val="14"/>
          <w:szCs w:val="14"/>
        </w:rPr>
        <w:t>RÒBEHTo</w:t>
      </w:r>
      <w:r>
        <w:rPr>
          <w:rStyle w:val="CharStyle21"/>
          <w:rFonts w:ascii="Arial" w:eastAsia="Arial" w:hAnsi="Arial" w:cs="Arial"/>
          <w:sz w:val="12"/>
          <w:szCs w:val="12"/>
        </w:rPr>
        <w:t xml:space="preserve"> LUCAS</w:t>
      </w:r>
    </w:p>
    <w:p>
      <w:pPr>
        <w:pStyle w:val="Style18"/>
        <w:keepNext w:val="0"/>
        <w:keepLines w:val="0"/>
        <w:framePr w:w="374" w:h="158" w:wrap="none" w:hAnchor="page" w:x="10719" w:y="9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MARb</w:t>
      </w:r>
    </w:p>
    <w:p>
      <w:pPr>
        <w:pStyle w:val="Style18"/>
        <w:keepNext w:val="0"/>
        <w:keepLines w:val="0"/>
        <w:framePr w:w="566" w:h="158" w:wrap="none" w:hAnchor="page" w:x="11953" w:y="9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MORAES</w:t>
      </w:r>
    </w:p>
    <w:p>
      <w:pPr>
        <w:pStyle w:val="Style18"/>
        <w:keepNext w:val="0"/>
        <w:keepLines w:val="0"/>
        <w:framePr w:w="806" w:h="158" w:wrap="none" w:hAnchor="page" w:x="3543" w:y="9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PRESIDENTE</w:t>
      </w:r>
    </w:p>
    <w:p>
      <w:pPr>
        <w:pStyle w:val="Style18"/>
        <w:keepNext w:val="0"/>
        <w:keepLines w:val="0"/>
        <w:framePr w:w="739" w:h="158" w:wrap="none" w:hAnchor="page" w:x="11281" w:y="9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:ONTADORA</w:t>
      </w:r>
    </w:p>
    <w:p>
      <w:pPr>
        <w:pStyle w:val="Style18"/>
        <w:keepNext w:val="0"/>
        <w:keepLines w:val="0"/>
        <w:framePr w:w="888" w:h="158" w:wrap="none" w:hAnchor="page" w:x="3505" w:y="10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192.750.052-49</w:t>
      </w:r>
    </w:p>
    <w:p>
      <w:pPr>
        <w:pStyle w:val="Style18"/>
        <w:keepNext w:val="0"/>
        <w:keepLines w:val="0"/>
        <w:framePr w:w="1195" w:h="158" w:wrap="none" w:hAnchor="page" w:x="11012" w:y="10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CRC/AM 007366/0-8</w:t>
      </w:r>
    </w:p>
    <w:p>
      <w:pPr>
        <w:widowControl w:val="0"/>
        <w:spacing w:line="360" w:lineRule="exact"/>
      </w:pPr>
      <w:r>
        <w:drawing>
          <wp:anchor distT="0" distB="149225" distL="234950" distR="0" simplePos="0" relativeHeight="62914691" behindDoc="1" locked="0" layoutInCell="1" allowOverlap="1">
            <wp:simplePos x="0" y="0"/>
            <wp:positionH relativeFrom="page">
              <wp:posOffset>2539365</wp:posOffset>
            </wp:positionH>
            <wp:positionV relativeFrom="margin">
              <wp:posOffset>5553710</wp:posOffset>
            </wp:positionV>
            <wp:extent cx="597535" cy="499745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7535" cy="4997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806" w:right="832" w:bottom="718" w:left="518" w:header="378" w:footer="290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rStyle w:val="CharStyle27"/>
          <w:b/>
          <w:bCs/>
        </w:rPr>
        <w:t>NOTAS EXPLICATIVAS DAS DEMONSTRAÇÕES</w:t>
        <w:br/>
      </w:r>
      <w:r>
        <w:rPr>
          <w:rStyle w:val="CharStyle27"/>
          <w:b/>
          <w:bCs/>
          <w:lang w:val="pt-BR" w:eastAsia="pt-BR" w:bidi="pt-BR"/>
        </w:rPr>
        <w:t xml:space="preserve">CONTÁBEIS </w:t>
      </w:r>
      <w:r>
        <w:rPr>
          <w:rStyle w:val="CharStyle27"/>
          <w:b/>
          <w:bCs/>
        </w:rPr>
        <w:t>DO EXERCÍCIO FINANCEIRO DE 2025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bookmarkStart w:id="4" w:name="bookmark4"/>
      <w:r>
        <w:rPr>
          <w:rStyle w:val="CharStyle5"/>
          <w:b/>
          <w:bCs/>
          <w:lang w:val="pt-BR" w:eastAsia="pt-BR" w:bidi="pt-BR"/>
        </w:rPr>
        <w:t xml:space="preserve">I - </w:t>
      </w:r>
      <w:r>
        <w:rPr>
          <w:rStyle w:val="CharStyle5"/>
          <w:b/>
          <w:bCs/>
        </w:rPr>
        <w:t>CONTEXTO OPERACIONAL DAS DEMONSTRAÇÕES: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7"/>
        </w:rPr>
        <w:t>Para exercer sua função, a Câmara Municipal necessita de recursos financeiros que garantam sua real independência.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7"/>
        </w:rPr>
        <w:t xml:space="preserve">Para o exercício de 2025, foi aprovada a Lei </w:t>
      </w:r>
      <w:r>
        <w:rPr>
          <w:rStyle w:val="CharStyle7"/>
          <w:lang w:val="pt-BR" w:eastAsia="pt-BR" w:bidi="pt-BR"/>
        </w:rPr>
        <w:t xml:space="preserve">Orçamentária </w:t>
      </w:r>
      <w:r>
        <w:rPr>
          <w:rStyle w:val="CharStyle7"/>
        </w:rPr>
        <w:t xml:space="preserve">Anual fixando um orçamento anual para o Poder Legislativo de </w:t>
      </w:r>
      <w:r>
        <w:rPr>
          <w:rStyle w:val="CharStyle7"/>
          <w:b/>
          <w:bCs/>
        </w:rPr>
        <w:t>RS 2.638.936,00 (Dois milhões, seiscentos e trinta e oito mil e novecentos e trinta e seis reais).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7"/>
        </w:rPr>
        <w:t xml:space="preserve">O orçamento da Edilidade é determinado anualmente pela Lei </w:t>
      </w:r>
      <w:r>
        <w:rPr>
          <w:rStyle w:val="CharStyle7"/>
          <w:lang w:val="pt-BR" w:eastAsia="pt-BR" w:bidi="pt-BR"/>
        </w:rPr>
        <w:t xml:space="preserve">Orçamentária </w:t>
      </w:r>
      <w:r>
        <w:rPr>
          <w:rStyle w:val="CharStyle7"/>
        </w:rPr>
        <w:t>do Município, que prevê os recursos disponíveis para a cidade e fixa como esses recursos serão distribuídos e gastos, ou seja, o orçamento do Legislativo é uma parte desse total.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7"/>
        </w:rPr>
        <w:t xml:space="preserve">No </w:t>
      </w:r>
      <w:r>
        <w:rPr>
          <w:rStyle w:val="CharStyle7"/>
          <w:lang w:val="pt-BR" w:eastAsia="pt-BR" w:bidi="pt-BR"/>
        </w:rPr>
        <w:t xml:space="preserve">fim </w:t>
      </w:r>
      <w:r>
        <w:rPr>
          <w:rStyle w:val="CharStyle7"/>
        </w:rPr>
        <w:t xml:space="preserve">do exercício, que corresponde ao período de janeiro a dezembro, a Câmara Municipal deve elaborar suas </w:t>
      </w:r>
      <w:r>
        <w:rPr>
          <w:rStyle w:val="CharStyle7"/>
          <w:lang w:val="pt-BR" w:eastAsia="pt-BR" w:bidi="pt-BR"/>
        </w:rPr>
        <w:t xml:space="preserve">respectivas </w:t>
      </w:r>
      <w:r>
        <w:rPr>
          <w:rStyle w:val="CharStyle7"/>
        </w:rPr>
        <w:t xml:space="preserve">Demonstrações </w:t>
      </w:r>
      <w:r>
        <w:rPr>
          <w:rStyle w:val="CharStyle7"/>
          <w:lang w:val="pt-BR" w:eastAsia="pt-BR" w:bidi="pt-BR"/>
        </w:rPr>
        <w:t>Contábeis.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7"/>
        </w:rPr>
        <w:t xml:space="preserve">O objetivo principal das Notas Explicativas </w:t>
      </w:r>
      <w:r>
        <w:rPr>
          <w:rStyle w:val="CharStyle7"/>
          <w:lang w:val="pt-BR" w:eastAsia="pt-BR" w:bidi="pt-BR"/>
        </w:rPr>
        <w:t xml:space="preserve">às </w:t>
      </w:r>
      <w:r>
        <w:rPr>
          <w:rStyle w:val="CharStyle7"/>
        </w:rPr>
        <w:t xml:space="preserve">Demonstrações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7"/>
        </w:rPr>
        <w:t xml:space="preserve">A partir da Portaria 184 editada pelo Ministério da Fazenda em 25/08/2008, a Secretaria do Tesouro Nacional deu início ao processo de alteração da contabilidade pública (procedimentos, práticas, elaboração e divulgação das demonstrações </w:t>
      </w:r>
      <w:r>
        <w:rPr>
          <w:rStyle w:val="CharStyle7"/>
          <w:lang w:val="pt-BR" w:eastAsia="pt-BR" w:bidi="pt-BR"/>
        </w:rPr>
        <w:t xml:space="preserve">contábeis), </w:t>
      </w:r>
      <w:r>
        <w:rPr>
          <w:rStyle w:val="CharStyle7"/>
        </w:rPr>
        <w:t xml:space="preserve">no sentido de promover, de forma gradual, a convergência </w:t>
      </w:r>
      <w:r>
        <w:rPr>
          <w:rStyle w:val="CharStyle7"/>
          <w:lang w:val="pt-BR" w:eastAsia="pt-BR" w:bidi="pt-BR"/>
        </w:rPr>
        <w:t xml:space="preserve">às </w:t>
      </w:r>
      <w:r>
        <w:rPr>
          <w:rStyle w:val="CharStyle7"/>
        </w:rPr>
        <w:t xml:space="preserve">Normas Internacionais de Contabilidade publicadas pela </w:t>
      </w:r>
      <w:r>
        <w:rPr>
          <w:rStyle w:val="CharStyle7"/>
          <w:i/>
          <w:iCs/>
        </w:rPr>
        <w:t>International Federation of Accountants -</w:t>
      </w:r>
      <w:r>
        <w:rPr>
          <w:rStyle w:val="CharStyle7"/>
        </w:rPr>
        <w:t xml:space="preserve"> IFAC e </w:t>
      </w:r>
      <w:r>
        <w:rPr>
          <w:rStyle w:val="CharStyle7"/>
          <w:lang w:val="pt-BR" w:eastAsia="pt-BR" w:bidi="pt-BR"/>
        </w:rPr>
        <w:t xml:space="preserve">às </w:t>
      </w:r>
      <w:r>
        <w:rPr>
          <w:rStyle w:val="CharStyle7"/>
        </w:rPr>
        <w:t>Normas Brasileiras de Contabilidade aplicadas ao Setor Público editadas pelo Conselho Federal de Contabilidade - CFC, respeitados os aspectos formais e conceituais estabelecidos na legislação vigente.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7"/>
        </w:rPr>
        <w:t xml:space="preserve">As demonstrações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 xml:space="preserve">foram elaboradas a partir da escrituração </w:t>
      </w:r>
      <w:r>
        <w:rPr>
          <w:rStyle w:val="CharStyle7"/>
          <w:lang w:val="pt-BR" w:eastAsia="pt-BR" w:bidi="pt-BR"/>
        </w:rPr>
        <w:t xml:space="preserve">contábil </w:t>
      </w:r>
      <w:r>
        <w:rPr>
          <w:rStyle w:val="CharStyle7"/>
        </w:rPr>
        <w:t xml:space="preserve">por meio de classes de contas de natureza patrimonial, </w:t>
      </w:r>
      <w:r>
        <w:rPr>
          <w:rStyle w:val="CharStyle7"/>
          <w:lang w:val="pt-BR" w:eastAsia="pt-BR" w:bidi="pt-BR"/>
        </w:rPr>
        <w:t xml:space="preserve">orçamentária </w:t>
      </w:r>
      <w:r>
        <w:rPr>
          <w:rStyle w:val="CharStyle7"/>
        </w:rPr>
        <w:t xml:space="preserve">e de controle/compensação, visando evidenciar os fatos ligados à administração </w:t>
      </w:r>
      <w:r>
        <w:rPr>
          <w:rStyle w:val="CharStyle7"/>
          <w:lang w:val="pt-BR" w:eastAsia="pt-BR" w:bidi="pt-BR"/>
        </w:rPr>
        <w:t xml:space="preserve">orçamentária, </w:t>
      </w:r>
      <w:r>
        <w:rPr>
          <w:rStyle w:val="CharStyle7"/>
        </w:rPr>
        <w:t>financeira e patrimonial, em conformidade com os dispositivos previstos na Lei Federal 4.320/64, na Lei Complementar 101/2000, nas legislações municipal de planejamento, nas orientação previstas no Manual de Contabilidade Aplicada ao Setor Público - MCASP, 10</w:t>
      </w:r>
      <w:r>
        <w:rPr>
          <w:rStyle w:val="CharStyle7"/>
          <w:vertAlign w:val="superscript"/>
        </w:rPr>
        <w:t>a</w:t>
      </w:r>
      <w:r>
        <w:rPr>
          <w:rStyle w:val="CharStyle7"/>
        </w:rPr>
        <w:t xml:space="preserve"> edição publicado pela Secretaria do Tesouro Nacional, bem como das Normas Brasileiras de Contabilidade Aplicadas ao Setor Público (NBCT 16) e outras normas que regulam o assunto.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95" w:lineRule="auto"/>
        <w:ind w:left="0" w:right="0" w:firstLine="1720"/>
        <w:jc w:val="both"/>
      </w:pPr>
      <w:r>
        <w:rPr>
          <w:rStyle w:val="CharStyle7"/>
        </w:rPr>
        <w:t xml:space="preserve">Todos os registros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>do exercício de 2025 foram realizados por meio de sistema informatizado e integrado e adequado ao novo PCASP - Plano de Contas Aplicado ao Setor Público.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1720"/>
        <w:jc w:val="both"/>
      </w:pPr>
      <w:r>
        <w:rPr>
          <w:rStyle w:val="CharStyle7"/>
        </w:rPr>
        <w:t xml:space="preserve">Os dados do Poder Legislativo foram </w:t>
      </w:r>
      <w:r>
        <w:rPr>
          <w:rStyle w:val="CharStyle7"/>
          <w:lang w:val="pt-BR" w:eastAsia="pt-BR" w:bidi="pt-BR"/>
        </w:rPr>
        <w:t xml:space="preserve">disponibilizados </w:t>
      </w:r>
      <w:r>
        <w:rPr>
          <w:rStyle w:val="CharStyle7"/>
        </w:rPr>
        <w:t>à Prefeitura via arquivos XML para integração.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83" w:lineRule="auto"/>
        <w:ind w:left="0" w:right="0" w:firstLine="1720"/>
        <w:jc w:val="both"/>
      </w:pPr>
      <w:r>
        <w:rPr>
          <w:rStyle w:val="CharStyle7"/>
        </w:rPr>
        <w:t>Assim, o montante da receita escriturada considera apenas aquelas arrecadadas no exercício financeiro de 2025 e com relação à despesa empenhada, os números expressam os lançamentos ocorridos no período de I</w:t>
      </w:r>
      <w:r>
        <w:rPr>
          <w:rStyle w:val="CharStyle7"/>
          <w:vertAlign w:val="superscript"/>
        </w:rPr>
        <w:t>o</w:t>
      </w:r>
      <w:r>
        <w:rPr>
          <w:rStyle w:val="CharStyle7"/>
        </w:rPr>
        <w:t xml:space="preserve"> de janeiro a 31 de dezembro de 2025.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bookmarkStart w:id="6" w:name="bookmark6"/>
      <w:r>
        <w:rPr>
          <w:rStyle w:val="CharStyle5"/>
          <w:b/>
          <w:bCs/>
          <w:lang w:val="pt-BR" w:eastAsia="pt-BR" w:bidi="pt-BR"/>
        </w:rPr>
        <w:t xml:space="preserve">II - </w:t>
      </w:r>
      <w:r>
        <w:rPr>
          <w:rStyle w:val="CharStyle5"/>
          <w:b/>
          <w:bCs/>
        </w:rPr>
        <w:t xml:space="preserve">APRESENTAÇÃO DAS DEMONSTRAÇÕES </w:t>
      </w:r>
      <w:r>
        <w:rPr>
          <w:rStyle w:val="CharStyle5"/>
          <w:b/>
          <w:bCs/>
          <w:lang w:val="pt-BR" w:eastAsia="pt-BR" w:bidi="pt-BR"/>
        </w:rPr>
        <w:t>CONTÁBEIS: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7"/>
        </w:rPr>
        <w:t xml:space="preserve">As demonstrações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>do exercício financeiro de 2025 foram escrituradas em conformidade com a Lei 4320, de 17 de março de 1964, com o Plano de Contas Aplicado ao Setor Público, com as disposições do Manual de Contabilidade Aplicada ao Setor Público - MCASP, 10</w:t>
      </w:r>
      <w:r>
        <w:rPr>
          <w:rStyle w:val="CharStyle7"/>
          <w:vertAlign w:val="superscript"/>
        </w:rPr>
        <w:t xml:space="preserve">a </w:t>
      </w:r>
      <w:r>
        <w:rPr>
          <w:rStyle w:val="CharStyle7"/>
        </w:rPr>
        <w:t>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6, de 22 de julho de 2009.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7"/>
        </w:rPr>
        <w:t xml:space="preserve">Os registros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 xml:space="preserve">foram processados por meio de sistema de informática, considerando o exercício </w:t>
      </w:r>
      <w:r>
        <w:rPr>
          <w:rStyle w:val="CharStyle7"/>
          <w:lang w:val="pt-BR" w:eastAsia="pt-BR" w:bidi="pt-BR"/>
        </w:rPr>
        <w:t xml:space="preserve">econômico </w:t>
      </w:r>
      <w:r>
        <w:rPr>
          <w:rStyle w:val="CharStyle7"/>
        </w:rPr>
        <w:t>o ano-calendário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1720"/>
        <w:jc w:val="both"/>
      </w:pPr>
      <w:r>
        <w:rPr>
          <w:rStyle w:val="CharStyle7"/>
        </w:rPr>
        <w:t xml:space="preserve">As Demonstrações </w:t>
      </w:r>
      <w:r>
        <w:rPr>
          <w:rStyle w:val="CharStyle7"/>
          <w:lang w:val="pt-BR" w:eastAsia="pt-BR" w:bidi="pt-BR"/>
        </w:rPr>
        <w:t xml:space="preserve">Contábeis </w:t>
      </w:r>
      <w:r>
        <w:rPr>
          <w:rStyle w:val="CharStyle7"/>
        </w:rPr>
        <w:t xml:space="preserve">e suas </w:t>
      </w:r>
      <w:r>
        <w:rPr>
          <w:rStyle w:val="CharStyle7"/>
          <w:lang w:val="pt-BR" w:eastAsia="pt-BR" w:bidi="pt-BR"/>
        </w:rPr>
        <w:t xml:space="preserve">respectivas </w:t>
      </w:r>
      <w:r>
        <w:rPr>
          <w:rStyle w:val="CharStyle7"/>
        </w:rPr>
        <w:t>notas explicativas estão apresentadas com valores expressos em reais.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720" w:line="240" w:lineRule="auto"/>
        <w:ind w:right="0" w:firstLine="0"/>
        <w:jc w:val="both"/>
      </w:pPr>
      <w:bookmarkStart w:id="8" w:name="bookmark8"/>
      <w:r>
        <w:rPr>
          <w:rStyle w:val="CharStyle5"/>
          <w:b/>
          <w:bCs/>
        </w:rPr>
        <w:t>III - NOTA DO BALANÇO FINANCEIRO</w:t>
      </w:r>
      <w:bookmarkEnd w:id="8"/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bookmarkStart w:id="10" w:name="bookmark10"/>
      <w:r>
        <w:rPr>
          <w:rStyle w:val="CharStyle5"/>
          <w:b/>
          <w:bCs/>
        </w:rPr>
        <w:t xml:space="preserve">1. CRITÉRIOS </w:t>
      </w:r>
      <w:r>
        <w:rPr>
          <w:rStyle w:val="CharStyle5"/>
          <w:b/>
          <w:bCs/>
          <w:lang w:val="pt-BR" w:eastAsia="pt-BR" w:bidi="pt-BR"/>
        </w:rPr>
        <w:t xml:space="preserve">CONTÁBEIS </w:t>
      </w:r>
      <w:r>
        <w:rPr>
          <w:rStyle w:val="CharStyle5"/>
          <w:b/>
          <w:bCs/>
        </w:rPr>
        <w:t>ADOTADOS:</w:t>
      </w:r>
      <w:bookmarkEnd w:id="1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7"/>
        </w:rPr>
        <w:t xml:space="preserve">O Balanço Financeiro - Anexo XIII - demonstra as receitas e as despesas </w:t>
      </w:r>
      <w:r>
        <w:rPr>
          <w:rStyle w:val="CharStyle7"/>
          <w:lang w:val="pt-BR" w:eastAsia="pt-BR" w:bidi="pt-BR"/>
        </w:rPr>
        <w:t xml:space="preserve">orçamentárias, </w:t>
      </w:r>
      <w:r>
        <w:rPr>
          <w:rStyle w:val="CharStyle7"/>
        </w:rPr>
        <w:t xml:space="preserve">bem como os recebimentos e os pagamentos de natureza extra </w:t>
      </w:r>
      <w:r>
        <w:rPr>
          <w:rStyle w:val="CharStyle7"/>
          <w:lang w:val="pt-BR" w:eastAsia="pt-BR" w:bidi="pt-BR"/>
        </w:rPr>
        <w:t xml:space="preserve">orçamentária, </w:t>
      </w:r>
      <w:r>
        <w:rPr>
          <w:rStyle w:val="CharStyle7"/>
        </w:rPr>
        <w:t xml:space="preserve">conjugados com os saldos em espécie provenientes do exercício anterior, e os que se transferem para o exercício seguinte, sendo que os Restos a Pagar do exercício são computados na receita extra </w:t>
      </w:r>
      <w:r>
        <w:rPr>
          <w:rStyle w:val="CharStyle7"/>
          <w:lang w:val="pt-BR" w:eastAsia="pt-BR" w:bidi="pt-BR"/>
        </w:rPr>
        <w:t xml:space="preserve">orçamentária </w:t>
      </w:r>
      <w:r>
        <w:rPr>
          <w:rStyle w:val="CharStyle7"/>
        </w:rPr>
        <w:t xml:space="preserve">para compensar sua inclusão na despesa </w:t>
      </w:r>
      <w:r>
        <w:rPr>
          <w:rStyle w:val="CharStyle7"/>
          <w:lang w:val="pt-BR" w:eastAsia="pt-BR" w:bidi="pt-BR"/>
        </w:rPr>
        <w:t xml:space="preserve">orçamentária, </w:t>
      </w:r>
      <w:r>
        <w:rPr>
          <w:rStyle w:val="CharStyle7"/>
        </w:rPr>
        <w:t>conforme disposições do artigo 103 da Lei Federal 4320/1964.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7"/>
        </w:rPr>
        <w:t>Sua análise permite verificar valores que interfiram no resultado financeiro do exercício, visto que este deve listar todos os ingressos e saídas financeiras executadas no período.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680" w:right="0" w:firstLine="0"/>
        <w:jc w:val="both"/>
      </w:pPr>
      <w:r>
        <w:rPr>
          <w:rStyle w:val="CharStyle7"/>
        </w:rPr>
        <w:t xml:space="preserve">No Balanço Financeiro, as receitas e as despesas </w:t>
      </w:r>
      <w:r>
        <w:rPr>
          <w:rStyle w:val="CharStyle7"/>
          <w:lang w:val="pt-BR" w:eastAsia="pt-BR" w:bidi="pt-BR"/>
        </w:rPr>
        <w:t xml:space="preserve">orçamentárias </w:t>
      </w:r>
      <w:r>
        <w:rPr>
          <w:rStyle w:val="CharStyle7"/>
        </w:rPr>
        <w:t>estão elencadas por</w:t>
        <w:br w:type="page"/>
      </w:r>
      <w:r>
        <w:rPr>
          <w:rStyle w:val="CharStyle7"/>
          <w:lang w:val="pt-BR" w:eastAsia="pt-BR" w:bidi="pt-BR"/>
        </w:rPr>
        <w:t>sua fonte/destinação de recurso.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As receitas são reconhecidas pelo regime de caixa e as despesas são reconhecidas de acordo com o seu </w:t>
      </w:r>
      <w:r>
        <w:rPr>
          <w:rStyle w:val="CharStyle7"/>
        </w:rPr>
        <w:t xml:space="preserve">empenhamento, </w:t>
      </w:r>
      <w:r>
        <w:rPr>
          <w:rStyle w:val="CharStyle7"/>
          <w:lang w:val="pt-BR" w:eastAsia="pt-BR" w:bidi="pt-BR"/>
        </w:rPr>
        <w:t>ou seja, antes mesmo do fato gerador da despesa ter ocorrido, conforme artigo 60 da Lei Federal 4320/1964, de forma que as despesas empenhadas e não pagas, reconhecidas como restos a pagar, são acrescidas do lado dos “Ingressos” como “Recebimentos Extra Orçamentários”, conforme parágrafo único do artigo 103 da Lei Federal 4.320/1964.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Os ingressos e 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>do Balanço Financeiro para os Orçamentos Fiscal e da Seguridade Social demonstram o movimento das operações financeiras do exercício e evidenciam a receita e a despesa orçamentárias, os recebimentos e os pagamentos de natureza extra orçamentária e os saldos financeiros provenientes do exercício anterior e os que se transferem para o exercício seguinte, conforme demonstrado abaixo: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943" w:val="left"/>
        </w:tabs>
        <w:bidi w:val="0"/>
        <w:spacing w:before="0" w:after="0" w:line="240" w:lineRule="auto"/>
        <w:ind w:left="0" w:right="0" w:firstLine="980"/>
        <w:jc w:val="both"/>
        <w:rPr>
          <w:sz w:val="18"/>
          <w:szCs w:val="18"/>
        </w:rPr>
      </w:pPr>
      <w:r>
        <mc:AlternateContent>
          <mc:Choice Requires="wps">
            <w:drawing>
              <wp:anchor distT="0" distB="1021080" distL="114300" distR="117475" simplePos="0" relativeHeight="125829378" behindDoc="0" locked="0" layoutInCell="1" allowOverlap="1">
                <wp:simplePos x="0" y="0"/>
                <wp:positionH relativeFrom="page">
                  <wp:posOffset>5478780</wp:posOffset>
                </wp:positionH>
                <wp:positionV relativeFrom="paragraph">
                  <wp:posOffset>12700</wp:posOffset>
                </wp:positionV>
                <wp:extent cx="871855" cy="72263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722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8"/>
                                <w:szCs w:val="18"/>
                                <w:u w:val="none"/>
                              </w:rPr>
                              <w:t>VALOR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20"/>
                              <w:jc w:val="lef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4.278.859,45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743.839,14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268.489,42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2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8"/>
                                <w:szCs w:val="18"/>
                                <w:u w:val="none"/>
                              </w:rPr>
                              <w:t>5.291.188,01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31.40000000000003pt;margin-top:1.pt;width:68.650000000000006pt;height:56.899999999999999pt;z-index:-125829375;mso-wrap-distance-left:9.pt;mso-wrap-distance-right:9.25pt;mso-wrap-distance-bottom:80.4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8"/>
                          <w:szCs w:val="18"/>
                          <w:u w:val="none"/>
                        </w:rPr>
                        <w:t>VALOR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20"/>
                        <w:jc w:val="left"/>
                      </w:pPr>
                      <w:r>
                        <w:rPr>
                          <w:rStyle w:val="CharStyle14"/>
                          <w:u w:val="none"/>
                        </w:rPr>
                        <w:t>4.278.859,45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60"/>
                        <w:jc w:val="left"/>
                      </w:pPr>
                      <w:r>
                        <w:rPr>
                          <w:rStyle w:val="CharStyle14"/>
                          <w:u w:val="none"/>
                        </w:rPr>
                        <w:t>743.839,14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none"/>
                        </w:rPr>
                        <w:t>268.489,42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2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8"/>
                          <w:szCs w:val="18"/>
                          <w:u w:val="none"/>
                        </w:rPr>
                        <w:t>5.291.188,01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71855" distB="0" distL="117475" distR="114300" simplePos="0" relativeHeight="125829380" behindDoc="0" locked="0" layoutInCell="1" allowOverlap="1">
                <wp:simplePos x="0" y="0"/>
                <wp:positionH relativeFrom="page">
                  <wp:posOffset>5481955</wp:posOffset>
                </wp:positionH>
                <wp:positionV relativeFrom="paragraph">
                  <wp:posOffset>884555</wp:posOffset>
                </wp:positionV>
                <wp:extent cx="871855" cy="87185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871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8"/>
                                <w:szCs w:val="18"/>
                                <w:u w:val="none"/>
                              </w:rPr>
                              <w:t>VALOR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20"/>
                              <w:jc w:val="lef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4.278.659,00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95.366,99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847.318,06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none"/>
                              </w:rPr>
                              <w:t>69.843,96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2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8"/>
                                <w:szCs w:val="18"/>
                                <w:u w:val="none"/>
                              </w:rPr>
                              <w:t>5.291.188,01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31.65000000000003pt;margin-top:69.650000000000006pt;width:68.650000000000006pt;height:68.650000000000006pt;z-index:-125829373;mso-wrap-distance-left:9.25pt;mso-wrap-distance-top:68.65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8"/>
                          <w:szCs w:val="18"/>
                          <w:u w:val="none"/>
                        </w:rPr>
                        <w:t>VALOR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20"/>
                        <w:jc w:val="left"/>
                      </w:pPr>
                      <w:r>
                        <w:rPr>
                          <w:rStyle w:val="CharStyle14"/>
                          <w:u w:val="none"/>
                        </w:rPr>
                        <w:t>4.278.659,00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none"/>
                        </w:rPr>
                        <w:t>95.366,99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none"/>
                        </w:rPr>
                        <w:t>847.318,06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none"/>
                        </w:rPr>
                        <w:t>69.843,96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2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8"/>
                          <w:szCs w:val="18"/>
                          <w:u w:val="none"/>
                        </w:rPr>
                        <w:t>5.291.188,01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sz w:val="18"/>
          <w:szCs w:val="18"/>
          <w:u w:val="none"/>
        </w:rPr>
        <w:tab/>
      </w:r>
      <w:r>
        <w:rPr>
          <w:rStyle w:val="CharStyle14"/>
          <w:b/>
          <w:bCs/>
          <w:sz w:val="18"/>
          <w:szCs w:val="18"/>
        </w:rPr>
        <w:t>INGRESSOS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Transferências financeiras recebidas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3615" w:val="left"/>
          <w:tab w:leader="underscore" w:pos="4016" w:val="left"/>
        </w:tabs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Receita extraorçamentária</w:t>
      </w:r>
      <w:r>
        <w:rPr>
          <w:rStyle w:val="CharStyle14"/>
          <w:u w:val="none"/>
        </w:rPr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4016" w:val="left"/>
        </w:tabs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Saldo do exercício anterior</w:t>
      </w:r>
      <w:r>
        <w:rPr>
          <w:rStyle w:val="CharStyle14"/>
          <w:u w:val="none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80"/>
        <w:jc w:val="left"/>
        <w:rPr>
          <w:sz w:val="18"/>
          <w:szCs w:val="18"/>
        </w:rPr>
      </w:pPr>
      <w:r>
        <w:rPr>
          <w:rStyle w:val="CharStyle14"/>
          <w:b/>
          <w:bCs/>
          <w:sz w:val="18"/>
          <w:szCs w:val="18"/>
          <w:u w:val="none"/>
        </w:rPr>
        <w:t>TOTAL DO INGRESSOS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943" w:val="left"/>
        </w:tabs>
        <w:bidi w:val="0"/>
        <w:spacing w:before="0" w:after="0" w:line="240" w:lineRule="auto"/>
        <w:ind w:left="0" w:right="0" w:firstLine="980"/>
        <w:jc w:val="left"/>
        <w:rPr>
          <w:sz w:val="18"/>
          <w:szCs w:val="18"/>
        </w:rPr>
      </w:pPr>
      <w:r>
        <w:rPr>
          <w:rStyle w:val="CharStyle14"/>
          <w:b/>
          <w:bCs/>
          <w:sz w:val="18"/>
          <w:szCs w:val="18"/>
          <w:u w:val="none"/>
        </w:rPr>
        <w:tab/>
      </w:r>
      <w:r>
        <w:rPr>
          <w:rStyle w:val="CharStyle14"/>
          <w:b/>
          <w:bCs/>
          <w:sz w:val="18"/>
          <w:szCs w:val="18"/>
          <w:lang w:val="pt-PT" w:eastAsia="pt-PT" w:bidi="pt-PT"/>
        </w:rPr>
        <w:t>DISPÊNDIO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4016" w:val="left"/>
        </w:tabs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Despesa orçamentária</w:t>
      </w:r>
      <w:r>
        <w:rPr>
          <w:rStyle w:val="CharStyle14"/>
          <w:u w:val="none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Transferências financeiras concedidas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4016" w:val="left"/>
        </w:tabs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Despesas extraorçamentária</w:t>
      </w:r>
      <w:r>
        <w:rPr>
          <w:rStyle w:val="CharStyle14"/>
          <w:u w:val="none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4016" w:val="left"/>
        </w:tabs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</w:rPr>
        <w:t>Saldo do exercício seguinte</w:t>
      </w:r>
      <w:r>
        <w:rPr>
          <w:rStyle w:val="CharStyle14"/>
          <w:u w:val="none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980"/>
        <w:jc w:val="left"/>
        <w:rPr>
          <w:sz w:val="18"/>
          <w:szCs w:val="18"/>
        </w:rPr>
      </w:pPr>
      <w:r>
        <w:rPr>
          <w:rStyle w:val="CharStyle14"/>
          <w:b/>
          <w:bCs/>
          <w:sz w:val="18"/>
          <w:szCs w:val="18"/>
          <w:u w:val="none"/>
        </w:rPr>
        <w:t xml:space="preserve">TOTAL DOS </w:t>
      </w:r>
      <w:r>
        <w:rPr>
          <w:rStyle w:val="CharStyle14"/>
          <w:b/>
          <w:bCs/>
          <w:sz w:val="18"/>
          <w:szCs w:val="18"/>
          <w:u w:val="none"/>
          <w:lang w:val="pt-PT" w:eastAsia="pt-PT" w:bidi="pt-PT"/>
        </w:rPr>
        <w:t>DISPÊNDIOS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NOTA 1: TRANSFERÊNCIAS FINANCEIRAS RECEBIDAS E CONCEDIDAS: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Nos ingressos está escriturada a totalização de </w:t>
      </w:r>
      <w:r>
        <w:rPr>
          <w:rStyle w:val="CharStyle7"/>
        </w:rPr>
        <w:t xml:space="preserve">duodécimo </w:t>
      </w:r>
      <w:r>
        <w:rPr>
          <w:rStyle w:val="CharStyle7"/>
          <w:lang w:val="pt-BR" w:eastAsia="pt-BR" w:bidi="pt-BR"/>
        </w:rPr>
        <w:t xml:space="preserve">recebido em 2025, de acordo com previsão constitucional, que alcança </w:t>
      </w:r>
      <w:r>
        <w:rPr>
          <w:rStyle w:val="CharStyle7"/>
          <w:b/>
          <w:bCs/>
          <w:lang w:val="pt-BR" w:eastAsia="pt-BR" w:bidi="pt-BR"/>
        </w:rPr>
        <w:t>RS 4.278.859,45 (Quatro milhões, duzentos e sessenta e oito mil, oitocentos e cinquenta e nove reais e quarenta e cinco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Nos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 xml:space="preserve">está escriturado o valor de </w:t>
      </w:r>
      <w:r>
        <w:rPr>
          <w:rStyle w:val="CharStyle7"/>
          <w:b/>
          <w:bCs/>
          <w:lang w:val="pt-BR" w:eastAsia="pt-BR" w:bidi="pt-BR"/>
        </w:rPr>
        <w:t xml:space="preserve">R$ 95.366,99 (Noventa </w:t>
      </w:r>
      <w:r>
        <w:rPr>
          <w:rStyle w:val="CharStyle7"/>
          <w:lang w:val="pt-BR" w:eastAsia="pt-BR" w:bidi="pt-BR"/>
        </w:rPr>
        <w:t xml:space="preserve">e </w:t>
      </w:r>
      <w:r>
        <w:rPr>
          <w:rStyle w:val="CharStyle7"/>
          <w:b/>
          <w:bCs/>
          <w:lang w:val="pt-BR" w:eastAsia="pt-BR" w:bidi="pt-BR"/>
        </w:rPr>
        <w:t xml:space="preserve">cinco mil, trezentos e sessenta e seis reais </w:t>
      </w:r>
      <w:r>
        <w:rPr>
          <w:rStyle w:val="CharStyle7"/>
          <w:lang w:val="pt-BR" w:eastAsia="pt-BR" w:bidi="pt-BR"/>
        </w:rPr>
        <w:t xml:space="preserve">e </w:t>
      </w:r>
      <w:r>
        <w:rPr>
          <w:rStyle w:val="CharStyle7"/>
          <w:b/>
          <w:bCs/>
          <w:lang w:val="pt-BR" w:eastAsia="pt-BR" w:bidi="pt-BR"/>
        </w:rPr>
        <w:t xml:space="preserve">noventa </w:t>
      </w:r>
      <w:r>
        <w:rPr>
          <w:rStyle w:val="CharStyle7"/>
          <w:lang w:val="pt-BR" w:eastAsia="pt-BR" w:bidi="pt-BR"/>
        </w:rPr>
        <w:t xml:space="preserve">e </w:t>
      </w:r>
      <w:r>
        <w:rPr>
          <w:rStyle w:val="CharStyle7"/>
          <w:b/>
          <w:bCs/>
          <w:lang w:val="pt-BR" w:eastAsia="pt-BR" w:bidi="pt-BR"/>
        </w:rPr>
        <w:t xml:space="preserve">nove centavos) </w:t>
      </w:r>
      <w:r>
        <w:rPr>
          <w:rStyle w:val="CharStyle7"/>
          <w:lang w:val="pt-BR" w:eastAsia="pt-BR" w:bidi="pt-BR"/>
        </w:rPr>
        <w:t>relativo à devolução de saldo do exercício de 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170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NOTA 2: DESPESAS ORÇAMENTÁRIAS: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Nos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 xml:space="preserve">foi lançada a despesa orçamentária que totaliza </w:t>
      </w:r>
      <w:r>
        <w:rPr>
          <w:rStyle w:val="CharStyle7"/>
          <w:b/>
          <w:bCs/>
          <w:lang w:val="pt-BR" w:eastAsia="pt-BR" w:bidi="pt-BR"/>
        </w:rPr>
        <w:t xml:space="preserve">RS 4.278.659,00 (Quatro milhões, duzentos e setenta e oito mil, seiscentos e cinquenta e nove reais), </w:t>
      </w:r>
      <w:r>
        <w:rPr>
          <w:rStyle w:val="CharStyle7"/>
          <w:lang w:val="pt-BR" w:eastAsia="pt-BR" w:bidi="pt-BR"/>
        </w:rPr>
        <w:t xml:space="preserve">sendo </w:t>
      </w:r>
      <w:r>
        <w:rPr>
          <w:rStyle w:val="CharStyle7"/>
          <w:b/>
          <w:bCs/>
          <w:lang w:val="pt-BR" w:eastAsia="pt-BR" w:bidi="pt-BR"/>
        </w:rPr>
        <w:t xml:space="preserve">RS 4.213.262,00 (Quatro milhões, duzentos e treze mil, duzentos e sessenta e dois reais) </w:t>
      </w:r>
      <w:r>
        <w:rPr>
          <w:rStyle w:val="CharStyle7"/>
          <w:lang w:val="pt-BR" w:eastAsia="pt-BR" w:bidi="pt-BR"/>
        </w:rPr>
        <w:t xml:space="preserve">contabilizados em Despesas Correntes e </w:t>
      </w:r>
      <w:r>
        <w:rPr>
          <w:rStyle w:val="CharStyle7"/>
          <w:b/>
          <w:bCs/>
          <w:lang w:val="pt-BR" w:eastAsia="pt-BR" w:bidi="pt-BR"/>
        </w:rPr>
        <w:t xml:space="preserve">RS 65.397,00 (Sessenta </w:t>
      </w:r>
      <w:r>
        <w:rPr>
          <w:rStyle w:val="CharStyle7"/>
          <w:lang w:val="pt-BR" w:eastAsia="pt-BR" w:bidi="pt-BR"/>
        </w:rPr>
        <w:t xml:space="preserve">e </w:t>
      </w:r>
      <w:r>
        <w:rPr>
          <w:rStyle w:val="CharStyle7"/>
          <w:b/>
          <w:bCs/>
          <w:lang w:val="pt-BR" w:eastAsia="pt-BR" w:bidi="pt-BR"/>
        </w:rPr>
        <w:t xml:space="preserve">cinco mil e trezentos e noventa e sete reais) </w:t>
      </w:r>
      <w:r>
        <w:rPr>
          <w:rStyle w:val="CharStyle7"/>
          <w:lang w:val="pt-BR" w:eastAsia="pt-BR" w:bidi="pt-BR"/>
        </w:rPr>
        <w:t>contabilizados em Despesa de Capital.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40" w:line="240" w:lineRule="auto"/>
        <w:ind w:left="16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12700</wp:posOffset>
                </wp:positionV>
                <wp:extent cx="1246505" cy="20129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INSCRIÇÃO 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50.5pt;margin-top:1.pt;width:98.150000000000006pt;height:15.8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INSCRIÇÃO 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2" w:name="bookmark12"/>
      <w:r>
        <w:rPr>
          <w:rStyle w:val="CharStyle31"/>
          <w:b/>
          <w:bCs/>
        </w:rPr>
        <w:t>NOTA 3: EXTRAORÇAMENTÁRIA</w:t>
      </w:r>
      <w:bookmarkEnd w:id="12"/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1"/>
          <w:b/>
          <w:bCs/>
        </w:rPr>
        <w:t>PAGAMENTO DE RESTOS A PAGAR: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Nos ingressos de receita extraorçamentária - restos a pagar foram lançados os valores inscritos no período (Ingressos), enquanto nos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 xml:space="preserve">estão escriturados os valores de restos a pagar liquidados </w:t>
      </w:r>
      <w:r>
        <w:rPr>
          <w:rStyle w:val="CharStyle7"/>
        </w:rPr>
        <w:t xml:space="preserve">(Dispêndios) </w:t>
      </w:r>
      <w:r>
        <w:rPr>
          <w:rStyle w:val="CharStyle7"/>
          <w:lang w:val="pt-BR" w:eastAsia="pt-BR" w:bidi="pt-BR"/>
        </w:rPr>
        <w:t>em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83" w:lineRule="auto"/>
        <w:ind w:left="0" w:right="0" w:firstLine="1700"/>
        <w:jc w:val="both"/>
      </w:pPr>
      <w:r>
        <w:rPr>
          <w:rStyle w:val="CharStyle7"/>
          <w:lang w:val="pt-BR" w:eastAsia="pt-BR" w:bidi="pt-BR"/>
        </w:rPr>
        <w:t>Consideram-se ainda os valores inscritos em restos a pagar, que por força do parágrafo único do artigo 103 da Lei Federal 4.320/64 compõem esse grupo para fazer contrapartida aos valores empenhados na despesa orçamentária e não pagos.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Desse modo, os ingressos de Restos a Pagar (inscrição) representam todos os valores inscritos em restos a pagar - processados e/ou não processados - em anos anteriores, enquanto 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>de Restos a Pagar (pagamento) representam todos os valores - processados ou não processados vindos de anos anteriores - pagos em 2025.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83" w:lineRule="auto"/>
        <w:ind w:left="0" w:right="0"/>
        <w:jc w:val="both"/>
      </w:pPr>
      <w:bookmarkStart w:id="15" w:name="bookmark15"/>
      <w:r>
        <w:rPr>
          <w:rStyle w:val="CharStyle31"/>
          <w:b/>
          <w:bCs/>
        </w:rPr>
        <w:t>NOTA 4: EXTRAORÇAMENTÁRIA - DEPÓSITOS RESTITUÍVEIS E VALORES VINCULADOS:</w:t>
      </w:r>
      <w:bookmarkEnd w:id="15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</w:pPr>
      <w:r>
        <w:rPr>
          <w:rStyle w:val="CharStyle7"/>
          <w:lang w:val="pt-BR" w:eastAsia="pt-BR" w:bidi="pt-BR"/>
        </w:rPr>
        <w:t>Nos lançamentos intitulados Depósitos Restituíveis e Valores Vinculados estão escriturados todos os valores pertencentes terceiros, compreendendo, retenções compulsórias ou facultativas efetuadas na folha de pagamento do servidor e retenções em faturas de fornecedores, como também os recolhimentos realizados no exercício.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/>
        <w:ind w:left="0" w:right="0" w:firstLine="1700"/>
        <w:jc w:val="both"/>
      </w:pPr>
      <w:r>
        <w:rPr>
          <w:rStyle w:val="CharStyle7"/>
          <w:lang w:val="pt-BR" w:eastAsia="pt-BR" w:bidi="pt-BR"/>
        </w:rPr>
        <w:t>As contas compreendem os lançamentos de retenções e recolhimentos de contribuição previdenciária de servidores e parlamentares (INSS), de Imposto de Renda Retido na Fonte, de Pensões Alimentícias, de empréstimos consignados e de outros depósitos ocorridos no exercício financeiro de 2025.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/>
        <w:jc w:val="both"/>
      </w:pPr>
      <w:bookmarkStart w:id="17" w:name="bookmark17"/>
      <w:r>
        <w:rPr>
          <w:rStyle w:val="CharStyle31"/>
          <w:b/>
          <w:bCs/>
        </w:rPr>
        <w:t>NOTA 5: EXTRAORÇAMENTÁRIA - OUTROS RECEBIMENTOS - OUTROS PAGAMENTOS</w:t>
      </w:r>
      <w:bookmarkEnd w:id="17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00"/>
        <w:jc w:val="both"/>
      </w:pPr>
      <w:r>
        <w:rPr>
          <w:rStyle w:val="CharStyle7"/>
          <w:lang w:val="pt-BR" w:eastAsia="pt-BR" w:bidi="pt-BR"/>
        </w:rPr>
        <w:t>Estes lançamentos compreendem as antecipações e ressarcimentos de salário família e valores em trânsito realizáveis a curto prazo ocorridos no exercício financeiro de 2025.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320" w:line="240" w:lineRule="auto"/>
        <w:ind w:left="1680" w:right="0" w:firstLine="0"/>
        <w:jc w:val="both"/>
      </w:pPr>
      <w:bookmarkStart w:id="19" w:name="bookmark19"/>
      <w:r>
        <w:rPr>
          <w:rStyle w:val="CharStyle31"/>
          <w:b/>
          <w:bCs/>
        </w:rPr>
        <w:t>NOTA 6: SALDOS</w:t>
      </w:r>
      <w:bookmarkEnd w:id="19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00"/>
        <w:jc w:val="both"/>
      </w:pPr>
      <w:r>
        <w:rPr>
          <w:rStyle w:val="CharStyle7"/>
          <w:lang w:val="pt-BR" w:eastAsia="pt-BR" w:bidi="pt-BR"/>
        </w:rPr>
        <w:t>A conta SALDO compreende o somatório dos valores em caixa, bancos em conta movimento, aplicações no mercado financeiro.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Nos ingressos o Balanço Financeiro demonstra o saldo proveniente do exercício financeiro de 2025, no total de </w:t>
      </w:r>
      <w:r>
        <w:rPr>
          <w:rStyle w:val="CharStyle7"/>
          <w:b/>
          <w:bCs/>
          <w:lang w:val="pt-BR" w:eastAsia="pt-BR" w:bidi="pt-BR"/>
        </w:rPr>
        <w:t>RS 268.489,42(Duzentos e sessenta oito mil, quatrocentos e oitenta e nove reais quarenta e dois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1700"/>
        <w:jc w:val="both"/>
      </w:pPr>
      <w:r>
        <w:rPr>
          <w:rStyle w:val="CharStyle7"/>
          <w:lang w:val="pt-BR" w:eastAsia="pt-BR" w:bidi="pt-BR"/>
        </w:rPr>
        <w:t xml:space="preserve">Já nos </w:t>
      </w:r>
      <w:r>
        <w:rPr>
          <w:rStyle w:val="CharStyle7"/>
        </w:rPr>
        <w:t xml:space="preserve">dispêndios </w:t>
      </w:r>
      <w:r>
        <w:rPr>
          <w:rStyle w:val="CharStyle7"/>
          <w:lang w:val="pt-BR" w:eastAsia="pt-BR" w:bidi="pt-BR"/>
        </w:rPr>
        <w:t xml:space="preserve">é demonstrado o saldo financeiro registrado para o exercício seguinte, que totaliza </w:t>
      </w:r>
      <w:r>
        <w:rPr>
          <w:rStyle w:val="CharStyle7"/>
          <w:b/>
          <w:bCs/>
          <w:lang w:val="pt-BR" w:eastAsia="pt-BR" w:bidi="pt-BR"/>
        </w:rPr>
        <w:t>RS 69.843,96 (Sessenta e nove mil, oitocentos e quarenta e três reais e noventa seis centavos).</w:t>
      </w:r>
    </w:p>
    <w:p>
      <w:pPr>
        <w:framePr w:w="1118" w:h="806" w:hSpace="912" w:vSpace="34" w:wrap="notBeside" w:vAnchor="text" w:hAnchor="text" w:x="4662" w:y="1"/>
        <w:widowControl w:val="0"/>
        <w:rPr>
          <w:sz w:val="2"/>
          <w:szCs w:val="2"/>
        </w:rPr>
      </w:pPr>
      <w:r>
        <w:drawing>
          <wp:inline>
            <wp:extent cx="713105" cy="51181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105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380615" distR="1292225" simplePos="0" relativeHeight="125829384" behindDoc="0" locked="0" layoutInCell="1" allowOverlap="1">
                <wp:simplePos x="0" y="0"/>
                <wp:positionH relativeFrom="column">
                  <wp:posOffset>2380615</wp:posOffset>
                </wp:positionH>
                <wp:positionV relativeFrom="paragraph">
                  <wp:posOffset>350520</wp:posOffset>
                </wp:positionV>
                <wp:extent cx="560705" cy="1828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MARIA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87.45000000000002pt;margin-top:27.600000000000001pt;width:44.149999999999999pt;height:14.4pt;z-index:-125829369;mso-wrap-distance-left:187.45000000000002pt;mso-wrap-distance-right:101.75pt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MARIA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380615" distR="1292225" simplePos="0" relativeHeight="125829386" behindDoc="0" locked="0" layoutInCell="1" allowOverlap="1">
                <wp:simplePos x="0" y="0"/>
                <wp:positionH relativeFrom="column">
                  <wp:posOffset>3648710</wp:posOffset>
                </wp:positionH>
                <wp:positionV relativeFrom="paragraph">
                  <wp:posOffset>332105</wp:posOffset>
                </wp:positionV>
                <wp:extent cx="847090" cy="2012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E MORAES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7.30000000000001pt;margin-top:26.150000000000002pt;width:66.700000000000003pt;height:15.85pt;z-index:-125829367;mso-wrap-distance-left:187.45000000000002pt;mso-wrap-distance-right:101.75pt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E MORAES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CRC-AM 007366/0-8</w:t>
      </w:r>
    </w:p>
    <w:sectPr>
      <w:footnotePr>
        <w:pos w:val="pageBottom"/>
        <w:numFmt w:val="decimal"/>
        <w:numRestart w:val="continuous"/>
      </w:footnotePr>
      <w:pgSz w:w="11900" w:h="16840"/>
      <w:pgMar w:top="1749" w:right="872" w:bottom="1211" w:left="1870" w:header="1321" w:footer="78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2|1_"/>
    <w:basedOn w:val="DefaultParagraphFont"/>
    <w:link w:val="Style4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0">
    <w:name w:val="Body text|5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6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Body text|3_"/>
    <w:basedOn w:val="DefaultParagraphFont"/>
    <w:link w:val="Style13"/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CharStyle19">
    <w:name w:val="Body text|4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1">
    <w:name w:val="Picture caption|1_"/>
    <w:basedOn w:val="DefaultParagraphFont"/>
    <w:link w:val="Style20"/>
    <w:rPr>
      <w:b/>
      <w:bCs/>
      <w:i w:val="0"/>
      <w:iCs w:val="0"/>
      <w:smallCaps w:val="0"/>
      <w:strike w:val="0"/>
      <w:u w:val="none"/>
    </w:rPr>
  </w:style>
  <w:style w:type="character" w:customStyle="1" w:styleId="CharStyle27">
    <w:name w:val="Heading #1|1_"/>
    <w:basedOn w:val="DefaultParagraphFont"/>
    <w:link w:val="Style26"/>
    <w:rPr>
      <w:b/>
      <w:bCs/>
      <w:i w:val="0"/>
      <w:iCs w:val="0"/>
      <w:smallCaps w:val="0"/>
      <w:strike w:val="0"/>
      <w:sz w:val="36"/>
      <w:szCs w:val="36"/>
      <w:u w:val="none"/>
      <w:lang w:val="pt-PT" w:eastAsia="pt-PT" w:bidi="pt-PT"/>
    </w:rPr>
  </w:style>
  <w:style w:type="character" w:customStyle="1" w:styleId="CharStyle31">
    <w:name w:val="Heading #3|1_"/>
    <w:basedOn w:val="DefaultParagraphFont"/>
    <w:link w:val="Style30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auto"/>
      <w:spacing w:after="380"/>
      <w:ind w:left="1680"/>
      <w:outlineLvl w:val="1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  <w:spacing w:after="280" w:line="276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9">
    <w:name w:val="Body text|5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6"/>
    <w:basedOn w:val="Normal"/>
    <w:link w:val="CharStyle12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auto"/>
      <w:ind w:firstLine="390"/>
    </w:pPr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auto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6">
    <w:name w:val="Heading #1|1"/>
    <w:basedOn w:val="Normal"/>
    <w:link w:val="CharStyle27"/>
    <w:pPr>
      <w:widowControl w:val="0"/>
      <w:shd w:val="clear" w:color="auto" w:fill="auto"/>
      <w:spacing w:after="1360" w:line="276" w:lineRule="auto"/>
      <w:jc w:val="center"/>
      <w:outlineLvl w:val="0"/>
    </w:pPr>
    <w:rPr>
      <w:b/>
      <w:bCs/>
      <w:i w:val="0"/>
      <w:iCs w:val="0"/>
      <w:smallCaps w:val="0"/>
      <w:strike w:val="0"/>
      <w:sz w:val="36"/>
      <w:szCs w:val="36"/>
      <w:u w:val="none"/>
      <w:lang w:val="pt-PT" w:eastAsia="pt-PT" w:bidi="pt-PT"/>
    </w:rPr>
  </w:style>
  <w:style w:type="paragraph" w:customStyle="1" w:styleId="Style30">
    <w:name w:val="Heading #3|1"/>
    <w:basedOn w:val="Normal"/>
    <w:link w:val="CharStyle31"/>
    <w:pPr>
      <w:widowControl w:val="0"/>
      <w:shd w:val="clear" w:color="auto" w:fill="auto"/>
      <w:spacing w:after="300" w:line="276" w:lineRule="auto"/>
      <w:ind w:firstLine="1700"/>
      <w:outlineLvl w:val="2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