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rStyle w:val="CharStyle3"/>
          <w:smallCaps/>
        </w:rPr>
        <w:t>Câmara Municipal de São Paulo de Olivença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0" w:name="bookmark0"/>
      <w:r>
        <w:rPr>
          <w:rStyle w:val="CharStyle8"/>
          <w:b/>
          <w:bCs/>
        </w:rPr>
        <w:t>RELATÓRIO DAS ATIVIDADES DESENVOLVIDAS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4380" w:line="240" w:lineRule="auto"/>
        <w:ind w:left="0" w:right="0" w:firstLine="0"/>
        <w:jc w:val="center"/>
      </w:pPr>
      <w:r>
        <w:rPr>
          <w:rStyle w:val="CharStyle8"/>
          <w:b/>
          <w:bCs/>
        </w:rPr>
        <w:t>EXERCÍCIO DE 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0"/>
          <w:sz w:val="22"/>
          <w:szCs w:val="22"/>
        </w:rPr>
        <w:t>Chefe do Poder Legislativo: JORGE ROBERTO LUCAS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0"/>
          <w:sz w:val="22"/>
          <w:szCs w:val="22"/>
        </w:rPr>
        <w:t>Ordenador de Despesa: JORGE ROBERTO LUCASA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2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0"/>
          <w:sz w:val="22"/>
          <w:szCs w:val="22"/>
        </w:rPr>
        <w:t>Cargo: Presidente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830" w:right="862" w:bottom="1614" w:left="1818" w:header="0" w:footer="1186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0"/>
        </w:rPr>
        <w:t>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900"/>
        <w:jc w:val="left"/>
      </w:pPr>
      <w:r>
        <w:rPr>
          <w:rStyle w:val="CharStyle3"/>
          <w:smallCaps/>
        </w:rPr>
        <w:t>Câmara Municipal de São Paulo de Olivença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APRESENTAÇÃO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0"/>
        </w:rPr>
        <w:t>Excelentíssima Senhora Conselheira-Presidente do Tribunal de Contas do Estado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w:rPr>
          <w:rStyle w:val="CharStyle10"/>
        </w:rPr>
        <w:t>YARA LINS DOS SANTOS.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4" w:lineRule="auto"/>
        <w:ind w:left="0" w:right="0" w:firstLine="140"/>
        <w:jc w:val="both"/>
      </w:pPr>
      <w:r>
        <w:rPr>
          <w:rStyle w:val="CharStyle10"/>
        </w:rPr>
        <w:t>O Presidente da Câmara Municipal de São Paulo de Olivença tem a honra de apresentar a Vossa Excelência o Balanço Geral do Poder Legislativo relativo ao exercício financeiro de 2025, que, nos termos do art. 9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c/c art. 13 I da Lei Complementar n° 06 de 22 de janeiro de 1991, temos a honra de encaminhar a esse Tribunal a Prestação de Contas do Poder Legislativo de São Paulo de Olivença, relativa ao exercício financeiro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140"/>
        <w:jc w:val="both"/>
      </w:pPr>
      <w:r>
        <w:rPr>
          <w:rStyle w:val="CharStyle10"/>
        </w:rPr>
        <w:t xml:space="preserve">Levo ao conhecimento de Vossa Excelência que as Demonstrações </w:t>
      </w:r>
      <w:r>
        <w:rPr>
          <w:rStyle w:val="CharStyle10"/>
          <w:lang w:val="pt-BR" w:eastAsia="pt-BR" w:bidi="pt-BR"/>
        </w:rPr>
        <w:t xml:space="preserve">Contábeis </w:t>
      </w:r>
      <w:r>
        <w:rPr>
          <w:rStyle w:val="CharStyle10"/>
        </w:rPr>
        <w:t xml:space="preserve">Consolidadas do Poder Legislativo evidenciam os resultados das gestões </w:t>
      </w:r>
      <w:r>
        <w:rPr>
          <w:rStyle w:val="CharStyle10"/>
          <w:lang w:val="pt-BR" w:eastAsia="pt-BR" w:bidi="pt-BR"/>
        </w:rPr>
        <w:t xml:space="preserve">Orçamentária, </w:t>
      </w:r>
      <w:r>
        <w:rPr>
          <w:rStyle w:val="CharStyle10"/>
        </w:rPr>
        <w:t xml:space="preserve">Financeira e Patrimonial da Câmara, elaborados segundo as normas federais e estaduais que regem a matéria, em especial a Lei Federal </w:t>
      </w:r>
      <w:r>
        <w:rPr>
          <w:rStyle w:val="CharStyle10"/>
          <w:lang w:val="pt-BR" w:eastAsia="pt-BR" w:bidi="pt-BR"/>
        </w:rPr>
        <w:t xml:space="preserve">n° </w:t>
      </w:r>
      <w:r>
        <w:rPr>
          <w:rStyle w:val="CharStyle10"/>
        </w:rPr>
        <w:t xml:space="preserve">4.320, de 17 de março de 1964, que incorporam as mudanças introduzidas pela Lei Federal n° 101/2000 (Lei de Responsabilidade Fiscal - LRF) e Resoluções do Conselho Federal de Contabilidade (Normas Brasileiras de Contabilidade Aplicada ao Setor Público - NBCASP), observados os princípios </w:t>
      </w:r>
      <w:r>
        <w:rPr>
          <w:rStyle w:val="CharStyle10"/>
          <w:lang w:val="pt-BR" w:eastAsia="pt-BR" w:bidi="pt-BR"/>
        </w:rPr>
        <w:t xml:space="preserve">contábeis </w:t>
      </w:r>
      <w:r>
        <w:rPr>
          <w:rStyle w:val="CharStyle10"/>
        </w:rPr>
        <w:t>geralmente aceitos, e complementadas pelas orientações contidas nas portarias federais publicadas pela Secretaria do Tesouro Nacional - STN.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140"/>
        <w:jc w:val="both"/>
      </w:pPr>
      <w:r>
        <w:rPr>
          <w:rStyle w:val="CharStyle10"/>
        </w:rPr>
        <w:t>Esta Prestação de Contas segue, ainda, as orientações contidas na Resolução TCE/AM 006, de 22 de julho de 2009.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left"/>
      </w:pPr>
      <w:r>
        <w:rPr>
          <w:rStyle w:val="CharStyle10"/>
        </w:rPr>
        <w:t>São Paulo de Olivença (AM), 31 de dezembro de 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5160" w:right="0" w:firstLine="0"/>
        <w:jc w:val="left"/>
      </w:pPr>
      <w:r>
        <w:rPr>
          <w:rStyle w:val="CharStyle15"/>
        </w:rPr>
        <w:t>/ ।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leader="hyphen" w:pos="1072" w:val="left"/>
          <w:tab w:leader="hyphen" w:pos="1649" w:val="left"/>
        </w:tabs>
        <w:bidi w:val="0"/>
        <w:spacing w:before="0" w:after="40" w:line="240" w:lineRule="auto"/>
        <w:ind w:left="0" w:right="0" w:firstLine="90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3218180</wp:posOffset>
                </wp:positionH>
                <wp:positionV relativeFrom="paragraph">
                  <wp:posOffset>101600</wp:posOffset>
                </wp:positionV>
                <wp:extent cx="509270" cy="18923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JORGE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3.40000000000001pt;margin-top:8.pt;width:40.100000000000001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JORGE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ab/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182" w:lineRule="auto"/>
        <w:ind w:left="0" w:right="0" w:firstLine="0"/>
        <w:jc w:val="left"/>
      </w:pPr>
      <w:r>
        <w:rPr>
          <w:rStyle w:val="CharStyle10"/>
        </w:rPr>
        <w:t>3ERTO LUCAS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865" w:right="778" w:bottom="1649" w:left="19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  <w:b/>
          <w:bCs/>
        </w:rPr>
        <w:t>Presidente da Câmara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r>
        <w:rPr>
          <w:rStyle w:val="CharStyle3"/>
          <w:smallCaps/>
        </w:rPr>
        <w:t>Câmara Municipal de São Paulo de Olivença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smallCaps/>
          <w:sz w:val="32"/>
          <w:szCs w:val="32"/>
        </w:rPr>
        <w:t>capítulo</w:t>
      </w:r>
      <w:r>
        <w:rPr>
          <w:rStyle w:val="CharStyle3"/>
          <w:b/>
          <w:bCs/>
          <w:sz w:val="24"/>
          <w:szCs w:val="24"/>
        </w:rPr>
        <w:t xml:space="preserve"> 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center"/>
        <w:rPr>
          <w:sz w:val="32"/>
          <w:szCs w:val="32"/>
        </w:rPr>
      </w:pPr>
      <w:r>
        <w:rPr>
          <w:rStyle w:val="CharStyle10"/>
          <w:b/>
          <w:bCs/>
        </w:rPr>
        <w:t xml:space="preserve">COMPOSIÇÃO </w:t>
      </w:r>
      <w:r>
        <w:rPr>
          <w:rStyle w:val="CharStyle10"/>
          <w:smallCaps/>
          <w:sz w:val="32"/>
          <w:szCs w:val="32"/>
        </w:rPr>
        <w:t>da câmara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rStyle w:val="CharStyle21"/>
          <w:b/>
          <w:bCs/>
          <w:lang w:val="pt-BR" w:eastAsia="pt-BR" w:bidi="pt-BR"/>
        </w:rPr>
        <w:t xml:space="preserve">MESA </w:t>
      </w:r>
      <w:r>
        <w:rPr>
          <w:rStyle w:val="CharStyle21"/>
          <w:b/>
          <w:bCs/>
        </w:rPr>
        <w:t>DIRETORA BIÉNIO 2024-2025</w:t>
      </w:r>
      <w:bookmarkEnd w:id="3"/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861" w:right="755" w:bottom="2485" w:left="192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" distB="3544570" distL="0" distR="0" simplePos="0" relativeHeight="125829380" behindDoc="0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19050</wp:posOffset>
                </wp:positionV>
                <wp:extent cx="69469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Presidente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99.600000000000009pt;margin-top:1.5pt;width:54.700000000000003pt;height:14.9pt;z-index:-125829373;mso-wrap-distance-left:0;mso-wrap-distance-top:1.5pt;mso-wrap-distance-right:0;mso-wrap-distance-bottom:279.10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Presidente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3542030" distL="0" distR="0" simplePos="0" relativeHeight="125829382" behindDoc="0" locked="0" layoutInCell="1" allowOverlap="1">
                <wp:simplePos x="0" y="0"/>
                <wp:positionH relativeFrom="page">
                  <wp:posOffset>3176270</wp:posOffset>
                </wp:positionH>
                <wp:positionV relativeFrom="paragraph">
                  <wp:posOffset>12700</wp:posOffset>
                </wp:positionV>
                <wp:extent cx="1347470" cy="1981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747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Jorge Roberto Lucas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0.09999999999999pt;margin-top:1.pt;width:106.10000000000001pt;height:15.6pt;z-index:-125829371;mso-wrap-distance-left:0;mso-wrap-distance-top:1.pt;mso-wrap-distance-right:0;mso-wrap-distance-bottom:278.90000000000003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Jorge Roberto Lucas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5910" distB="3267710" distL="0" distR="0" simplePos="0" relativeHeight="125829384" behindDoc="0" locked="0" layoutInCell="1" allowOverlap="1">
                <wp:simplePos x="0" y="0"/>
                <wp:positionH relativeFrom="page">
                  <wp:posOffset>1283335</wp:posOffset>
                </wp:positionH>
                <wp:positionV relativeFrom="paragraph">
                  <wp:posOffset>295910</wp:posOffset>
                </wp:positionV>
                <wp:extent cx="1200785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07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I</w:t>
                            </w:r>
                            <w:r>
                              <w:rPr>
                                <w:rStyle w:val="CharStyle10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Style w:val="CharStyle10"/>
                              </w:rPr>
                              <w:t xml:space="preserve">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Vice-Presidente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01.05pt;margin-top:23.300000000000001pt;width:94.549999999999997pt;height:14.9pt;z-index:-125829369;mso-wrap-distance-left:0;mso-wrap-distance-top:23.300000000000001pt;mso-wrap-distance-right:0;mso-wrap-distance-bottom:257.3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I</w:t>
                      </w:r>
                      <w:r>
                        <w:rPr>
                          <w:rStyle w:val="CharStyle10"/>
                          <w:vertAlign w:val="superscript"/>
                        </w:rPr>
                        <w:t>o</w:t>
                      </w:r>
                      <w:r>
                        <w:rPr>
                          <w:rStyle w:val="CharStyle10"/>
                        </w:rPr>
                        <w:t xml:space="preserve">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>Vice-Presidente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3370" distB="3270250" distL="0" distR="0" simplePos="0" relativeHeight="125829386" behindDoc="0" locked="0" layoutInCell="1" allowOverlap="1">
                <wp:simplePos x="0" y="0"/>
                <wp:positionH relativeFrom="page">
                  <wp:posOffset>3178810</wp:posOffset>
                </wp:positionH>
                <wp:positionV relativeFrom="paragraph">
                  <wp:posOffset>293370</wp:posOffset>
                </wp:positionV>
                <wp:extent cx="1801495" cy="1892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149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Marinez Mocambite Seabra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0.30000000000001pt;margin-top:23.100000000000001pt;width:141.84999999999999pt;height:14.9pt;z-index:-125829367;mso-wrap-distance-left:0;mso-wrap-distance-top:23.100000000000001pt;mso-wrap-distance-right:0;mso-wrap-distance-bottom:257.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Marinez Mocambite Seabra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9755" distB="2983865" distL="0" distR="0" simplePos="0" relativeHeight="125829388" behindDoc="0" locked="0" layoutInCell="1" allowOverlap="1">
                <wp:simplePos x="0" y="0"/>
                <wp:positionH relativeFrom="page">
                  <wp:posOffset>1268095</wp:posOffset>
                </wp:positionH>
                <wp:positionV relativeFrom="paragraph">
                  <wp:posOffset>579755</wp:posOffset>
                </wp:positionV>
                <wp:extent cx="1216025" cy="1892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2</w:t>
                            </w:r>
                            <w:r>
                              <w:rPr>
                                <w:rStyle w:val="CharStyle10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Style w:val="CharStyle10"/>
                              </w:rPr>
                              <w:t xml:space="preserve">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Vice-Presidente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99.850000000000009pt;margin-top:45.649999999999999pt;width:95.75pt;height:14.9pt;z-index:-125829365;mso-wrap-distance-left:0;mso-wrap-distance-top:45.649999999999999pt;mso-wrap-distance-right:0;mso-wrap-distance-bottom:234.95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2</w:t>
                      </w:r>
                      <w:r>
                        <w:rPr>
                          <w:rStyle w:val="CharStyle10"/>
                          <w:vertAlign w:val="superscript"/>
                        </w:rPr>
                        <w:t>o</w:t>
                      </w:r>
                      <w:r>
                        <w:rPr>
                          <w:rStyle w:val="CharStyle10"/>
                        </w:rPr>
                        <w:t xml:space="preserve">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>Vice-Presidente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3405" distB="2990215" distL="0" distR="0" simplePos="0" relativeHeight="125829390" behindDoc="0" locked="0" layoutInCell="1" allowOverlap="1">
                <wp:simplePos x="0" y="0"/>
                <wp:positionH relativeFrom="page">
                  <wp:posOffset>3178810</wp:posOffset>
                </wp:positionH>
                <wp:positionV relativeFrom="paragraph">
                  <wp:posOffset>573405</wp:posOffset>
                </wp:positionV>
                <wp:extent cx="2103120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Leonardo Gomes Manduca Neto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0.30000000000001pt;margin-top:45.149999999999999pt;width:165.59999999999999pt;height:14.9pt;z-index:-125829363;mso-wrap-distance-left:0;mso-wrap-distance-top:45.149999999999999pt;mso-wrap-distance-right:0;mso-wrap-distance-bottom:235.45000000000002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Leonardo Gomes Manduca Neto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9790" distB="2703830" distL="0" distR="0" simplePos="0" relativeHeight="125829392" behindDoc="0" locked="0" layoutInCell="1" allowOverlap="1">
                <wp:simplePos x="0" y="0"/>
                <wp:positionH relativeFrom="page">
                  <wp:posOffset>1286510</wp:posOffset>
                </wp:positionH>
                <wp:positionV relativeFrom="paragraph">
                  <wp:posOffset>859790</wp:posOffset>
                </wp:positionV>
                <wp:extent cx="819785" cy="1892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97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I</w:t>
                            </w:r>
                            <w:r>
                              <w:rPr>
                                <w:rStyle w:val="CharStyle10"/>
                                <w:vertAlign w:val="superscript"/>
                              </w:rPr>
                              <w:t>a</w:t>
                            </w:r>
                            <w:r>
                              <w:rPr>
                                <w:rStyle w:val="CharStyle10"/>
                              </w:rPr>
                              <w:t xml:space="preserve">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Secretária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01.3pt;margin-top:67.700000000000003pt;width:64.549999999999997pt;height:14.9pt;z-index:-125829361;mso-wrap-distance-left:0;mso-wrap-distance-top:67.700000000000003pt;mso-wrap-distance-right:0;mso-wrap-distance-bottom:212.9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I</w:t>
                      </w:r>
                      <w:r>
                        <w:rPr>
                          <w:rStyle w:val="CharStyle10"/>
                          <w:vertAlign w:val="superscript"/>
                        </w:rPr>
                        <w:t>a</w:t>
                      </w:r>
                      <w:r>
                        <w:rPr>
                          <w:rStyle w:val="CharStyle10"/>
                        </w:rPr>
                        <w:t xml:space="preserve">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>Secretária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7250" distB="2700655" distL="0" distR="0" simplePos="0" relativeHeight="125829394" behindDoc="0" locked="0" layoutInCell="1" allowOverlap="1">
                <wp:simplePos x="0" y="0"/>
                <wp:positionH relativeFrom="page">
                  <wp:posOffset>3178810</wp:posOffset>
                </wp:positionH>
                <wp:positionV relativeFrom="paragraph">
                  <wp:posOffset>857250</wp:posOffset>
                </wp:positionV>
                <wp:extent cx="2011680" cy="19494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168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Manuel Mansur Ramos Vargas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50.30000000000001pt;margin-top:67.5pt;width:158.40000000000001pt;height:15.35pt;z-index:-125829359;mso-wrap-distance-left:0;mso-wrap-distance-top:67.5pt;mso-wrap-distance-right:0;mso-wrap-distance-bottom:212.6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Manuel Mansur Ramos Vargas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0460" distB="2423160" distL="0" distR="0" simplePos="0" relativeHeight="125829396" behindDoc="0" locked="0" layoutInCell="1" allowOverlap="1">
                <wp:simplePos x="0" y="0"/>
                <wp:positionH relativeFrom="page">
                  <wp:posOffset>1271270</wp:posOffset>
                </wp:positionH>
                <wp:positionV relativeFrom="paragraph">
                  <wp:posOffset>1140460</wp:posOffset>
                </wp:positionV>
                <wp:extent cx="847090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2</w:t>
                            </w:r>
                            <w:r>
                              <w:rPr>
                                <w:rStyle w:val="CharStyle10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rStyle w:val="CharStyle10"/>
                              </w:rPr>
                              <w:t xml:space="preserve"> Secretário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00.10000000000001pt;margin-top:89.799999999999997pt;width:66.700000000000003pt;height:14.9pt;z-index:-125829357;mso-wrap-distance-left:0;mso-wrap-distance-top:89.799999999999997pt;mso-wrap-distance-right:0;mso-wrap-distance-bottom:190.8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2</w:t>
                      </w:r>
                      <w:r>
                        <w:rPr>
                          <w:rStyle w:val="CharStyle10"/>
                          <w:vertAlign w:val="superscript"/>
                        </w:rPr>
                        <w:t>o</w:t>
                      </w:r>
                      <w:r>
                        <w:rPr>
                          <w:rStyle w:val="CharStyle10"/>
                        </w:rPr>
                        <w:t xml:space="preserve"> Secretário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37285" distB="2426335" distL="0" distR="0" simplePos="0" relativeHeight="125829398" behindDoc="0" locked="0" layoutInCell="1" allowOverlap="1">
                <wp:simplePos x="0" y="0"/>
                <wp:positionH relativeFrom="page">
                  <wp:posOffset>3181985</wp:posOffset>
                </wp:positionH>
                <wp:positionV relativeFrom="paragraph">
                  <wp:posOffset>1137285</wp:posOffset>
                </wp:positionV>
                <wp:extent cx="175260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26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Christian Miller de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Moraes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50.55000000000001pt;margin-top:89.549999999999997pt;width:138.pt;height:14.9pt;z-index:-125829355;mso-wrap-distance-left:0;mso-wrap-distance-top:89.549999999999997pt;mso-wrap-distance-right:0;mso-wrap-distance-bottom:191.05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Christian Miller de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>Moraes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39035" distB="1124585" distL="0" distR="0" simplePos="0" relativeHeight="125829400" behindDoc="0" locked="0" layoutInCell="1" allowOverlap="1">
                <wp:simplePos x="0" y="0"/>
                <wp:positionH relativeFrom="page">
                  <wp:posOffset>3538855</wp:posOffset>
                </wp:positionH>
                <wp:positionV relativeFrom="paragraph">
                  <wp:posOffset>2439035</wp:posOffset>
                </wp:positionV>
                <wp:extent cx="1078865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VEREADORES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78.65000000000003pt;margin-top:192.05000000000001pt;width:84.950000000000003pt;height:14.9pt;z-index:-125829353;mso-wrap-distance-left:0;mso-wrap-distance-top:192.05000000000001pt;mso-wrap-distance-right:0;mso-wrap-distance-bottom:88.549999999999997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VEREADORES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16530" distB="841375" distL="0" distR="0" simplePos="0" relativeHeight="125829402" behindDoc="0" locked="0" layoutInCell="1" allowOverlap="1">
                <wp:simplePos x="0" y="0"/>
                <wp:positionH relativeFrom="page">
                  <wp:posOffset>1273810</wp:posOffset>
                </wp:positionH>
                <wp:positionV relativeFrom="paragraph">
                  <wp:posOffset>2716530</wp:posOffset>
                </wp:positionV>
                <wp:extent cx="1731010" cy="19494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Aldenor Magalhães Rocha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00.3pt;margin-top:213.90000000000001pt;width:136.30000000000001pt;height:15.35pt;z-index:-125829351;mso-wrap-distance-left:0;mso-wrap-distance-top:213.90000000000001pt;mso-wrap-distance-right:0;mso-wrap-distance-bottom:66.2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Aldenor Magalhães Rocha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99740" distB="563880" distL="0" distR="0" simplePos="0" relativeHeight="125829404" behindDoc="0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2999740</wp:posOffset>
                </wp:positionV>
                <wp:extent cx="2094230" cy="1892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423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Brodoloni Pedro Inácio Pinheiro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00.55pt;margin-top:236.20000000000002pt;width:164.90000000000001pt;height:14.9pt;z-index:-125829349;mso-wrap-distance-left:0;mso-wrap-distance-top:236.20000000000002pt;mso-wrap-distance-right:0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Brodoloni Pedro Inácio Pinheiro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0410" distB="283210" distL="0" distR="0" simplePos="0" relativeHeight="125829406" behindDoc="0" locked="0" layoutInCell="1" allowOverlap="1">
                <wp:simplePos x="0" y="0"/>
                <wp:positionH relativeFrom="page">
                  <wp:posOffset>1276985</wp:posOffset>
                </wp:positionH>
                <wp:positionV relativeFrom="paragraph">
                  <wp:posOffset>3280410</wp:posOffset>
                </wp:positionV>
                <wp:extent cx="2063750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37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Iara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 xml:space="preserve">Stella </w:t>
                            </w:r>
                            <w:r>
                              <w:rPr>
                                <w:rStyle w:val="CharStyle10"/>
                              </w:rPr>
                              <w:t>Silva Ramos Barroso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00.55pt;margin-top:258.30000000000001pt;width:162.5pt;height:14.9pt;z-index:-125829347;mso-wrap-distance-left:0;mso-wrap-distance-top:258.30000000000001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Iara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 xml:space="preserve">Stella </w:t>
                      </w:r>
                      <w:r>
                        <w:rPr>
                          <w:rStyle w:val="CharStyle10"/>
                        </w:rPr>
                        <w:t>Silva Ramos Barroso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3620" distB="0" distL="0" distR="0" simplePos="0" relativeHeight="125829408" behindDoc="0" locked="0" layoutInCell="1" allowOverlap="1">
                <wp:simplePos x="0" y="0"/>
                <wp:positionH relativeFrom="page">
                  <wp:posOffset>1280160</wp:posOffset>
                </wp:positionH>
                <wp:positionV relativeFrom="paragraph">
                  <wp:posOffset>3563620</wp:posOffset>
                </wp:positionV>
                <wp:extent cx="1542415" cy="18923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24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Walker Ribeiro Martins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00.8pt;margin-top:280.60000000000002pt;width:121.45pt;height:14.9pt;z-index:-125829345;mso-wrap-distance-left:0;mso-wrap-distance-top:280.6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Walker Ribeiro Martins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Style w:val="CharStyle10"/>
          <w:b/>
          <w:bCs/>
        </w:rPr>
        <w:t>CAPÍTULO II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32"/>
          <w:szCs w:val="32"/>
        </w:rPr>
      </w:pPr>
      <w:r>
        <w:rPr>
          <w:rStyle w:val="CharStyle3"/>
          <w:smallCaps/>
          <w:sz w:val="32"/>
          <w:szCs w:val="32"/>
        </w:rPr>
        <w:t>planejamento, programação e orçamento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379" w:lineRule="auto"/>
        <w:ind w:left="0" w:right="0" w:firstLine="0"/>
        <w:jc w:val="both"/>
      </w:pPr>
      <w:r>
        <w:rPr>
          <w:rStyle w:val="CharStyle10"/>
          <w:b/>
          <w:bCs/>
        </w:rPr>
        <w:t xml:space="preserve">O Plano Plurianual - </w:t>
      </w:r>
      <w:r>
        <w:rPr>
          <w:rStyle w:val="CharStyle10"/>
        </w:rPr>
        <w:t>PPA - está previsto na Lei Municipal n.° 004, sancionada em 11/11/2021, destinado a organizar e viabilizar a ação pública, com vistas a cumprir os fundamentos e os objetivos da República.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0"/>
        </w:rPr>
        <w:t>Por meio dele, é declarado o conjunto das políticas públicas do governo para um período de quatro anos e os caminhos trilhados para viabilizar as metas previstas, construindo um Brasil melhor.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20" w:line="382" w:lineRule="auto"/>
        <w:ind w:left="0" w:right="0" w:firstLine="0"/>
        <w:jc w:val="both"/>
      </w:pPr>
      <w:r>
        <w:rPr>
          <w:rStyle w:val="CharStyle10"/>
        </w:rPr>
        <w:t>O PPA do Município de São Paulo de Olivença apresenta os projetos e os programas de longa duração do governo, definindo objetivos e metas da ação pública para o quadriénio 2022-2025.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0"/>
        <w:jc w:val="both"/>
      </w:pPr>
      <w:r>
        <w:rPr>
          <w:rStyle w:val="CharStyle10"/>
        </w:rPr>
        <w:t xml:space="preserve">A Lei de Diretrizes </w:t>
      </w:r>
      <w:r>
        <w:rPr>
          <w:rStyle w:val="CharStyle10"/>
          <w:lang w:val="pt-BR" w:eastAsia="pt-BR" w:bidi="pt-BR"/>
        </w:rPr>
        <w:t xml:space="preserve">Orçamentárias </w:t>
      </w:r>
      <w:r>
        <w:rPr>
          <w:rStyle w:val="CharStyle10"/>
        </w:rPr>
        <w:t>(LDO) tem como a principal finalidade orientar a elaboração dos orçamentos fiscais e da seguridade social e de investimento do Poder Público, incluindo os poderes Executivo e Legislativo do Município e os órgãos da administração indireta.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0"/>
        <w:jc w:val="both"/>
      </w:pPr>
      <w:r>
        <w:rPr>
          <w:rStyle w:val="CharStyle10"/>
        </w:rPr>
        <w:t xml:space="preserve">Busca sintonizar 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 xml:space="preserve">Anual com as diretrizes, objetivos e metas da administração pública, estabelecidas no Plano Plurianual e compreenderá as metas e prioridades da administração pública, incluindo as despesas de capital para o exercício financeiro subsequente, orientando na elaboração da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>anual e dispondo sobre as alterações na legislação tributária.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Style w:val="CharStyle10"/>
        </w:rPr>
        <w:t>A iniciativa do projeto da LDO é exclusiva do chefe do Poder Executivo.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0" w:line="379" w:lineRule="auto"/>
        <w:ind w:left="0" w:right="0" w:firstLine="0"/>
        <w:jc w:val="both"/>
      </w:pPr>
      <w:r>
        <w:rPr>
          <w:rStyle w:val="CharStyle10"/>
        </w:rPr>
        <w:t xml:space="preserve">As </w:t>
      </w:r>
      <w:r>
        <w:rPr>
          <w:rStyle w:val="CharStyle10"/>
          <w:b/>
          <w:bCs/>
        </w:rPr>
        <w:t xml:space="preserve">Diretrizes </w:t>
      </w:r>
      <w:r>
        <w:rPr>
          <w:rStyle w:val="CharStyle10"/>
          <w:b/>
          <w:bCs/>
          <w:lang w:val="pt-BR" w:eastAsia="pt-BR" w:bidi="pt-BR"/>
        </w:rPr>
        <w:t xml:space="preserve">Orçamentárias </w:t>
      </w:r>
      <w:r>
        <w:rPr>
          <w:rStyle w:val="CharStyle10"/>
        </w:rPr>
        <w:t>para o exercício de 2025 são tratadas pela Lei Municipal n° 059 sancionada em 02/07/2024, tendo sido elaborada em conformidade com o mandamento do art. 4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da Lei Complementar n° 101/2000.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center"/>
      </w:pP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0"/>
        <w:jc w:val="both"/>
      </w:pPr>
      <w:r>
        <w:rPr>
          <w:rStyle w:val="CharStyle10"/>
        </w:rPr>
        <w:t xml:space="preserve">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 xml:space="preserve">Anual (LOA) é um instrumento de gestão, com ênfase nos aspectos financeiros e físicos, compatível com a Lei de Diretrizes </w:t>
      </w:r>
      <w:r>
        <w:rPr>
          <w:rStyle w:val="CharStyle10"/>
          <w:lang w:val="pt-BR" w:eastAsia="pt-BR" w:bidi="pt-BR"/>
        </w:rPr>
        <w:t xml:space="preserve">Orçamentárias </w:t>
      </w:r>
      <w:r>
        <w:rPr>
          <w:rStyle w:val="CharStyle10"/>
        </w:rPr>
        <w:t>(LDO) e Plano Plurianual (PPA), e estima a receita e fixa a despesa para o período de um ano, visando o atingimento de objetivos pré-estabelecidos da política governamental.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0"/>
        </w:rPr>
        <w:t xml:space="preserve">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>Anual compreende: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rStyle w:val="CharStyle10"/>
        </w:rPr>
        <w:t>o orçamento fiscal referente aos Poderes do Município.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2" w:val="left"/>
        </w:tabs>
        <w:bidi w:val="0"/>
        <w:spacing w:before="0" w:after="560" w:line="240" w:lineRule="auto"/>
        <w:ind w:left="0" w:right="0" w:firstLine="0"/>
        <w:jc w:val="both"/>
      </w:pPr>
      <w:r>
        <w:rPr>
          <w:rStyle w:val="CharStyle10"/>
        </w:rPr>
        <w:t>o orçamento da seguridade social.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both"/>
      </w:pPr>
      <w:r>
        <w:rPr>
          <w:rStyle w:val="CharStyle10"/>
        </w:rPr>
        <w:t xml:space="preserve">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>para o exercício de 2025 está disciplinada na Lei n° 67 de 25/11/2024.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5" w:name="bookmark5"/>
      <w:r>
        <w:rPr>
          <w:rStyle w:val="CharStyle21"/>
          <w:b/>
          <w:bCs/>
        </w:rPr>
        <w:t>CAPÍTULO III</w:t>
      </w:r>
      <w:bookmarkEnd w:id="5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21"/>
          <w:b/>
          <w:bCs/>
        </w:rPr>
        <w:t>DA RESPONSABILIDADE PELA ORDENAÇÃO DA DESPESA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7" w:lineRule="auto"/>
        <w:ind w:left="0" w:right="0" w:firstLine="0"/>
        <w:jc w:val="both"/>
      </w:pPr>
      <w:r>
        <w:rPr>
          <w:rStyle w:val="CharStyle10"/>
        </w:rPr>
        <w:t>A responsabilidade pela ordenança das despesas públicas da Câmara Municipal de São Paulo de Olivença no período de 01 de janeiro a 31 de dezembro de 2025 coube ao Vereador JORGE ROBERTO LUCAS, eleito para o cargo de Presidente e empossado em 01 de janeiro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377" w:lineRule="auto"/>
        <w:ind w:left="0" w:right="0" w:firstLine="0"/>
        <w:jc w:val="both"/>
      </w:pPr>
      <w:r>
        <w:rPr>
          <w:rStyle w:val="CharStyle10"/>
        </w:rPr>
        <w:t>As atribuições de gestor público e ordenador de despesa estão previstas na Lei Orgânica do Município e no Regimento Interno do Poder Legislativo.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8" w:name="bookmark8"/>
      <w:r>
        <w:rPr>
          <w:rStyle w:val="CharStyle21"/>
          <w:b/>
          <w:bCs/>
        </w:rPr>
        <w:t>CAPÍTULO IV</w:t>
      </w:r>
      <w:bookmarkEnd w:id="8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r>
        <w:rPr>
          <w:rStyle w:val="CharStyle21"/>
          <w:b/>
          <w:bCs/>
        </w:rPr>
        <w:t xml:space="preserve">DOS DEMONSTRATIVOS </w:t>
      </w:r>
      <w:r>
        <w:rPr>
          <w:rStyle w:val="CharStyle21"/>
          <w:b/>
          <w:bCs/>
          <w:lang w:val="pt-BR" w:eastAsia="pt-BR" w:bidi="pt-BR"/>
        </w:rPr>
        <w:t>CONTÁBEIS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0" w:right="0" w:firstLine="0"/>
        <w:jc w:val="both"/>
      </w:pPr>
      <w:r>
        <w:rPr>
          <w:rStyle w:val="CharStyle10"/>
        </w:rPr>
        <w:t xml:space="preserve">Os demonstrativos </w:t>
      </w:r>
      <w:r>
        <w:rPr>
          <w:rStyle w:val="CharStyle10"/>
          <w:lang w:val="pt-BR" w:eastAsia="pt-BR" w:bidi="pt-BR"/>
        </w:rPr>
        <w:t xml:space="preserve">contábeis </w:t>
      </w:r>
      <w:r>
        <w:rPr>
          <w:rStyle w:val="CharStyle10"/>
        </w:rPr>
        <w:t>que compõem esta Prestação de Contas foram elaborados segundo Normas Brasileiras de Contabilidade Pública, guardando observância aos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377" w:lineRule="auto"/>
        <w:ind w:left="0" w:right="0" w:firstLine="0"/>
        <w:jc w:val="both"/>
      </w:pPr>
      <w:r>
        <w:rPr>
          <w:rStyle w:val="CharStyle10"/>
        </w:rPr>
        <w:t>princípios fundamentais da Contabilidade Pública e de acordo com a Lei Complementar Estadual n. 06 de 22/07/09 e Resolução TCE/AM 006/2009.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  <w:rPr>
          <w:sz w:val="32"/>
          <w:szCs w:val="32"/>
        </w:rPr>
      </w:pPr>
      <w:r>
        <w:rPr>
          <w:rStyle w:val="CharStyle3"/>
          <w:smallCaps/>
          <w:sz w:val="32"/>
          <w:szCs w:val="32"/>
        </w:rPr>
        <w:t>do balanço financeiro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84" w:lineRule="auto"/>
        <w:ind w:left="0" w:right="0" w:firstLine="0"/>
        <w:jc w:val="both"/>
      </w:pPr>
      <w:r>
        <w:rPr>
          <w:rStyle w:val="CharStyle10"/>
        </w:rPr>
        <w:t>A Resolução TCE/AM n° 006/2009 exige no inciso V do art. I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a apresentação de Balanço Financeiro elaborado pelo Poder Legislativo.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0"/>
        <w:jc w:val="both"/>
      </w:pPr>
      <w:r>
        <w:rPr>
          <w:rStyle w:val="CharStyle10"/>
        </w:rPr>
        <w:t xml:space="preserve">O Balanço Financeiro demonstra a receita e a despesa </w:t>
      </w:r>
      <w:r>
        <w:rPr>
          <w:rStyle w:val="CharStyle10"/>
          <w:lang w:val="pt-BR" w:eastAsia="pt-BR" w:bidi="pt-BR"/>
        </w:rPr>
        <w:t xml:space="preserve">orçamentárias, </w:t>
      </w:r>
      <w:r>
        <w:rPr>
          <w:rStyle w:val="CharStyle10"/>
        </w:rPr>
        <w:t>bem como os recebimentos e os pagamentos de natureza extra-orçamentária, conjugados com os saldos em espécies provenientes do exercício anterior, e os que se transferem para o exercício seguinte, conforme preceitua o artigo 103 da Lei n°. 4.320.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0"/>
        <w:jc w:val="both"/>
      </w:pPr>
      <w:r>
        <w:rPr>
          <w:rStyle w:val="CharStyle10"/>
        </w:rPr>
        <w:t xml:space="preserve">Para a análise desta demonstração </w:t>
      </w:r>
      <w:r>
        <w:rPr>
          <w:rStyle w:val="CharStyle10"/>
          <w:lang w:val="pt-BR" w:eastAsia="pt-BR" w:bidi="pt-BR"/>
        </w:rPr>
        <w:t xml:space="preserve">contábil, </w:t>
      </w:r>
      <w:r>
        <w:rPr>
          <w:rStyle w:val="CharStyle10"/>
        </w:rPr>
        <w:t>é importante saber que nem todas as contas elencadas no conjunto de contas Receitas Extra-orçamentárias e Despesas Extra- orçamentárias se enquadram no conceito de extra-orçamentário definido na Lei 4.320/64.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2" w:lineRule="auto"/>
        <w:ind w:left="0" w:right="0" w:firstLine="0"/>
        <w:jc w:val="both"/>
      </w:pPr>
      <w:r>
        <w:rPr>
          <w:rStyle w:val="CharStyle10"/>
        </w:rPr>
        <w:t>O Balanço Financeiro de 2025 está consolidado e elaborado na forma do Anexo 13 da Lei Federal n° 4.320/64 - Plano de Contas Aplicado ao Setor Público - PCASP.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0"/>
        <w:jc w:val="both"/>
      </w:pPr>
      <w:r>
        <w:rPr>
          <w:rStyle w:val="CharStyle10"/>
        </w:rPr>
        <w:t xml:space="preserve">O Resultado Financeiro é obtido através do Balanço Financeiro e resulta de simples operação aritmética, em que da soma dos repasses subtraí-se a soma das despesas, ambas compostas pelas dimensões </w:t>
      </w:r>
      <w:r>
        <w:rPr>
          <w:rStyle w:val="CharStyle10"/>
          <w:lang w:val="pt-BR" w:eastAsia="pt-BR" w:bidi="pt-BR"/>
        </w:rPr>
        <w:t xml:space="preserve">orçamentárias </w:t>
      </w:r>
      <w:r>
        <w:rPr>
          <w:rStyle w:val="CharStyle10"/>
        </w:rPr>
        <w:t>e extra-orçamentárias.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0"/>
        </w:rPr>
        <w:t>O saldo das disponibilidades financeiras foi de R$ 69.843,96 (Sessenta e nove mil, oitocentos e quarenta e três reais e noventa e seis centavos).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bookmarkStart w:id="11" w:name="bookmark11"/>
      <w:r>
        <w:rPr>
          <w:rStyle w:val="CharStyle21"/>
          <w:b/>
          <w:bCs/>
        </w:rPr>
        <w:t>DA PREVISÃO DO REPASSE E DA EFETIVAÇÃO</w:t>
      </w:r>
      <w:bookmarkEnd w:id="1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9" w:lineRule="auto"/>
        <w:ind w:left="0" w:right="0" w:firstLine="0"/>
        <w:jc w:val="both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805" w:right="1174" w:bottom="996" w:left="183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 xml:space="preserve">Anual para o exercício de 2025 fixou dotação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>para o Poder Legislativo em R$ 2.638.936,00 (Dois milhões, seiscentos e trinta e oito mil, novecentos e trinta e seis reais).</w:t>
      </w:r>
    </w:p>
    <w:p>
      <w:pPr>
        <w:pStyle w:val="Style2"/>
        <w:keepNext w:val="0"/>
        <w:keepLines w:val="0"/>
        <w:framePr w:w="7262" w:h="408" w:wrap="none" w:hAnchor="page" w:x="2972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framePr w:w="8851" w:h="312" w:wrap="none" w:hAnchor="page" w:x="2180" w:y="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</w:rPr>
        <w:t>A transferência do duodécimo constitui direito previsto no art. 168 da Constituição da</w:t>
      </w:r>
    </w:p>
    <w:p>
      <w:pPr>
        <w:pStyle w:val="Style9"/>
        <w:keepNext w:val="0"/>
        <w:keepLines w:val="0"/>
        <w:framePr w:w="8856" w:h="2189" w:wrap="none" w:hAnchor="page" w:x="2185" w:y="134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left"/>
      </w:pPr>
      <w:r>
        <w:rPr>
          <w:rStyle w:val="CharStyle10"/>
        </w:rPr>
        <w:t>República.</w:t>
      </w:r>
    </w:p>
    <w:p>
      <w:pPr>
        <w:pStyle w:val="Style9"/>
        <w:keepNext w:val="0"/>
        <w:keepLines w:val="0"/>
        <w:framePr w:w="8856" w:h="2189" w:wrap="none" w:hAnchor="page" w:x="2185" w:y="1341"/>
        <w:widowControl w:val="0"/>
        <w:shd w:val="clear" w:color="auto" w:fill="auto"/>
        <w:bidi w:val="0"/>
        <w:spacing w:before="0" w:after="0" w:line="382" w:lineRule="auto"/>
        <w:ind w:left="0" w:right="0" w:firstLine="0"/>
        <w:jc w:val="both"/>
      </w:pPr>
      <w:r>
        <w:rPr>
          <w:rStyle w:val="CharStyle10"/>
        </w:rPr>
        <w:t>Atendendo à normatização constitucional (art. 29-A § 2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e art. 168), o Poder Executivo repassou os valores referentes à transferência constitucional destinada à Manutenção da Câmara Municipal de São Paulo de Olivença, obedecendo </w:t>
      </w:r>
      <w:r>
        <w:rPr>
          <w:rStyle w:val="CharStyle10"/>
          <w:lang w:val="pt-BR" w:eastAsia="pt-BR" w:bidi="pt-BR"/>
        </w:rPr>
        <w:t xml:space="preserve">às </w:t>
      </w:r>
      <w:r>
        <w:rPr>
          <w:rStyle w:val="CharStyle10"/>
        </w:rPr>
        <w:t>datas e valores demonstrados no quadro a seguir:</w:t>
      </w:r>
    </w:p>
    <w:p>
      <w:pPr>
        <w:pStyle w:val="Style9"/>
        <w:keepNext w:val="0"/>
        <w:keepLines w:val="0"/>
        <w:framePr w:w="1541" w:h="298" w:wrap="none" w:hAnchor="page" w:x="3222" w:y="4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Mês referência</w:t>
      </w:r>
    </w:p>
    <w:p>
      <w:pPr>
        <w:pStyle w:val="Style9"/>
        <w:keepNext w:val="0"/>
        <w:keepLines w:val="0"/>
        <w:framePr w:w="1642" w:h="307" w:wrap="none" w:hAnchor="page" w:x="5574" w:y="4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Data do repasse</w:t>
      </w:r>
    </w:p>
    <w:p>
      <w:pPr>
        <w:pStyle w:val="Style9"/>
        <w:keepNext w:val="0"/>
        <w:keepLines w:val="0"/>
        <w:framePr w:w="2160" w:h="307" w:wrap="none" w:hAnchor="page" w:x="7950" w:y="43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Valor do Repasse R$</w:t>
      </w:r>
    </w:p>
    <w:p>
      <w:pPr>
        <w:pStyle w:val="Style9"/>
        <w:keepNext w:val="0"/>
        <w:keepLines w:val="0"/>
        <w:framePr w:w="744" w:h="298" w:wrap="none" w:hAnchor="page" w:x="2886" w:y="4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Janeiro</w:t>
      </w:r>
    </w:p>
    <w:p>
      <w:pPr>
        <w:pStyle w:val="Style9"/>
        <w:keepNext w:val="0"/>
        <w:keepLines w:val="0"/>
        <w:framePr w:w="965" w:h="298" w:wrap="none" w:hAnchor="page" w:x="2891" w:y="53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Fevereiro</w:t>
      </w:r>
    </w:p>
    <w:p>
      <w:pPr>
        <w:pStyle w:val="Style9"/>
        <w:keepNext w:val="0"/>
        <w:keepLines w:val="0"/>
        <w:framePr w:w="1133" w:h="869" w:wrap="none" w:hAnchor="page" w:x="5823" w:y="4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17/01/2025</w:t>
      </w:r>
    </w:p>
    <w:p>
      <w:pPr>
        <w:pStyle w:val="Style9"/>
        <w:keepNext w:val="0"/>
        <w:keepLines w:val="0"/>
        <w:framePr w:w="1133" w:h="869" w:wrap="none" w:hAnchor="page" w:x="5823" w:y="4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17/01/2025</w:t>
      </w:r>
    </w:p>
    <w:p>
      <w:pPr>
        <w:pStyle w:val="Style9"/>
        <w:keepNext w:val="0"/>
        <w:keepLines w:val="0"/>
        <w:framePr w:w="1133" w:h="869" w:wrap="none" w:hAnchor="page" w:x="5823" w:y="48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20/02/2025</w:t>
      </w:r>
    </w:p>
    <w:p>
      <w:pPr>
        <w:pStyle w:val="Style9"/>
        <w:keepNext w:val="0"/>
        <w:keepLines w:val="0"/>
        <w:framePr w:w="1128" w:h="869" w:wrap="none" w:hAnchor="page" w:x="9236" w:y="4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15.348,84</w:t>
      </w:r>
    </w:p>
    <w:p>
      <w:pPr>
        <w:pStyle w:val="Style9"/>
        <w:keepNext w:val="0"/>
        <w:keepLines w:val="0"/>
        <w:framePr w:w="1128" w:h="869" w:wrap="none" w:hAnchor="page" w:x="9236" w:y="4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300.000,00</w:t>
      </w:r>
    </w:p>
    <w:p>
      <w:pPr>
        <w:pStyle w:val="Style9"/>
        <w:keepNext w:val="0"/>
        <w:keepLines w:val="0"/>
        <w:framePr w:w="1128" w:h="869" w:wrap="none" w:hAnchor="page" w:x="9236" w:y="47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315.348,84</w:t>
      </w:r>
    </w:p>
    <w:p>
      <w:pPr>
        <w:pStyle w:val="Style9"/>
        <w:keepNext w:val="0"/>
        <w:keepLines w:val="0"/>
        <w:framePr w:w="672" w:h="298" w:wrap="none" w:hAnchor="page" w:x="2895" w:y="58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Março</w:t>
      </w:r>
    </w:p>
    <w:p>
      <w:pPr>
        <w:pStyle w:val="Style9"/>
        <w:keepNext w:val="0"/>
        <w:keepLines w:val="0"/>
        <w:framePr w:w="557" w:h="298" w:wrap="none" w:hAnchor="page" w:x="2891" w:y="63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Abril</w:t>
      </w:r>
    </w:p>
    <w:p>
      <w:pPr>
        <w:pStyle w:val="Style9"/>
        <w:keepNext w:val="0"/>
        <w:keepLines w:val="0"/>
        <w:framePr w:w="557" w:h="298" w:wrap="none" w:hAnchor="page" w:x="2895" w:y="6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Maio</w:t>
      </w:r>
    </w:p>
    <w:p>
      <w:pPr>
        <w:pStyle w:val="Style9"/>
        <w:keepNext w:val="0"/>
        <w:keepLines w:val="0"/>
        <w:framePr w:w="624" w:h="298" w:wrap="none" w:hAnchor="page" w:x="2895" w:y="74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Junho</w:t>
      </w:r>
    </w:p>
    <w:p>
      <w:pPr>
        <w:pStyle w:val="Style9"/>
        <w:keepNext w:val="0"/>
        <w:keepLines w:val="0"/>
        <w:framePr w:w="576" w:h="298" w:wrap="none" w:hAnchor="page" w:x="2895" w:y="7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Julho</w:t>
      </w:r>
    </w:p>
    <w:p>
      <w:pPr>
        <w:pStyle w:val="Style9"/>
        <w:keepNext w:val="0"/>
        <w:keepLines w:val="0"/>
        <w:framePr w:w="744" w:h="302" w:wrap="none" w:hAnchor="page" w:x="2900" w:y="8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Agosto</w:t>
      </w:r>
    </w:p>
    <w:p>
      <w:pPr>
        <w:pStyle w:val="Style9"/>
        <w:keepNext w:val="0"/>
        <w:keepLines w:val="0"/>
        <w:framePr w:w="960" w:h="298" w:wrap="none" w:hAnchor="page" w:x="2905" w:y="8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Setembro</w:t>
      </w:r>
    </w:p>
    <w:p>
      <w:pPr>
        <w:pStyle w:val="Style9"/>
        <w:keepNext w:val="0"/>
        <w:keepLines w:val="0"/>
        <w:framePr w:w="850" w:h="298" w:wrap="none" w:hAnchor="page" w:x="2900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Outubro</w:t>
      </w:r>
    </w:p>
    <w:p>
      <w:pPr>
        <w:pStyle w:val="Style9"/>
        <w:keepNext w:val="0"/>
        <w:keepLines w:val="0"/>
        <w:framePr w:w="1085" w:h="298" w:wrap="none" w:hAnchor="page" w:x="2891" w:y="9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Novembro</w:t>
      </w:r>
    </w:p>
    <w:p>
      <w:pPr>
        <w:pStyle w:val="Style9"/>
        <w:keepNext w:val="0"/>
        <w:keepLines w:val="0"/>
        <w:framePr w:w="1042" w:h="298" w:wrap="none" w:hAnchor="page" w:x="2905" w:y="9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Dezembro</w:t>
      </w:r>
    </w:p>
    <w:p>
      <w:pPr>
        <w:pStyle w:val="Style9"/>
        <w:keepNext w:val="0"/>
        <w:keepLines w:val="0"/>
        <w:framePr w:w="1138" w:h="869" w:wrap="none" w:hAnchor="page" w:x="5823" w:y="5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17/03/2025</w:t>
      </w:r>
    </w:p>
    <w:p>
      <w:pPr>
        <w:pStyle w:val="Style9"/>
        <w:keepNext w:val="0"/>
        <w:keepLines w:val="0"/>
        <w:framePr w:w="1138" w:h="869" w:wrap="none" w:hAnchor="page" w:x="5823" w:y="5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20/3/2025</w:t>
      </w:r>
    </w:p>
    <w:p>
      <w:pPr>
        <w:pStyle w:val="Style9"/>
        <w:keepNext w:val="0"/>
        <w:keepLines w:val="0"/>
        <w:framePr w:w="1138" w:h="869" w:wrap="none" w:hAnchor="page" w:x="5823" w:y="5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22/04/2025</w:t>
      </w:r>
    </w:p>
    <w:p>
      <w:pPr>
        <w:pStyle w:val="Style9"/>
        <w:keepNext w:val="0"/>
        <w:keepLines w:val="0"/>
        <w:framePr w:w="1138" w:h="955" w:wrap="none" w:hAnchor="page" w:x="5828" w:y="679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20/05/2025</w:t>
      </w:r>
    </w:p>
    <w:p>
      <w:pPr>
        <w:pStyle w:val="Style9"/>
        <w:keepNext w:val="0"/>
        <w:keepLines w:val="0"/>
        <w:framePr w:w="1138" w:h="955" w:wrap="none" w:hAnchor="page" w:x="5828" w:y="6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20/05/2025</w:t>
      </w:r>
    </w:p>
    <w:p>
      <w:pPr>
        <w:pStyle w:val="Style9"/>
        <w:keepNext w:val="0"/>
        <w:keepLines w:val="0"/>
        <w:framePr w:w="1138" w:h="955" w:wrap="none" w:hAnchor="page" w:x="5828" w:y="67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0"/>
        </w:rPr>
        <w:t>20/06/2025</w:t>
      </w:r>
    </w:p>
    <w:p>
      <w:pPr>
        <w:pStyle w:val="Style9"/>
        <w:keepNext w:val="0"/>
        <w:keepLines w:val="0"/>
        <w:framePr w:w="1114" w:h="298" w:wrap="none" w:hAnchor="page" w:x="5852" w:y="7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18/07/2025</w:t>
      </w:r>
    </w:p>
    <w:p>
      <w:pPr>
        <w:pStyle w:val="Style9"/>
        <w:keepNext w:val="0"/>
        <w:keepLines w:val="0"/>
        <w:framePr w:w="1133" w:h="298" w:wrap="none" w:hAnchor="page" w:x="5833" w:y="8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20/08/2025</w:t>
      </w:r>
    </w:p>
    <w:p>
      <w:pPr>
        <w:pStyle w:val="Style9"/>
        <w:keepNext w:val="0"/>
        <w:keepLines w:val="0"/>
        <w:framePr w:w="1118" w:h="298" w:wrap="none" w:hAnchor="page" w:x="5852" w:y="8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19/09/2025</w:t>
      </w:r>
    </w:p>
    <w:p>
      <w:pPr>
        <w:pStyle w:val="Style9"/>
        <w:keepNext w:val="0"/>
        <w:keepLines w:val="0"/>
        <w:framePr w:w="1138" w:h="298" w:wrap="none" w:hAnchor="page" w:x="5833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23/10/2025</w:t>
      </w:r>
    </w:p>
    <w:p>
      <w:pPr>
        <w:pStyle w:val="Style9"/>
        <w:keepNext w:val="0"/>
        <w:keepLines w:val="0"/>
        <w:framePr w:w="1114" w:h="298" w:wrap="none" w:hAnchor="page" w:x="5857" w:y="9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19/11/2025</w:t>
      </w:r>
    </w:p>
    <w:p>
      <w:pPr>
        <w:pStyle w:val="Style9"/>
        <w:keepNext w:val="0"/>
        <w:keepLines w:val="0"/>
        <w:framePr w:w="1114" w:h="298" w:wrap="none" w:hAnchor="page" w:x="5857" w:y="9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19/12/2025</w:t>
      </w:r>
    </w:p>
    <w:p>
      <w:pPr>
        <w:pStyle w:val="Style9"/>
        <w:keepNext w:val="0"/>
        <w:keepLines w:val="0"/>
        <w:framePr w:w="1243" w:h="298" w:wrap="none" w:hAnchor="page" w:x="5790" w:y="10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b/>
          <w:bCs/>
        </w:rPr>
        <w:t>TOTAL RS</w:t>
      </w:r>
    </w:p>
    <w:p>
      <w:pPr>
        <w:pStyle w:val="Style20"/>
        <w:keepNext/>
        <w:keepLines/>
        <w:framePr w:w="3893" w:h="298" w:wrap="none" w:hAnchor="page" w:x="4691" w:y="11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rStyle w:val="CharStyle21"/>
          <w:b/>
          <w:bCs/>
        </w:rPr>
        <w:t>DO VALOR TOTAL REPASSADO</w:t>
      </w:r>
      <w:bookmarkEnd w:id="13"/>
    </w:p>
    <w:p>
      <w:pPr>
        <w:pStyle w:val="Style9"/>
        <w:keepNext w:val="0"/>
        <w:keepLines w:val="0"/>
        <w:framePr w:w="1133" w:h="869" w:wrap="none" w:hAnchor="page" w:x="9236" w:y="5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285.000,00</w:t>
      </w:r>
    </w:p>
    <w:p>
      <w:pPr>
        <w:pStyle w:val="Style9"/>
        <w:keepNext w:val="0"/>
        <w:keepLines w:val="0"/>
        <w:framePr w:w="1133" w:h="869" w:wrap="none" w:hAnchor="page" w:x="9236" w:y="5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30.000,00</w:t>
      </w:r>
    </w:p>
    <w:p>
      <w:pPr>
        <w:pStyle w:val="Style9"/>
        <w:keepNext w:val="0"/>
        <w:keepLines w:val="0"/>
        <w:framePr w:w="1133" w:h="869" w:wrap="none" w:hAnchor="page" w:x="9236" w:y="5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3" w:h="955" w:wrap="none" w:hAnchor="page" w:x="9246" w:y="6794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3" w:h="955" w:wrap="none" w:hAnchor="page" w:x="9246" w:y="67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124.017,19</w:t>
      </w:r>
    </w:p>
    <w:p>
      <w:pPr>
        <w:pStyle w:val="Style9"/>
        <w:keepNext w:val="0"/>
        <w:keepLines w:val="0"/>
        <w:framePr w:w="1123" w:h="955" w:wrap="none" w:hAnchor="page" w:x="9246" w:y="679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8" w:h="298" w:wrap="none" w:hAnchor="page" w:x="9246" w:y="7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3" w:h="298" w:wrap="none" w:hAnchor="page" w:x="9246" w:y="8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3" w:h="298" w:wrap="none" w:hAnchor="page" w:x="9251" w:y="87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8" w:h="298" w:wrap="none" w:hAnchor="page" w:x="9246" w:y="9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8" w:h="298" w:wrap="none" w:hAnchor="page" w:x="9246" w:y="95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123" w:h="298" w:wrap="none" w:hAnchor="page" w:x="9251" w:y="9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06" w:h="298" w:wrap="none" w:hAnchor="page" w:x="9068" w:y="10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  <w:b/>
          <w:bCs/>
        </w:rPr>
        <w:t>4.278.859,45</w:t>
      </w:r>
    </w:p>
    <w:p>
      <w:pPr>
        <w:pStyle w:val="Style9"/>
        <w:keepNext w:val="0"/>
        <w:keepLines w:val="0"/>
        <w:framePr w:w="8842" w:h="307" w:wrap="none" w:hAnchor="page" w:x="2219" w:y="12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Cumprindo-se com o disposto no inciso I do § I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do art. 29-A da Constituição Federal,</w:t>
      </w:r>
    </w:p>
    <w:p>
      <w:pPr>
        <w:pStyle w:val="Style9"/>
        <w:keepNext w:val="0"/>
        <w:keepLines w:val="0"/>
        <w:framePr w:w="8832" w:h="312" w:wrap="none" w:hAnchor="page" w:x="2223" w:y="12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em 2025 o Poder Executivo repassou ao Poder Legislativo o valor de R$ 4.278.859,45</w:t>
      </w:r>
    </w:p>
    <w:p>
      <w:pPr>
        <w:pStyle w:val="Style9"/>
        <w:keepNext w:val="0"/>
        <w:keepLines w:val="0"/>
        <w:framePr w:w="8842" w:h="312" w:wrap="none" w:hAnchor="page" w:x="2223" w:y="13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(Quatro milhões, duzentos e setenta e oito mil, oitocentos e cinquenta e nove reais 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0</wp:posOffset>
            </wp:positionH>
            <wp:positionV relativeFrom="margin">
              <wp:posOffset>1649730</wp:posOffset>
            </wp:positionV>
            <wp:extent cx="335280" cy="7857490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35280" cy="7857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45" w:right="836" w:bottom="2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9" w:lineRule="auto"/>
        <w:ind w:left="0" w:right="0" w:firstLine="0"/>
        <w:jc w:val="both"/>
      </w:pPr>
      <w:r>
        <w:rPr>
          <w:rStyle w:val="CharStyle10"/>
        </w:rPr>
        <w:t>quarenta e cinco centavos), sendo que o valor de R$ 205.707,55 (Duzentos e cinco mil, setecentos e sete reais e cinquenta e cinco centavos) com os inativos e pensionistas.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15" w:name="bookmark15"/>
      <w:r>
        <w:rPr>
          <w:rStyle w:val="CharStyle21"/>
          <w:b/>
          <w:bCs/>
        </w:rPr>
        <w:t>DA DESPESA FIXADA E REALIZADA</w:t>
      </w:r>
      <w:bookmarkEnd w:id="1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379" w:lineRule="auto"/>
        <w:ind w:left="0" w:right="0" w:firstLine="0"/>
        <w:jc w:val="both"/>
      </w:pPr>
      <w:r>
        <w:rPr>
          <w:rStyle w:val="CharStyle10"/>
        </w:rPr>
        <w:t xml:space="preserve">De acordo com o art. 29-A da Constituição Federal, o total da despesa do Poder Legislativo, </w:t>
      </w:r>
      <w:r>
        <w:rPr>
          <w:rStyle w:val="CharStyle10"/>
          <w:lang w:val="pt-BR" w:eastAsia="pt-BR" w:bidi="pt-BR"/>
        </w:rPr>
        <w:t xml:space="preserve">excluindo-se </w:t>
      </w:r>
      <w:r>
        <w:rPr>
          <w:rStyle w:val="CharStyle10"/>
        </w:rPr>
        <w:t>os inativos, não poderá ultrapassar o limite de 7% da Receita Tributaria e das Transferências previstas no § 5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do art. 153 e nos arts. 158 e 159, </w:t>
      </w:r>
      <w:r>
        <w:rPr>
          <w:rStyle w:val="CharStyle10"/>
        </w:rPr>
        <w:t>efetivamente realizadas no exercício anterior.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60" w:line="374" w:lineRule="auto"/>
        <w:ind w:left="0" w:right="0" w:firstLine="0"/>
        <w:jc w:val="both"/>
      </w:pPr>
      <w:r>
        <w:rPr>
          <w:rStyle w:val="CharStyle10"/>
        </w:rPr>
        <w:t xml:space="preserve">Relativamente </w:t>
      </w:r>
      <w:r>
        <w:rPr>
          <w:rStyle w:val="CharStyle10"/>
          <w:lang w:val="pt-BR" w:eastAsia="pt-BR" w:bidi="pt-BR"/>
        </w:rPr>
        <w:t xml:space="preserve">às </w:t>
      </w:r>
      <w:r>
        <w:rPr>
          <w:rStyle w:val="CharStyle10"/>
        </w:rPr>
        <w:t xml:space="preserve">despesas, </w:t>
      </w:r>
      <w:r>
        <w:rPr>
          <w:rStyle w:val="CharStyle10"/>
          <w:lang w:val="pt-BR" w:eastAsia="pt-BR" w:bidi="pt-BR"/>
        </w:rPr>
        <w:t xml:space="preserve">procurou-se </w:t>
      </w:r>
      <w:r>
        <w:rPr>
          <w:rStyle w:val="CharStyle10"/>
        </w:rPr>
        <w:t xml:space="preserve">no exercício de 2025 estabelecer um perfeito equilíbrio financeiro, de modo que o processamento das despesas estivesse simetria com o comportamento dos repasses, tanto que as despesas totalizaram o valor de R$ </w:t>
      </w:r>
      <w:r>
        <w:rPr>
          <w:rStyle w:val="CharStyle10"/>
        </w:rPr>
        <w:t xml:space="preserve">4.278.859,45 (Quatro milhões, duzentos e cinquenta e nove mil, quarenta e cinco </w:t>
      </w:r>
      <w:r>
        <w:rPr>
          <w:rStyle w:val="CharStyle10"/>
        </w:rPr>
        <w:t>centavos).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10"/>
        </w:rPr>
        <w:t xml:space="preserve">Neste cenário, o sistema financeiro do exercício de 2025 encerrou com a seguinte </w:t>
      </w:r>
      <w:r>
        <w:rPr>
          <w:rStyle w:val="CharStyle10"/>
        </w:rPr>
        <w:t>composição: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140" w:line="240" w:lineRule="auto"/>
        <w:ind w:left="1740" w:right="0" w:firstLine="0"/>
        <w:jc w:val="both"/>
      </w:pPr>
      <w:bookmarkStart w:id="17" w:name="bookmark17"/>
      <w:r>
        <w:rPr>
          <w:rStyle w:val="CharStyle21"/>
          <w:b/>
          <w:bCs/>
        </w:rPr>
        <w:t>ATIVO:</w:t>
      </w:r>
      <w:bookmarkEnd w:id="17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1740" w:right="0" w:firstLine="0"/>
        <w:jc w:val="both"/>
      </w:pPr>
      <w:r>
        <mc:AlternateContent>
          <mc:Choice Requires="wps">
            <w:drawing>
              <wp:anchor distT="0" distB="0" distL="114300" distR="1221105" simplePos="0" relativeHeight="125829410" behindDoc="0" locked="0" layoutInCell="1" allowOverlap="1">
                <wp:simplePos x="0" y="0"/>
                <wp:positionH relativeFrom="page">
                  <wp:posOffset>5006975</wp:posOffset>
                </wp:positionH>
                <wp:positionV relativeFrom="paragraph">
                  <wp:posOffset>12700</wp:posOffset>
                </wp:positionV>
                <wp:extent cx="179705" cy="822960"/>
                <wp:wrapSquare wrapText="left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822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3"/>
                              </w:rPr>
                              <w:t>R$ R$ R$ R$ R$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94.25pt;margin-top:1.pt;width:14.15pt;height:64.799999999999997pt;z-index:-125829343;mso-wrap-distance-left:9.pt;mso-wrap-distance-right:96.150000000000006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23"/>
                        </w:rPr>
                        <w:t>R$ R$ R$ R$ R$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559435" distR="114300" simplePos="0" relativeHeight="125829412" behindDoc="0" locked="0" layoutInCell="1" allowOverlap="1">
                <wp:simplePos x="0" y="0"/>
                <wp:positionH relativeFrom="page">
                  <wp:posOffset>5452110</wp:posOffset>
                </wp:positionH>
                <wp:positionV relativeFrom="paragraph">
                  <wp:posOffset>12700</wp:posOffset>
                </wp:positionV>
                <wp:extent cx="841375" cy="804545"/>
                <wp:wrapSquare wrapText="lef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1375" cy="804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u w:val="single"/>
                              </w:rPr>
                              <w:t>R$ 69.843,96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  <w:u w:val="single"/>
                              </w:rPr>
                              <w:t>R$ 2.465,06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220"/>
                              <w:jc w:val="left"/>
                            </w:pPr>
                            <w:r>
                              <w:rPr>
                                <w:rStyle w:val="CharStyle23"/>
                                <w:u w:val="single"/>
                              </w:rPr>
                              <w:t>R$ 7.177,77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u w:val="single"/>
                              </w:rPr>
                              <w:t>R$ 41.557,63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  <w:u w:val="single"/>
                              </w:rPr>
                              <w:t>R$ 121.044,42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29.30000000000001pt;margin-top:1.pt;width:66.25pt;height:63.350000000000001pt;z-index:-125829341;mso-wrap-distance-left:44.050000000000004pt;mso-wrap-distance-right:9.pt;mso-wrap-distance-bottom:1.4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u w:val="single"/>
                        </w:rPr>
                        <w:t>R$ 69.843,96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  <w:u w:val="single"/>
                        </w:rPr>
                        <w:t>R$ 2.465,06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220"/>
                        <w:jc w:val="left"/>
                      </w:pPr>
                      <w:r>
                        <w:rPr>
                          <w:rStyle w:val="CharStyle23"/>
                          <w:u w:val="single"/>
                        </w:rPr>
                        <w:t>R$ 7.177,77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  <w:u w:val="single"/>
                        </w:rPr>
                        <w:t>R$ 41.557,63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  <w:b/>
                          <w:bCs/>
                          <w:u w:val="single"/>
                        </w:rPr>
                        <w:t>R$ 121.044,42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3"/>
        </w:rPr>
        <w:t>Caixa e Equivalente de Caixa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1740" w:right="0" w:firstLine="40"/>
        <w:jc w:val="left"/>
      </w:pPr>
      <w:r>
        <w:rPr>
          <w:rStyle w:val="CharStyle23"/>
        </w:rPr>
        <w:t>Valores em trans. Realizáveis a C. Prazo Créditos a receber - Salário Família Outros Valores a Receber a Curto Prazo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60" w:line="283" w:lineRule="auto"/>
        <w:ind w:left="3440" w:right="0" w:firstLine="0"/>
        <w:jc w:val="left"/>
      </w:pPr>
      <w:r>
        <w:rPr>
          <w:rStyle w:val="CharStyle23"/>
          <w:b/>
          <w:bCs/>
        </w:rPr>
        <w:t>TOTAL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1740" w:right="0" w:firstLine="0"/>
        <w:jc w:val="both"/>
      </w:pPr>
      <w:bookmarkStart w:id="19" w:name="bookmark19"/>
      <w:r>
        <w:rPr>
          <w:rStyle w:val="CharStyle21"/>
          <w:b/>
          <w:bCs/>
        </w:rPr>
        <w:t>PASSIVO:</w:t>
      </w:r>
      <w:bookmarkEnd w:id="19"/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3175" distL="0" distR="0" simplePos="0" relativeHeight="125829414" behindDoc="0" locked="0" layoutInCell="1" allowOverlap="1">
                <wp:simplePos x="0" y="0"/>
                <wp:positionH relativeFrom="page">
                  <wp:posOffset>2309495</wp:posOffset>
                </wp:positionH>
                <wp:positionV relativeFrom="paragraph">
                  <wp:posOffset>12700</wp:posOffset>
                </wp:positionV>
                <wp:extent cx="1591310" cy="43878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131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Consignações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Restos à pagar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</w:rPr>
                              <w:t>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81.84999999999999pt;margin-top:1.pt;width:125.3pt;height:34.550000000000004pt;z-index:-125829339;mso-wrap-distance-left:0;mso-wrap-distance-top:1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Consignações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Restos à pagar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0" w:right="0" w:firstLine="0"/>
                        <w:jc w:val="left"/>
                      </w:pPr>
                      <w:r>
                        <w:rPr>
                          <w:rStyle w:val="CharStyle23"/>
                          <w:b/>
                          <w:bCs/>
                        </w:rPr>
                        <w:t>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3175" distL="0" distR="0" simplePos="0" relativeHeight="125829416" behindDoc="0" locked="0" layoutInCell="1" allowOverlap="1">
                <wp:simplePos x="0" y="0"/>
                <wp:positionH relativeFrom="page">
                  <wp:posOffset>4939665</wp:posOffset>
                </wp:positionH>
                <wp:positionV relativeFrom="paragraph">
                  <wp:posOffset>15875</wp:posOffset>
                </wp:positionV>
                <wp:extent cx="176530" cy="43561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435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R$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R$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R$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88.94999999999999pt;margin-top:1.25pt;width:13.9pt;height:34.300000000000004pt;z-index:-125829337;mso-wrap-distance-left:0;mso-wrap-distance-top:1.25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R$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R$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R$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0" distL="0" distR="0" simplePos="0" relativeHeight="125829418" behindDoc="0" locked="0" layoutInCell="1" allowOverlap="1">
                <wp:simplePos x="0" y="0"/>
                <wp:positionH relativeFrom="page">
                  <wp:posOffset>5445760</wp:posOffset>
                </wp:positionH>
                <wp:positionV relativeFrom="paragraph">
                  <wp:posOffset>12700</wp:posOffset>
                </wp:positionV>
                <wp:extent cx="758825" cy="44196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4419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  <w:u w:val="single"/>
                              </w:rPr>
                              <w:t>R$ 34.131,04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  <w:u w:val="single"/>
                              </w:rPr>
                              <w:t>R$ 5,33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23"/>
                                <w:b/>
                                <w:bCs/>
                                <w:u w:val="single"/>
                              </w:rPr>
                              <w:t>R$ 34,136,37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28.80000000000001pt;margin-top:1.pt;width:59.75pt;height:34.800000000000004pt;z-index:-125829335;mso-wrap-distance-left:0;mso-wrap-distance-top:1.pt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  <w:u w:val="single"/>
                        </w:rPr>
                        <w:t>R$ 34.131,04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  <w:u w:val="single"/>
                        </w:rPr>
                        <w:t>R$ 5,33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23"/>
                          <w:b/>
                          <w:bCs/>
                          <w:u w:val="single"/>
                        </w:rPr>
                        <w:t>R$ 34,136,37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rStyle w:val="CharStyle10"/>
        </w:rPr>
        <w:t>O Anexo 11, sob a denominação de Demonstrativo das Despesas Autorizada com 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838" w:right="1169" w:bottom="1225" w:left="1837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Realizada, elaborado segundo normas da Contabilidade Aplicada ao Setor Público </w:t>
      </w:r>
      <w:r>
        <w:rPr>
          <w:rStyle w:val="CharStyle10"/>
        </w:rPr>
        <w:t xml:space="preserve">demonstra todas as despesas </w:t>
      </w:r>
      <w:r>
        <w:rPr>
          <w:rStyle w:val="CharStyle10"/>
          <w:lang w:val="pt-BR" w:eastAsia="pt-BR" w:bidi="pt-BR"/>
        </w:rPr>
        <w:t xml:space="preserve">orçamentárias </w:t>
      </w:r>
      <w:r>
        <w:rPr>
          <w:rStyle w:val="CharStyle10"/>
        </w:rPr>
        <w:t>empenhadas no exercício financeiro de</w:t>
      </w:r>
    </w:p>
    <w:p>
      <w:pPr>
        <w:pStyle w:val="Style2"/>
        <w:keepNext w:val="0"/>
        <w:keepLines w:val="0"/>
        <w:framePr w:w="7267" w:h="408" w:wrap="none" w:hAnchor="page" w:x="3044" w:y="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framePr w:w="8861" w:h="2174" w:wrap="none" w:hAnchor="page" w:x="2252" w:y="88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Style w:val="CharStyle10"/>
        </w:rPr>
        <w:t>2025, que totaliza R$ 4.278.659,00 (Quatro milhões, duzentos e setenta e oito mil, seiscentos e cinquenta e nove reais).</w:t>
      </w:r>
    </w:p>
    <w:p>
      <w:pPr>
        <w:pStyle w:val="Style9"/>
        <w:keepNext w:val="0"/>
        <w:keepLines w:val="0"/>
        <w:framePr w:w="8861" w:h="2174" w:wrap="none" w:hAnchor="page" w:x="2252" w:y="88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both"/>
      </w:pPr>
      <w:r>
        <w:rPr>
          <w:rStyle w:val="CharStyle10"/>
        </w:rPr>
        <w:t>Ao longo do exercício financeiro de 2025, obedecendo aos limites impostos pelo art. 7</w:t>
      </w:r>
      <w:r>
        <w:rPr>
          <w:rStyle w:val="CharStyle10"/>
          <w:vertAlign w:val="superscript"/>
        </w:rPr>
        <w:t xml:space="preserve">o </w:t>
      </w:r>
      <w:r>
        <w:rPr>
          <w:rStyle w:val="CharStyle10"/>
        </w:rPr>
        <w:t xml:space="preserve">da Lei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 xml:space="preserve">foram realizadas alterações </w:t>
      </w:r>
      <w:r>
        <w:rPr>
          <w:rStyle w:val="CharStyle10"/>
          <w:lang w:val="pt-BR" w:eastAsia="pt-BR" w:bidi="pt-BR"/>
        </w:rPr>
        <w:t xml:space="preserve">orçamentárias, </w:t>
      </w:r>
      <w:r>
        <w:rPr>
          <w:rStyle w:val="CharStyle10"/>
        </w:rPr>
        <w:t>no total de R$1.639.727,00 (Um milhão, seiscentos e trinta e nove mil, setecentos e vinte e sete</w:t>
      </w:r>
    </w:p>
    <w:p>
      <w:pPr>
        <w:pStyle w:val="Style9"/>
        <w:keepNext w:val="0"/>
        <w:keepLines w:val="0"/>
        <w:framePr w:w="2482" w:h="307" w:wrap="none" w:hAnchor="page" w:x="2262" w:y="30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reais), assim detalhadas:</w:t>
      </w:r>
    </w:p>
    <w:p>
      <w:pPr>
        <w:pStyle w:val="Style9"/>
        <w:keepNext w:val="0"/>
        <w:keepLines w:val="0"/>
        <w:framePr w:w="4618" w:h="317" w:wrap="none" w:hAnchor="page" w:x="4383" w:y="39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Créditos Suplementares R$ 2.492.839,53</w:t>
      </w:r>
    </w:p>
    <w:p>
      <w:pPr>
        <w:pStyle w:val="Style9"/>
        <w:keepNext w:val="0"/>
        <w:keepLines w:val="0"/>
        <w:framePr w:w="2203" w:h="307" w:wrap="none" w:hAnchor="page" w:x="4379" w:y="43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Anulação de Dotação</w:t>
      </w:r>
    </w:p>
    <w:p>
      <w:pPr>
        <w:pStyle w:val="Style9"/>
        <w:keepNext w:val="0"/>
        <w:keepLines w:val="0"/>
        <w:framePr w:w="1848" w:h="298" w:wrap="none" w:hAnchor="page" w:x="7148" w:y="43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R$ 853.112,53</w:t>
      </w:r>
    </w:p>
    <w:p>
      <w:pPr>
        <w:pStyle w:val="Style20"/>
        <w:keepNext/>
        <w:keepLines/>
        <w:framePr w:w="4123" w:h="317" w:wrap="none" w:hAnchor="page" w:x="4643" w:y="52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" w:name="bookmark21"/>
      <w:r>
        <w:rPr>
          <w:rStyle w:val="CharStyle21"/>
          <w:b/>
          <w:bCs/>
        </w:rPr>
        <w:t>DAS INFORMAÇÕES DE PESSOAL</w:t>
      </w:r>
      <w:bookmarkEnd w:id="21"/>
    </w:p>
    <w:p>
      <w:pPr>
        <w:pStyle w:val="Style9"/>
        <w:keepNext w:val="0"/>
        <w:keepLines w:val="0"/>
        <w:framePr w:w="8851" w:h="1714" w:wrap="none" w:hAnchor="page" w:x="2281" w:y="604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rStyle w:val="CharStyle10"/>
        </w:rPr>
        <w:t xml:space="preserve">Já a despesa com a folha de pagamento do Poder Legislativo atendeu aos parâmetros previstos no art. 29-A, §1° da Constituição Federal/88, alcançando R$ 2.416.901,35 (Dois milhões, quatrocentos e </w:t>
      </w:r>
      <w:r>
        <w:rPr>
          <w:rStyle w:val="CharStyle10"/>
          <w:lang w:val="pt-BR" w:eastAsia="pt-BR" w:bidi="pt-BR"/>
        </w:rPr>
        <w:t xml:space="preserve">dezesseis </w:t>
      </w:r>
      <w:r>
        <w:rPr>
          <w:rStyle w:val="CharStyle10"/>
        </w:rPr>
        <w:t>mil, novecentos e um reais e trinta e cinco centavos), que corresponde a 56,48% do total dos repasses recebidos em 2025.</w:t>
      </w:r>
    </w:p>
    <w:p>
      <w:pPr>
        <w:pStyle w:val="Style20"/>
        <w:keepNext/>
        <w:keepLines/>
        <w:framePr w:w="696" w:h="298" w:wrap="none" w:hAnchor="page" w:x="2766" w:y="8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" w:name="bookmark23"/>
      <w:r>
        <w:rPr>
          <w:rStyle w:val="CharStyle21"/>
          <w:b/>
          <w:bCs/>
        </w:rPr>
        <w:t>Meses</w:t>
      </w:r>
      <w:bookmarkEnd w:id="23"/>
    </w:p>
    <w:p>
      <w:pPr>
        <w:pStyle w:val="Style22"/>
        <w:keepNext w:val="0"/>
        <w:keepLines w:val="0"/>
        <w:framePr w:w="1032" w:h="3970" w:wrap="none" w:hAnchor="page" w:x="2612" w:y="9261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3"/>
          <w:sz w:val="20"/>
          <w:szCs w:val="20"/>
        </w:rPr>
        <w:t>Janeiro</w:t>
        <w:br/>
        <w:t>Fevereiro</w:t>
      </w:r>
    </w:p>
    <w:p>
      <w:pPr>
        <w:pStyle w:val="Style22"/>
        <w:keepNext w:val="0"/>
        <w:keepLines w:val="0"/>
        <w:framePr w:w="1032" w:h="3970" w:wrap="none" w:hAnchor="page" w:x="2612" w:y="9261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3"/>
          <w:sz w:val="20"/>
          <w:szCs w:val="20"/>
        </w:rPr>
        <w:t>Março</w:t>
        <w:br/>
        <w:t>Abril</w:t>
        <w:br/>
        <w:t>Maio</w:t>
      </w:r>
    </w:p>
    <w:p>
      <w:pPr>
        <w:pStyle w:val="Style22"/>
        <w:keepNext w:val="0"/>
        <w:keepLines w:val="0"/>
        <w:framePr w:w="1032" w:h="3970" w:wrap="none" w:hAnchor="page" w:x="2612" w:y="9261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3"/>
          <w:sz w:val="20"/>
          <w:szCs w:val="20"/>
        </w:rPr>
        <w:t>Junho</w:t>
        <w:br/>
        <w:t>Julho</w:t>
      </w:r>
    </w:p>
    <w:p>
      <w:pPr>
        <w:pStyle w:val="Style22"/>
        <w:keepNext w:val="0"/>
        <w:keepLines w:val="0"/>
        <w:framePr w:w="1032" w:h="3970" w:wrap="none" w:hAnchor="page" w:x="2612" w:y="9261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3"/>
          <w:sz w:val="20"/>
          <w:szCs w:val="20"/>
        </w:rPr>
        <w:t>Agosto</w:t>
        <w:br/>
        <w:t>Setembro</w:t>
      </w:r>
    </w:p>
    <w:p>
      <w:pPr>
        <w:pStyle w:val="Style22"/>
        <w:keepNext w:val="0"/>
        <w:keepLines w:val="0"/>
        <w:framePr w:w="1032" w:h="3970" w:wrap="none" w:hAnchor="page" w:x="2612" w:y="9261"/>
        <w:widowControl w:val="0"/>
        <w:shd w:val="clear" w:color="auto" w:fill="auto"/>
        <w:bidi w:val="0"/>
        <w:spacing w:before="0" w:after="0" w:line="319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23"/>
          <w:sz w:val="20"/>
          <w:szCs w:val="20"/>
        </w:rPr>
        <w:t>Outubro</w:t>
        <w:br/>
        <w:t>Novembro</w:t>
        <w:br/>
        <w:t>Dezembro</w:t>
      </w:r>
    </w:p>
    <w:p>
      <w:pPr>
        <w:pStyle w:val="Style9"/>
        <w:keepNext w:val="0"/>
        <w:keepLines w:val="0"/>
        <w:framePr w:w="1032" w:h="3970" w:wrap="none" w:hAnchor="page" w:x="2612" w:y="926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rStyle w:val="CharStyle10"/>
          <w:b/>
          <w:bCs/>
        </w:rPr>
        <w:t>TOTAL</w:t>
      </w:r>
    </w:p>
    <w:p>
      <w:pPr>
        <w:pStyle w:val="Style20"/>
        <w:keepNext/>
        <w:keepLines/>
        <w:framePr w:w="1843" w:h="307" w:wrap="none" w:hAnchor="page" w:x="3985" w:y="8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" w:name="bookmark25"/>
      <w:r>
        <w:rPr>
          <w:rStyle w:val="CharStyle21"/>
          <w:b/>
          <w:bCs/>
        </w:rPr>
        <w:t>Valor do Repasse</w:t>
      </w:r>
      <w:bookmarkEnd w:id="25"/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315.348,84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315.348,84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315.000,00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480.588,81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 ’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356.571,62</w:t>
      </w:r>
    </w:p>
    <w:p>
      <w:pPr>
        <w:pStyle w:val="Style9"/>
        <w:keepNext w:val="0"/>
        <w:keepLines w:val="0"/>
        <w:framePr w:w="1339" w:h="3955" w:wrap="none" w:hAnchor="page" w:x="4268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4.278.859,45</w:t>
      </w:r>
    </w:p>
    <w:p>
      <w:pPr>
        <w:pStyle w:val="Style20"/>
        <w:keepNext/>
        <w:keepLines/>
        <w:framePr w:w="1070" w:h="298" w:wrap="none" w:hAnchor="page" w:x="6164" w:y="87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rStyle w:val="CharStyle21"/>
          <w:b/>
          <w:bCs/>
        </w:rPr>
        <w:t>Valor 70%</w:t>
      </w:r>
      <w:bookmarkEnd w:id="27"/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220.744,19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220.744,19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220.500,00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336.412,17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249.600,13</w:t>
      </w:r>
    </w:p>
    <w:p>
      <w:pPr>
        <w:pStyle w:val="Style9"/>
        <w:keepNext w:val="0"/>
        <w:keepLines w:val="0"/>
        <w:framePr w:w="1306" w:h="3946" w:wrap="none" w:hAnchor="page" w:x="6068" w:y="9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2.995.201,62</w:t>
      </w:r>
    </w:p>
    <w:p>
      <w:pPr>
        <w:pStyle w:val="Style20"/>
        <w:keepNext/>
        <w:keepLines/>
        <w:framePr w:w="1742" w:h="4598" w:wrap="none" w:hAnchor="page" w:x="7532" w:y="863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bookmarkStart w:id="29" w:name="bookmark29"/>
      <w:r>
        <w:rPr>
          <w:rStyle w:val="CharStyle21"/>
          <w:b/>
          <w:bCs/>
        </w:rPr>
        <w:t>Valor Gasto com</w:t>
        <w:br/>
        <w:t>Pessoal</w:t>
      </w:r>
      <w:bookmarkEnd w:id="29"/>
    </w:p>
    <w:p>
      <w:pPr>
        <w:pStyle w:val="Style9"/>
        <w:keepNext w:val="0"/>
        <w:keepLines w:val="0"/>
        <w:framePr w:w="1742" w:h="4598" w:wrap="none" w:hAnchor="page" w:x="7532" w:y="8632"/>
        <w:widowControl w:val="0"/>
        <w:shd w:val="clear" w:color="auto" w:fill="auto"/>
        <w:bidi w:val="0"/>
        <w:spacing w:before="0" w:after="0" w:line="266" w:lineRule="auto"/>
        <w:ind w:left="340" w:right="0" w:firstLine="0"/>
        <w:jc w:val="both"/>
      </w:pPr>
      <w:r>
        <w:rPr>
          <w:rStyle w:val="CharStyle10"/>
        </w:rPr>
        <w:t>144.463,50 192.616,10 191.949,43 190.349,43 197.487,83 238.844,88 190.050,79 195.850,79 197.223,03 201.068,79 202.047,37 274.949,41</w:t>
      </w:r>
    </w:p>
    <w:p>
      <w:pPr>
        <w:pStyle w:val="Style9"/>
        <w:keepNext w:val="0"/>
        <w:keepLines w:val="0"/>
        <w:framePr w:w="1742" w:h="4598" w:wrap="none" w:hAnchor="page" w:x="7532" w:y="8632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rStyle w:val="CharStyle10"/>
          <w:b/>
          <w:bCs/>
        </w:rPr>
        <w:t>2.416.901,35</w:t>
      </w:r>
    </w:p>
    <w:p>
      <w:pPr>
        <w:pStyle w:val="Style20"/>
        <w:keepNext/>
        <w:keepLines/>
        <w:framePr w:w="1526" w:h="302" w:wrap="none" w:hAnchor="page" w:x="9687" w:y="87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1" w:name="bookmark31"/>
      <w:r>
        <w:rPr>
          <w:rStyle w:val="CharStyle21"/>
          <w:b/>
          <w:bCs/>
        </w:rPr>
        <w:t>Diferença (+/-)</w:t>
      </w:r>
      <w:bookmarkEnd w:id="31"/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76.280,69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28.128,09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28.550,57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59.250,70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0"/>
        </w:rPr>
        <w:t>138.924,34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10.755,25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59.549,34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53.749,34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52.377,10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48.531,34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47.552,76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u w:val="single"/>
        </w:rPr>
        <w:t>(25.349,28)</w:t>
      </w:r>
    </w:p>
    <w:p>
      <w:pPr>
        <w:pStyle w:val="Style9"/>
        <w:keepNext w:val="0"/>
        <w:keepLines w:val="0"/>
        <w:framePr w:w="1186" w:h="3950" w:wrap="none" w:hAnchor="page" w:x="10335" w:y="9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578.300,27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0</wp:posOffset>
            </wp:positionH>
            <wp:positionV relativeFrom="margin">
              <wp:posOffset>1369060</wp:posOffset>
            </wp:positionV>
            <wp:extent cx="377825" cy="810133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77825" cy="810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0" w:right="380" w:bottom="2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40"/>
        <w:jc w:val="both"/>
      </w:pPr>
      <w:r>
        <w:drawing>
          <wp:anchor distT="0" distB="0" distL="114300" distR="114300" simplePos="0" relativeHeight="125829420" behindDoc="0" locked="0" layoutInCell="1" allowOverlap="1">
            <wp:simplePos x="0" y="0"/>
            <wp:positionH relativeFrom="page">
              <wp:posOffset>16510</wp:posOffset>
            </wp:positionH>
            <wp:positionV relativeFrom="margin">
              <wp:posOffset>225425</wp:posOffset>
            </wp:positionV>
            <wp:extent cx="347345" cy="9235440"/>
            <wp:wrapSquare wrapText="bothSides"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47345" cy="9235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smallCaps/>
        </w:rPr>
        <w:t>Câmara Municipal de São Paulo de Olivença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33" w:name="bookmark33"/>
      <w:r>
        <w:rPr>
          <w:rStyle w:val="CharStyle21"/>
          <w:b/>
          <w:bCs/>
        </w:rPr>
        <w:t>RELATÓRIO DE GESTÃO FISCAL</w:t>
      </w:r>
      <w:bookmarkEnd w:id="33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both"/>
      </w:pPr>
      <w:r>
        <w:rPr>
          <w:rStyle w:val="CharStyle10"/>
        </w:rPr>
        <w:t>O Relatório de Gestão Fiscal, definido nos art. 54 e 55 da Lei de Responsabilidade Fiscal demonstra o cumprimento das metas fiscais e dos limites instituídos pela lei fiscal, bem como garantir maior transparência na gestão publica, tendo sido elaborados conforme prescrição legal.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84" w:lineRule="auto"/>
        <w:ind w:left="0" w:right="0" w:firstLine="0"/>
        <w:jc w:val="both"/>
      </w:pPr>
      <w:r>
        <w:rPr>
          <w:rStyle w:val="CharStyle10"/>
        </w:rPr>
        <w:t>Compõe o Relatório de Gestão Fiscal do Poder Legislativo referente ao encerramento do exercício: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740" w:right="0" w:firstLine="20"/>
        <w:jc w:val="both"/>
      </w:pPr>
      <w:r>
        <w:rPr>
          <w:rStyle w:val="CharStyle10"/>
        </w:rPr>
        <w:t>Demonstrativo da Despesa com Pessoal - Anexo I do Manual de Demonstrações Fiscais da STN;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740" w:right="0" w:firstLine="20"/>
        <w:jc w:val="both"/>
      </w:pPr>
      <w:r>
        <w:rPr>
          <w:rStyle w:val="CharStyle10"/>
        </w:rPr>
        <w:t>Demonstrativo de Disponibilidade de Caixa - Anexo V do Manual de Demonstrações Fiscais da STN;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740" w:right="0" w:firstLine="20"/>
        <w:jc w:val="both"/>
      </w:pPr>
      <w:r>
        <w:rPr>
          <w:rStyle w:val="CharStyle10"/>
        </w:rPr>
        <w:t>Demonstrativo de Restos a Pagar - Anexo VI do Manual de Demonstrações Fiscais da STN;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7" w:lineRule="auto"/>
        <w:ind w:left="740" w:right="0" w:firstLine="20"/>
        <w:jc w:val="both"/>
      </w:pPr>
      <w:r>
        <w:rPr>
          <w:rStyle w:val="CharStyle10"/>
        </w:rPr>
        <w:t>Demonstrativo Simplificado do Relatório de Gestão Fiscal - Anexo VII do Manual de Demonstrações Fiscais da STN.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74" w:lineRule="auto"/>
        <w:ind w:left="0" w:right="0" w:firstLine="0"/>
        <w:jc w:val="both"/>
      </w:pPr>
      <w:r>
        <w:rPr>
          <w:rStyle w:val="CharStyle10"/>
        </w:rPr>
        <w:t xml:space="preserve">Os atos administrativos de natureza </w:t>
      </w:r>
      <w:r>
        <w:rPr>
          <w:rStyle w:val="CharStyle10"/>
          <w:lang w:val="pt-BR" w:eastAsia="pt-BR" w:bidi="pt-BR"/>
        </w:rPr>
        <w:t xml:space="preserve">orçamentária </w:t>
      </w:r>
      <w:r>
        <w:rPr>
          <w:rStyle w:val="CharStyle10"/>
        </w:rPr>
        <w:t>e financeira atenderam a princípio da legalidade, estando em consonância com os dispositivos da Lei n° 4.320/64 e da Lei Orgânica Municipal.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35" w:name="bookmark35"/>
      <w:r>
        <w:rPr>
          <w:rStyle w:val="CharStyle21"/>
          <w:b/>
          <w:bCs/>
        </w:rPr>
        <w:t>CONCLUSÕES</w:t>
      </w:r>
      <w:bookmarkEnd w:id="3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360" w:lineRule="auto"/>
        <w:ind w:left="0" w:right="0" w:firstLine="0"/>
        <w:jc w:val="both"/>
      </w:pPr>
      <w:r>
        <w:rPr>
          <w:rStyle w:val="CharStyle10"/>
        </w:rPr>
        <w:t>Este Relatório tem como objetivo cumprir o disposto na Resolução TCE/AM 006/2009, art. I</w:t>
      </w:r>
      <w:r>
        <w:rPr>
          <w:rStyle w:val="CharStyle10"/>
          <w:vertAlign w:val="superscript"/>
        </w:rPr>
        <w:t>o</w:t>
      </w:r>
      <w:r>
        <w:rPr>
          <w:rStyle w:val="CharStyle10"/>
        </w:rPr>
        <w:t xml:space="preserve"> inciso V, bem como atender ao Princípio da Transparência na Gestão Fiscal disposto na Lei de Responsabilidade Fiscal e estará, para isso, disponível a qualquer cidadão no </w:t>
      </w:r>
      <w:r>
        <w:rPr>
          <w:rStyle w:val="CharStyle10"/>
          <w:lang w:val="pt-BR" w:eastAsia="pt-BR" w:bidi="pt-BR"/>
        </w:rPr>
        <w:t xml:space="preserve">site </w:t>
      </w:r>
      <w:r>
        <w:rPr>
          <w:rStyle w:val="CharStyle10"/>
        </w:rPr>
        <w:t xml:space="preserve">do Portal da Transparência do Poder Legislativo, no endereço </w:t>
      </w:r>
      <w:r>
        <w:fldChar w:fldCharType="begin"/>
      </w:r>
      <w:r>
        <w:rPr/>
        <w:instrText> HYPERLINK "http://www.transparencia-am.com.br" </w:instrText>
      </w:r>
      <w:r>
        <w:fldChar w:fldCharType="separate"/>
      </w:r>
      <w:r>
        <w:rPr>
          <w:rStyle w:val="CharStyle10"/>
        </w:rPr>
        <w:t xml:space="preserve">www.transparencia- </w:t>
      </w:r>
      <w:r>
        <w:rPr>
          <w:rStyle w:val="CharStyle10"/>
          <w:lang w:val="en-US" w:eastAsia="en-US" w:bidi="en-US"/>
        </w:rPr>
        <w:t>am.com.br</w:t>
      </w:r>
      <w:r>
        <w:fldChar w:fldCharType="end"/>
      </w:r>
      <w:r>
        <w:rPr>
          <w:rStyle w:val="CharStyle10"/>
          <w:lang w:val="en-US" w:eastAsia="en-US" w:bidi="en-US"/>
        </w:rPr>
        <w:t xml:space="preserve">, </w:t>
      </w:r>
      <w:r>
        <w:rPr>
          <w:rStyle w:val="CharStyle10"/>
        </w:rPr>
        <w:t>de forma que os cidadãos possam exercer plenamente sua cidadania, no que concerne ao processo de fiscalização das contas públicas.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drawing>
          <wp:anchor distT="0" distB="0" distL="114300" distR="114300" simplePos="0" relativeHeight="125829421" behindDoc="0" locked="0" layoutInCell="1" allowOverlap="1">
            <wp:simplePos x="0" y="0"/>
            <wp:positionH relativeFrom="page">
              <wp:posOffset>0</wp:posOffset>
            </wp:positionH>
            <wp:positionV relativeFrom="margin">
              <wp:posOffset>140335</wp:posOffset>
            </wp:positionV>
            <wp:extent cx="377825" cy="9320530"/>
            <wp:wrapSquare wrapText="bothSides"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77825" cy="93205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smallCaps/>
        </w:rPr>
        <w:t>Câmara Municipal de São Paulo de Olivença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360" w:lineRule="auto"/>
        <w:ind w:left="0" w:right="0" w:firstLine="0"/>
        <w:jc w:val="both"/>
      </w:pPr>
      <w:r>
        <w:rPr>
          <w:rStyle w:val="CharStyle10"/>
        </w:rPr>
        <w:t xml:space="preserve">Procuramos, no presente relatório, demonstrar os principais aspectos da gestão legislativa, </w:t>
      </w:r>
      <w:r>
        <w:rPr>
          <w:rStyle w:val="CharStyle10"/>
          <w:lang w:val="pt-BR" w:eastAsia="pt-BR" w:bidi="pt-BR"/>
        </w:rPr>
        <w:t xml:space="preserve">orçamentária, </w:t>
      </w:r>
      <w:r>
        <w:rPr>
          <w:rStyle w:val="CharStyle10"/>
        </w:rPr>
        <w:t>financeira e patrimonial do exercício financeiro de 2025, com clareza e objetividade, colocando-nos à disposição para quaisquer outros esclarecimentos que se fizerem necessários.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rStyle w:val="CharStyle10"/>
        </w:rPr>
        <w:t>São Paulo de Olivença (AM), 31 de dezembro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120" w:after="260" w:line="240" w:lineRule="auto"/>
        <w:ind w:left="0" w:right="0" w:firstLine="0"/>
        <w:jc w:val="center"/>
      </w:pPr>
      <w:r>
        <mc:AlternateContent>
          <mc:Choice Requires="wps">
            <w:drawing>
              <wp:anchor distT="1107440" distB="12700" distL="114300" distR="1287780" simplePos="0" relativeHeight="125829422" behindDoc="0" locked="0" layoutInCell="1" allowOverlap="1">
                <wp:simplePos x="0" y="0"/>
                <wp:positionH relativeFrom="page">
                  <wp:posOffset>3307080</wp:posOffset>
                </wp:positionH>
                <wp:positionV relativeFrom="margin">
                  <wp:posOffset>3489960</wp:posOffset>
                </wp:positionV>
                <wp:extent cx="692150" cy="18923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21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JORGE Ri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60.39999999999998pt;margin-top:274.80000000000001pt;width:54.5pt;height:14.9pt;z-index:-125829331;mso-wrap-distance-left:9.pt;mso-wrap-distance-top:87.200000000000003pt;mso-wrap-distance-right:101.40000000000001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JORGE Ri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92200" distB="12700" distL="1266190" distR="114935" simplePos="0" relativeHeight="125829424" behindDoc="0" locked="0" layoutInCell="1" allowOverlap="1">
                <wp:simplePos x="0" y="0"/>
                <wp:positionH relativeFrom="page">
                  <wp:posOffset>4458970</wp:posOffset>
                </wp:positionH>
                <wp:positionV relativeFrom="margin">
                  <wp:posOffset>3474720</wp:posOffset>
                </wp:positionV>
                <wp:extent cx="713105" cy="20447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ÓLUCAS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51.10000000000002pt;margin-top:273.60000000000002pt;width:56.149999999999999pt;height:16.100000000000001pt;z-index:-125829329;mso-wrap-distance-left:99.700000000000003pt;mso-wrap-distance-top:86.pt;mso-wrap-distance-right:9.0500000000000007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ÓLUCAS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CharStyle10"/>
        </w:rPr>
        <w:t>Presidente da Câmara Municipal</w:t>
      </w:r>
    </w:p>
    <w:sectPr>
      <w:footnotePr>
        <w:pos w:val="pageBottom"/>
        <w:numFmt w:val="decimal"/>
        <w:numRestart w:val="continuous"/>
      </w:footnotePr>
      <w:pgSz w:w="11900" w:h="16840"/>
      <w:pgMar w:top="1702" w:right="790" w:bottom="1458" w:left="222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161290</wp:posOffset>
              </wp:positionH>
              <wp:positionV relativeFrom="page">
                <wp:posOffset>9371330</wp:posOffset>
              </wp:positionV>
              <wp:extent cx="52070" cy="11557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2.700000000000001pt;margin-top:737.89999999999998pt;width:4.0999999999999996pt;height:9.0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133985</wp:posOffset>
              </wp:positionH>
              <wp:positionV relativeFrom="page">
                <wp:posOffset>9115425</wp:posOffset>
              </wp:positionV>
              <wp:extent cx="54610" cy="12509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0.550000000000001pt;margin-top:717.75pt;width:4.2999999999999998pt;height:9.8499999999999996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3745230</wp:posOffset>
              </wp:positionH>
              <wp:positionV relativeFrom="page">
                <wp:posOffset>239395</wp:posOffset>
              </wp:positionV>
              <wp:extent cx="466090" cy="5702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570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57277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4.90000000000003pt;margin-top:18.850000000000001pt;width:36.700000000000003pt;height:44.8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57277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3348990</wp:posOffset>
              </wp:positionH>
              <wp:positionV relativeFrom="page">
                <wp:posOffset>857885</wp:posOffset>
              </wp:positionV>
              <wp:extent cx="1545590" cy="1130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4559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Estado do Amazonas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263.69999999999999pt;margin-top:67.549999999999997pt;width:121.7pt;height:8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Estado do Amazonas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3883025</wp:posOffset>
              </wp:positionH>
              <wp:positionV relativeFrom="page">
                <wp:posOffset>334010</wp:posOffset>
              </wp:positionV>
              <wp:extent cx="466090" cy="5670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5670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567055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56705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5.75pt;margin-top:26.300000000000001pt;width:36.700000000000003pt;height:44.649999999999999pt;z-index:-18874405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567055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56705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3312795</wp:posOffset>
              </wp:positionH>
              <wp:positionV relativeFrom="page">
                <wp:posOffset>953135</wp:posOffset>
              </wp:positionV>
              <wp:extent cx="1542415" cy="1155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42415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Estado do Amazonas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60.85000000000002pt;margin-top:75.049999999999997pt;width:121.45pt;height:9.09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Estado do Amazonas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3862070</wp:posOffset>
              </wp:positionH>
              <wp:positionV relativeFrom="page">
                <wp:posOffset>340360</wp:posOffset>
              </wp:positionV>
              <wp:extent cx="466090" cy="5607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5607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560705"/>
                                <wp:docPr id="18" name="Picutre 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5607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4.10000000000002pt;margin-top:26.800000000000001pt;width:36.700000000000003pt;height:44.149999999999999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560705"/>
                          <wp:docPr id="20" name="Picutre 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5607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3288665</wp:posOffset>
              </wp:positionH>
              <wp:positionV relativeFrom="page">
                <wp:posOffset>953135</wp:posOffset>
              </wp:positionV>
              <wp:extent cx="1542415" cy="1130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42415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Estado do Amazonas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258.94999999999999pt;margin-top:75.049999999999997pt;width:121.45pt;height:8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Estado do Amazonas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3745230</wp:posOffset>
              </wp:positionH>
              <wp:positionV relativeFrom="page">
                <wp:posOffset>239395</wp:posOffset>
              </wp:positionV>
              <wp:extent cx="466090" cy="57023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6090" cy="5702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9265" cy="572770"/>
                                <wp:docPr id="56" name="Picutre 5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9265" cy="5727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294.90000000000003pt;margin-top:18.850000000000001pt;width:36.700000000000003pt;height:44.899999999999999pt;z-index:-18874404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9265" cy="572770"/>
                          <wp:docPr id="58" name="Picutre 5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9265" cy="5727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3348990</wp:posOffset>
              </wp:positionH>
              <wp:positionV relativeFrom="page">
                <wp:posOffset>857885</wp:posOffset>
              </wp:positionV>
              <wp:extent cx="1545590" cy="11303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4559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Estado do Amazonas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263.69999999999999pt;margin-top:67.549999999999997pt;width:121.7pt;height:8.9000000000000004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Estado do Amazonas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/>
      <w:strike w:val="0"/>
      <w:sz w:val="34"/>
      <w:szCs w:val="34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Body text|4_"/>
    <w:basedOn w:val="DefaultParagraphFont"/>
    <w:link w:val="Style1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|5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color w:val="7979B8"/>
      <w:sz w:val="14"/>
      <w:szCs w:val="14"/>
      <w:u w:val="none"/>
    </w:rPr>
  </w:style>
  <w:style w:type="character" w:customStyle="1" w:styleId="CharStyle21">
    <w:name w:val="Heading #2|1_"/>
    <w:basedOn w:val="DefaultParagraphFont"/>
    <w:link w:val="Style20"/>
    <w:rPr>
      <w:b/>
      <w:bCs/>
      <w:i w:val="0"/>
      <w:iCs w:val="0"/>
      <w:smallCaps w:val="0"/>
      <w:strike w:val="0"/>
      <w:u w:val="none"/>
    </w:rPr>
  </w:style>
  <w:style w:type="character" w:customStyle="1" w:styleId="CharStyle23">
    <w:name w:val="Body text|3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420"/>
      <w:jc w:val="center"/>
    </w:pPr>
    <w:rPr>
      <w:b w:val="0"/>
      <w:bCs w:val="0"/>
      <w:i w:val="0"/>
      <w:iCs w:val="0"/>
      <w:smallCaps/>
      <w:strike w:val="0"/>
      <w:sz w:val="34"/>
      <w:szCs w:val="34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auto"/>
      <w:spacing w:after="2290"/>
      <w:jc w:val="center"/>
      <w:outlineLvl w:val="0"/>
    </w:pPr>
    <w:rPr>
      <w:b/>
      <w:bCs/>
      <w:i w:val="0"/>
      <w:iCs w:val="0"/>
      <w:smallCaps w:val="0"/>
      <w:strike w:val="0"/>
      <w:sz w:val="38"/>
      <w:szCs w:val="3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auto"/>
      <w:spacing w:after="520"/>
      <w:jc w:val="center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auto"/>
      <w:spacing w:after="60"/>
      <w:ind w:left="2580" w:firstLine="45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979B8"/>
      <w:sz w:val="14"/>
      <w:szCs w:val="14"/>
      <w:u w:val="none"/>
    </w:rPr>
  </w:style>
  <w:style w:type="paragraph" w:customStyle="1" w:styleId="Style20">
    <w:name w:val="Heading #2|1"/>
    <w:basedOn w:val="Normal"/>
    <w:link w:val="CharStyle21"/>
    <w:pPr>
      <w:widowControl w:val="0"/>
      <w:shd w:val="clear" w:color="auto" w:fill="auto"/>
      <w:spacing w:after="70"/>
      <w:jc w:val="center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2">
    <w:name w:val="Body text|3"/>
    <w:basedOn w:val="Normal"/>
    <w:link w:val="CharStyle23"/>
    <w:pPr>
      <w:widowControl w:val="0"/>
      <w:shd w:val="clear" w:color="auto" w:fill="auto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header" Target="header3.xml"/><Relationship Id="rId9" Type="http://schemas.openxmlformats.org/officeDocument/2006/relationships/footer" Target="footer2.xml"/><Relationship Id="rId10" Type="http://schemas.openxmlformats.org/officeDocument/2006/relationships/header" Target="header4.xml"/><Relationship Id="rId11" Type="http://schemas.openxmlformats.org/officeDocument/2006/relationships/footer" Target="footer3.xm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Relationship Id="rId14" Type="http://schemas.openxmlformats.org/officeDocument/2006/relationships/image" Target="media/image5.jpeg"/><Relationship Id="rId15" Type="http://schemas.openxmlformats.org/officeDocument/2006/relationships/image" Target="media/image5.jpeg" TargetMode="Externa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