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0" w:line="240" w:lineRule="auto"/>
        <w:ind w:left="0" w:right="0" w:firstLine="0"/>
        <w:jc w:val="left"/>
      </w:pPr>
      <w:r>
        <w:drawing>
          <wp:anchor distT="0" distB="247015" distL="335915" distR="306705" simplePos="0" relativeHeight="125829378" behindDoc="0" locked="0" layoutInCell="1" allowOverlap="1">
            <wp:simplePos x="0" y="0"/>
            <wp:positionH relativeFrom="page">
              <wp:posOffset>870585</wp:posOffset>
            </wp:positionH>
            <wp:positionV relativeFrom="paragraph">
              <wp:posOffset>50800</wp:posOffset>
            </wp:positionV>
            <wp:extent cx="628015"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8015" cy="609600"/>
                    </a:xfrm>
                    <a:prstGeom prst="rect"/>
                  </pic:spPr>
                </pic:pic>
              </a:graphicData>
            </a:graphic>
          </wp:anchor>
        </w:drawing>
      </w:r>
      <w:r>
        <mc:AlternateContent>
          <mc:Choice Requires="wps">
            <w:drawing>
              <wp:anchor distT="610235" distB="0" distL="114300" distR="114300" simplePos="0" relativeHeight="125829379" behindDoc="0" locked="0" layoutInCell="1" allowOverlap="1">
                <wp:simplePos x="0" y="0"/>
                <wp:positionH relativeFrom="page">
                  <wp:posOffset>648970</wp:posOffset>
                </wp:positionH>
                <wp:positionV relativeFrom="paragraph">
                  <wp:posOffset>661035</wp:posOffset>
                </wp:positionV>
                <wp:extent cx="1040130" cy="247015"/>
                <wp:wrapSquare wrapText="right"/>
                <wp:docPr id="3" name="Shape 3"/>
                <a:graphic xmlns:a="http://schemas.openxmlformats.org/drawingml/2006/main">
                  <a:graphicData uri="http://schemas.microsoft.com/office/word/2010/wordprocessingShape">
                    <wps:wsp>
                      <wps:cNvSpPr txBox="1"/>
                      <wps:spPr>
                        <a:xfrm>
                          <a:ext cx="104013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1.100000000000001pt;margin-top:52.049999999999997pt;width:81.900000000000006pt;height:19.449999999999999pt;z-index:-125829374;mso-wrap-distance-left:9.pt;mso-wrap-distance-top:48.049999999999997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v:textbox>
                <w10:wrap type="square" side="right" anchorx="page"/>
              </v:shape>
            </w:pict>
          </mc:Fallback>
        </mc:AlternateContent>
      </w:r>
      <w:r>
        <w:drawing>
          <wp:anchor distT="0" distB="0" distL="114300" distR="114300" simplePos="0" relativeHeight="125829381" behindDoc="0" locked="0" layoutInCell="1" allowOverlap="1">
            <wp:simplePos x="0" y="0"/>
            <wp:positionH relativeFrom="page">
              <wp:posOffset>5968365</wp:posOffset>
            </wp:positionH>
            <wp:positionV relativeFrom="paragraph">
              <wp:posOffset>12700</wp:posOffset>
            </wp:positionV>
            <wp:extent cx="804545" cy="798830"/>
            <wp:wrapSquare wrapText="lef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804545" cy="798830"/>
                    </a:xfrm>
                    <a:prstGeom prst="rect"/>
                  </pic:spPr>
                </pic:pic>
              </a:graphicData>
            </a:graphic>
          </wp:anchor>
        </w:drawing>
      </w:r>
      <w:r>
        <w:rPr>
          <w:spacing w:val="0"/>
          <w:w w:val="100"/>
          <w:position w:val="0"/>
          <w:sz w:val="24"/>
          <w:szCs w:val="24"/>
          <w:shd w:val="clear" w:color="auto" w:fill="auto"/>
          <w:lang w:val="pt-BR" w:eastAsia="pt-BR" w:bidi="pt-BR"/>
        </w:rPr>
        <w:t>Sistema de Previdência dos Servidores Públicos do</w:t>
      </w:r>
    </w:p>
    <w:p>
      <w:pPr>
        <w:pStyle w:val="Style4"/>
        <w:keepNext w:val="0"/>
        <w:keepLines w:val="0"/>
        <w:widowControl w:val="0"/>
        <w:shd w:val="clear" w:color="auto" w:fill="auto"/>
        <w:bidi w:val="0"/>
        <w:spacing w:before="0" w:after="0" w:line="240" w:lineRule="auto"/>
        <w:ind w:left="0" w:right="0" w:firstLine="640"/>
        <w:jc w:val="both"/>
      </w:pPr>
      <w:r>
        <w:rPr>
          <w:spacing w:val="0"/>
          <w:w w:val="100"/>
          <w:position w:val="0"/>
          <w:sz w:val="24"/>
          <w:szCs w:val="24"/>
          <w:shd w:val="clear" w:color="auto" w:fill="auto"/>
          <w:lang w:val="pt-BR" w:eastAsia="pt-BR" w:bidi="pt-BR"/>
        </w:rPr>
        <w:t>Município de Presidente Figueiredo</w:t>
      </w:r>
    </w:p>
    <w:p>
      <w:pPr>
        <w:pStyle w:val="Style6"/>
        <w:keepNext w:val="0"/>
        <w:keepLines w:val="0"/>
        <w:widowControl w:val="0"/>
        <w:shd w:val="clear" w:color="auto" w:fill="auto"/>
        <w:bidi w:val="0"/>
        <w:spacing w:before="0" w:after="0" w:line="240" w:lineRule="auto"/>
        <w:ind w:left="140" w:right="0" w:firstLine="0"/>
        <w:jc w:val="center"/>
      </w:pPr>
      <w:r>
        <w:rPr>
          <w:spacing w:val="0"/>
          <w:w w:val="100"/>
          <w:position w:val="0"/>
          <w:shd w:val="clear" w:color="auto" w:fill="auto"/>
          <w:lang w:val="pt-BR" w:eastAsia="pt-BR" w:bidi="pt-BR"/>
        </w:rPr>
        <w:t>A Seguradora do Servidor Público Municipal</w:t>
      </w:r>
    </w:p>
    <w:p>
      <w:pPr>
        <w:pStyle w:val="Style4"/>
        <w:keepNext w:val="0"/>
        <w:keepLines w:val="0"/>
        <w:widowControl w:val="0"/>
        <w:shd w:val="clear" w:color="auto" w:fill="auto"/>
        <w:bidi w:val="0"/>
        <w:spacing w:before="0" w:after="0" w:line="223" w:lineRule="auto"/>
        <w:ind w:left="140" w:right="0" w:firstLine="0"/>
        <w:jc w:val="center"/>
        <w:rPr>
          <w:sz w:val="22"/>
          <w:szCs w:val="22"/>
        </w:rPr>
      </w:pPr>
      <w:r>
        <w:rPr>
          <w:i w:val="0"/>
          <w:iCs w:val="0"/>
          <w:color w:val="7E7F9E"/>
          <w:spacing w:val="0"/>
          <w:w w:val="100"/>
          <w:position w:val="0"/>
          <w:sz w:val="22"/>
          <w:szCs w:val="22"/>
          <w:shd w:val="clear" w:color="auto" w:fill="auto"/>
          <w:lang w:val="pt-BR" w:eastAsia="pt-BR" w:bidi="pt-BR"/>
        </w:rPr>
        <w:t>CNPJ: 05.573.777/0001-69</w:t>
      </w:r>
    </w:p>
    <w:p>
      <w:pPr>
        <w:pStyle w:val="Style9"/>
        <w:keepNext w:val="0"/>
        <w:keepLines w:val="0"/>
        <w:widowControl w:val="0"/>
        <w:shd w:val="clear" w:color="auto" w:fill="auto"/>
        <w:bidi w:val="0"/>
        <w:spacing w:before="0" w:after="0" w:line="240" w:lineRule="auto"/>
        <w:ind w:left="140" w:right="0" w:firstLine="0"/>
        <w:jc w:val="center"/>
        <w:rPr>
          <w:sz w:val="20"/>
          <w:szCs w:val="20"/>
        </w:rPr>
      </w:pPr>
      <w:r>
        <w:rPr>
          <w:color w:val="7E7F9E"/>
          <w:spacing w:val="0"/>
          <w:w w:val="100"/>
          <w:position w:val="0"/>
          <w:sz w:val="20"/>
          <w:szCs w:val="20"/>
          <w:shd w:val="clear" w:color="auto" w:fill="auto"/>
          <w:lang w:val="pt-BR" w:eastAsia="pt-BR" w:bidi="pt-BR"/>
        </w:rPr>
        <w:t>Av. Onça Pintada, N°: 304 - Bairro Galo da Serra</w:t>
      </w:r>
    </w:p>
    <w:p>
      <w:pPr>
        <w:pStyle w:val="Style9"/>
        <w:keepNext w:val="0"/>
        <w:keepLines w:val="0"/>
        <w:widowControl w:val="0"/>
        <w:shd w:val="clear" w:color="auto" w:fill="auto"/>
        <w:bidi w:val="0"/>
        <w:spacing w:before="0" w:after="540" w:line="240" w:lineRule="auto"/>
        <w:ind w:left="0" w:right="0" w:firstLine="0"/>
        <w:jc w:val="left"/>
        <w:rPr>
          <w:sz w:val="20"/>
          <w:szCs w:val="20"/>
        </w:rPr>
      </w:pPr>
      <w:r>
        <w:rPr>
          <w:color w:val="7E7F9E"/>
          <w:spacing w:val="0"/>
          <w:w w:val="100"/>
          <w:position w:val="0"/>
          <w:sz w:val="20"/>
          <w:szCs w:val="20"/>
          <w:shd w:val="clear" w:color="auto" w:fill="auto"/>
          <w:lang w:val="pt-BR" w:eastAsia="pt-BR" w:bidi="pt-BR"/>
        </w:rPr>
        <w:t>Presidente Figueiredo - Amazonas - Brasil - Cep: 69.735-000</w:t>
      </w:r>
    </w:p>
    <w:p>
      <w:pPr>
        <w:pStyle w:val="Style9"/>
        <w:keepNext w:val="0"/>
        <w:keepLines w:val="0"/>
        <w:widowControl w:val="0"/>
        <w:shd w:val="clear" w:color="auto" w:fill="auto"/>
        <w:bidi w:val="0"/>
        <w:spacing w:before="0" w:after="0" w:line="307" w:lineRule="auto"/>
        <w:ind w:left="140" w:right="0" w:firstLine="0"/>
        <w:jc w:val="center"/>
      </w:pPr>
      <w:r>
        <w:rPr>
          <w:b/>
          <w:bCs/>
          <w:color w:val="000000"/>
          <w:spacing w:val="0"/>
          <w:w w:val="100"/>
          <w:position w:val="0"/>
          <w:shd w:val="clear" w:color="auto" w:fill="auto"/>
          <w:lang w:val="pt-BR" w:eastAsia="pt-BR" w:bidi="pt-BR"/>
        </w:rPr>
        <w:t>REUNIÃO ORDINÁRIA DO COMITÊ DE POLÍTICA DE INVESTIMENTOS</w:t>
        <w:br/>
        <w:t>PRESIDENTE FIGUEIREDO, 20 DE JANEIRO DE 2026.</w:t>
      </w:r>
    </w:p>
    <w:p>
      <w:pPr>
        <w:pStyle w:val="Style9"/>
        <w:keepNext w:val="0"/>
        <w:keepLines w:val="0"/>
        <w:widowControl w:val="0"/>
        <w:shd w:val="clear" w:color="auto" w:fill="auto"/>
        <w:bidi w:val="0"/>
        <w:spacing w:before="0" w:after="180" w:line="307" w:lineRule="auto"/>
        <w:ind w:left="140" w:right="0" w:firstLine="0"/>
        <w:jc w:val="center"/>
      </w:pPr>
      <w:r>
        <w:rPr>
          <w:b/>
          <w:bCs/>
          <w:color w:val="000000"/>
          <w:spacing w:val="0"/>
          <w:w w:val="100"/>
          <w:position w:val="0"/>
          <w:shd w:val="clear" w:color="auto" w:fill="auto"/>
          <w:lang w:val="pt-BR" w:eastAsia="pt-BR" w:bidi="pt-BR"/>
        </w:rPr>
        <w:t>REFERENTE DEZEMBRO DE 2025</w:t>
      </w:r>
    </w:p>
    <w:p>
      <w:pPr>
        <w:pStyle w:val="Style9"/>
        <w:keepNext w:val="0"/>
        <w:keepLines w:val="0"/>
        <w:widowControl w:val="0"/>
        <w:shd w:val="clear" w:color="auto" w:fill="auto"/>
        <w:bidi w:val="0"/>
        <w:spacing w:before="0" w:after="240"/>
        <w:ind w:left="140" w:right="0" w:firstLine="0"/>
        <w:jc w:val="center"/>
      </w:pPr>
      <w:r>
        <w:rPr>
          <w:b/>
          <w:bCs/>
          <w:color w:val="000000"/>
          <w:spacing w:val="0"/>
          <w:w w:val="100"/>
          <w:position w:val="0"/>
          <w:shd w:val="clear" w:color="auto" w:fill="auto"/>
          <w:lang w:val="pt-BR" w:eastAsia="pt-BR" w:bidi="pt-BR"/>
        </w:rPr>
        <w:t>ATA DE REUNIÃO</w:t>
      </w:r>
    </w:p>
    <w:p>
      <w:pPr>
        <w:pStyle w:val="Style9"/>
        <w:keepNext w:val="0"/>
        <w:keepLines w:val="0"/>
        <w:widowControl w:val="0"/>
        <w:shd w:val="clear" w:color="auto" w:fill="auto"/>
        <w:bidi w:val="0"/>
        <w:spacing w:before="0"/>
        <w:ind w:left="0" w:right="700" w:firstLine="640"/>
        <w:jc w:val="both"/>
      </w:pPr>
      <w:r>
        <w:rPr>
          <w:color w:val="000000"/>
          <w:spacing w:val="0"/>
          <w:w w:val="100"/>
          <w:position w:val="0"/>
          <w:shd w:val="clear" w:color="auto" w:fill="auto"/>
          <w:lang w:val="pt-BR" w:eastAsia="pt-BR" w:bidi="pt-BR"/>
        </w:rPr>
        <w:t xml:space="preserve">Aos vinte dias do mês de janeiro de dois mil e vinte e seis, às 10h (dez) horas, a partir da convocação da senhora Suzana Farias de Araújo, Presidente do Comitê. A mesma deu início a reunião com a leitura das Atas da reuniões, referente a novembro e a extraordinária ocorrida em vinte e nove de dezembro do ano de dois mil e vinte e cinco, perante os demais membros do Comitê, a senhora Solange Duarte Moreira - Diretora Administrativa e Financeira e da senhora Ednamar da Silva e Silva - Servidora Efetiva e £ membro do COMITÊ. Dando continuidade a Diretora Presidente, iniciou a reunião comunicando que os investimentos do SISPREV </w:t>
      </w:r>
      <w:r>
        <w:rPr>
          <w:b/>
          <w:bCs/>
          <w:color w:val="000000"/>
          <w:spacing w:val="0"/>
          <w:w w:val="100"/>
          <w:position w:val="0"/>
          <w:shd w:val="clear" w:color="auto" w:fill="auto"/>
          <w:lang w:val="pt-BR" w:eastAsia="pt-BR" w:bidi="pt-BR"/>
        </w:rPr>
        <w:t xml:space="preserve">no mês de DEZEMBRO de 2025, </w:t>
      </w:r>
      <w:r>
        <w:rPr>
          <w:color w:val="000000"/>
          <w:spacing w:val="0"/>
          <w:w w:val="100"/>
          <w:position w:val="0"/>
          <w:shd w:val="clear" w:color="auto" w:fill="auto"/>
          <w:lang w:val="pt-BR" w:eastAsia="pt-BR" w:bidi="pt-BR"/>
        </w:rPr>
        <w:t xml:space="preserve">obtiveram rendimentos no total de R$ 2.405.656,72 (dois milhões, quatrocentos e cinco mil seiscentos e cinquenta e seis reais e setenta e dois centavos). Saldo Bancário em 31/12/2025 no valor de R$ </w:t>
      </w:r>
      <w:r>
        <w:rPr>
          <w:b/>
          <w:bCs/>
          <w:color w:val="000000"/>
          <w:spacing w:val="0"/>
          <w:w w:val="100"/>
          <w:position w:val="0"/>
          <w:shd w:val="clear" w:color="auto" w:fill="auto"/>
          <w:lang w:val="pt-BR" w:eastAsia="pt-BR" w:bidi="pt-BR"/>
        </w:rPr>
        <w:t>221.388.309,</w:t>
      </w:r>
      <w:r>
        <w:rPr>
          <w:color w:val="000000"/>
          <w:spacing w:val="0"/>
          <w:w w:val="100"/>
          <w:position w:val="0"/>
          <w:shd w:val="clear" w:color="auto" w:fill="auto"/>
          <w:lang w:val="pt-BR" w:eastAsia="pt-BR" w:bidi="pt-BR"/>
        </w:rPr>
        <w:t xml:space="preserve">86(Duzentos e vinte e um milhões trezentos e oitenta e oito mil trezentos e nove reais e oitenta e seis centavos) com esse valor conseguimos efetuar o pagamento da Folha do mês de novembro , no valor de R$ 1.536.780,15 (Hum milhão quinhentos e trinta e seis mil setecentos e oitenta reais e quinze centavos), neste valor da folha de dezembro, está incluso os valores da segunda </w:t>
      </w:r>
      <w:r>
        <w:rPr>
          <w:i/>
          <w:iCs/>
          <w:color w:val="000000"/>
          <w:spacing w:val="0"/>
          <w:w w:val="100"/>
          <w:position w:val="0"/>
          <w:shd w:val="clear" w:color="auto" w:fill="auto"/>
          <w:lang w:val="pt-BR" w:eastAsia="pt-BR" w:bidi="pt-BR"/>
        </w:rPr>
        <w:t>parcela do</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 xml:space="preserve">decimo </w:t>
      </w:r>
      <w:r>
        <w:rPr>
          <w:color w:val="000000"/>
          <w:spacing w:val="0"/>
          <w:w w:val="100"/>
          <w:position w:val="0"/>
          <w:shd w:val="clear" w:color="auto" w:fill="auto"/>
          <w:lang w:val="pt-BR" w:eastAsia="pt-BR" w:bidi="pt-BR"/>
        </w:rPr>
        <w:t xml:space="preserve">terceiro, dessa forma, resultando o saldo em relação aos ganhos das aplicações menos o pagamento da Folha, no valor de R$ 868.876,57 (Oitocentos e sessenta e oito mil oitocentos e setenta e seis reais e cinquenta e sete centavos), alavancando ainda mais o saldo financeiro do SISPREV. Informou também que os repasses da Prefeitura Municipal de Presidente Figueiredo, da Câmara Municipal de Presidente Figueiredo, SISPREV e dos aposentados e pensionistas cujo proventos superam o teto previdenciário, estão todos em dias, juntamente com os repasses das parcelas dos W Termos de Parcelamentos, da Gestão de 2021 a 2024, da parte patronal da Prefeitura. Na oportunidade, informou que o Processo em relação ao Estudo Atuarial, fomos informados que está sendo providenciado o envio para a Câmara Municipal para apreciação e aprovação. Neste mês, as Aplicações e Resgates foram de: Aplicações no valor de R$ 1.972.100,65 (Hum milhão novecentos e setenta e dois mil cem reais e sessenta e cinco centavos). Lembrando que para as aplicações levamos sempre a análise dos últimos rendimentos, risco, liquidez e resgates efetuados por cotistas. Os valores aplicados correspondem aos repasses previdenciários dos Entes federativos e dos Termos de Parcelamentos efetivados pela Prefeitura. Em relação aos resgates no valor total de R$ 1.750.854,64 (Hum milhão setecentos e cinquenta mil oitocentos e cinquenta e quatro reais e sessenta e quatro centavos). Os resgates foram realizados para pagamento da Folha de Pagamento, pois os valores relevantes não ficam em conta corrente sem aplicação e consequentemente sem render juros, bem como para pagamentos de outras obrigações fixas. Antes de FINALIZAR, como sempre ocorre nas reuniões, a mesma fez um breve relato quanto ao comportamento do mercado financeiro no mês de dezembro: </w:t>
      </w:r>
      <w:r>
        <w:rPr>
          <w:b/>
          <w:bCs/>
          <w:color w:val="000000"/>
          <w:spacing w:val="0"/>
          <w:w w:val="100"/>
          <w:position w:val="0"/>
          <w:shd w:val="clear" w:color="auto" w:fill="auto"/>
          <w:lang w:val="pt-BR" w:eastAsia="pt-BR" w:bidi="pt-BR"/>
        </w:rPr>
        <w:t xml:space="preserve">Inflação: </w:t>
      </w:r>
      <w:r>
        <w:rPr>
          <w:color w:val="000000"/>
          <w:spacing w:val="0"/>
          <w:w w:val="100"/>
          <w:position w:val="0"/>
          <w:shd w:val="clear" w:color="auto" w:fill="auto"/>
          <w:lang w:val="pt-BR" w:eastAsia="pt-BR" w:bidi="pt-BR"/>
        </w:rPr>
        <w:t>No último mês de 2025 o IPCA registrou variação de +0,33%, acima dos 0,18% observados em novembro, mas ainda em patamar moderado para a série histórica de dezembro. Com isso, o índice acumulado para 2025 fechou em 4,26%, inferior ao</w:t>
      </w:r>
      <w:r>
        <w:br w:type="page"/>
      </w:r>
    </w:p>
    <w:p>
      <w:pPr>
        <w:pStyle w:val="Style9"/>
        <w:keepNext w:val="0"/>
        <w:keepLines w:val="0"/>
        <w:widowControl w:val="0"/>
        <w:shd w:val="clear" w:color="auto" w:fill="auto"/>
        <w:bidi w:val="0"/>
        <w:spacing w:before="0" w:after="0" w:line="240" w:lineRule="auto"/>
        <w:ind w:left="0" w:right="0" w:firstLine="0"/>
        <w:jc w:val="left"/>
        <w:rPr>
          <w:sz w:val="24"/>
          <w:szCs w:val="24"/>
        </w:rPr>
      </w:pPr>
      <w:r>
        <w:drawing>
          <wp:anchor distT="0" distB="210820" distL="340360" distR="315595" simplePos="0" relativeHeight="125829382" behindDoc="0" locked="0" layoutInCell="1" allowOverlap="1">
            <wp:simplePos x="0" y="0"/>
            <wp:positionH relativeFrom="page">
              <wp:posOffset>852170</wp:posOffset>
            </wp:positionH>
            <wp:positionV relativeFrom="paragraph">
              <wp:posOffset>50800</wp:posOffset>
            </wp:positionV>
            <wp:extent cx="615950" cy="60325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615950" cy="603250"/>
                    </a:xfrm>
                    <a:prstGeom prst="rect"/>
                  </pic:spPr>
                </pic:pic>
              </a:graphicData>
            </a:graphic>
          </wp:anchor>
        </w:drawing>
      </w:r>
      <w:r>
        <mc:AlternateContent>
          <mc:Choice Requires="wps">
            <w:drawing>
              <wp:anchor distT="567055" distB="0" distL="114300" distR="114300" simplePos="0" relativeHeight="125829383" behindDoc="0" locked="0" layoutInCell="1" allowOverlap="1">
                <wp:simplePos x="0" y="0"/>
                <wp:positionH relativeFrom="page">
                  <wp:posOffset>626110</wp:posOffset>
                </wp:positionH>
                <wp:positionV relativeFrom="paragraph">
                  <wp:posOffset>617855</wp:posOffset>
                </wp:positionV>
                <wp:extent cx="1040130" cy="247015"/>
                <wp:wrapSquare wrapText="right"/>
                <wp:docPr id="9" name="Shape 9"/>
                <a:graphic xmlns:a="http://schemas.openxmlformats.org/drawingml/2006/main">
                  <a:graphicData uri="http://schemas.microsoft.com/office/word/2010/wordprocessingShape">
                    <wps:wsp>
                      <wps:cNvSpPr txBox="1"/>
                      <wps:spPr>
                        <a:xfrm>
                          <a:ext cx="104013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wps:txbx>
                      <wps:bodyPr wrap="none" lIns="0" tIns="0" rIns="0" bIns="0">
                        <a:noAutoFit/>
                      </wps:bodyPr>
                    </wps:wsp>
                  </a:graphicData>
                </a:graphic>
              </wp:anchor>
            </w:drawing>
          </mc:Choice>
          <mc:Fallback>
            <w:pict>
              <v:shape id="_x0000_s1035" type="#_x0000_t202" style="position:absolute;margin-left:49.299999999999997pt;margin-top:48.649999999999999pt;width:81.900000000000006pt;height:19.449999999999999pt;z-index:-125829370;mso-wrap-distance-left:9.pt;mso-wrap-distance-top:44.64999999999999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v:textbox>
                <w10:wrap type="square" side="right" anchorx="page"/>
              </v:shape>
            </w:pict>
          </mc:Fallback>
        </mc:AlternateContent>
      </w:r>
      <w:r>
        <w:drawing>
          <wp:anchor distT="0" distB="0" distL="114300" distR="114300" simplePos="0" relativeHeight="125829385" behindDoc="0" locked="0" layoutInCell="1" allowOverlap="1">
            <wp:simplePos x="0" y="0"/>
            <wp:positionH relativeFrom="page">
              <wp:posOffset>5942965</wp:posOffset>
            </wp:positionH>
            <wp:positionV relativeFrom="paragraph">
              <wp:posOffset>12700</wp:posOffset>
            </wp:positionV>
            <wp:extent cx="804545" cy="79883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804545" cy="798830"/>
                    </a:xfrm>
                    <a:prstGeom prst="rect"/>
                  </pic:spPr>
                </pic:pic>
              </a:graphicData>
            </a:graphic>
          </wp:anchor>
        </w:drawing>
      </w:r>
      <w:r>
        <w:rPr>
          <w:b/>
          <w:bCs/>
          <w:i/>
          <w:iCs/>
          <w:color w:val="798ED5"/>
          <w:spacing w:val="0"/>
          <w:w w:val="100"/>
          <w:position w:val="0"/>
          <w:sz w:val="24"/>
          <w:szCs w:val="24"/>
          <w:shd w:val="clear" w:color="auto" w:fill="auto"/>
          <w:lang w:val="pt-BR" w:eastAsia="pt-BR" w:bidi="pt-BR"/>
        </w:rPr>
        <w:t>Sistema de Previdência dos Servidores Públicos do</w:t>
      </w:r>
    </w:p>
    <w:p>
      <w:pPr>
        <w:pStyle w:val="Style9"/>
        <w:keepNext w:val="0"/>
        <w:keepLines w:val="0"/>
        <w:widowControl w:val="0"/>
        <w:shd w:val="clear" w:color="auto" w:fill="auto"/>
        <w:bidi w:val="0"/>
        <w:spacing w:before="0" w:after="0" w:line="240" w:lineRule="auto"/>
        <w:ind w:left="760" w:right="0" w:firstLine="20"/>
        <w:jc w:val="left"/>
        <w:rPr>
          <w:sz w:val="24"/>
          <w:szCs w:val="24"/>
        </w:rPr>
      </w:pPr>
      <w:r>
        <w:rPr>
          <w:b/>
          <w:bCs/>
          <w:i/>
          <w:iCs/>
          <w:color w:val="798ED5"/>
          <w:spacing w:val="0"/>
          <w:w w:val="100"/>
          <w:position w:val="0"/>
          <w:sz w:val="24"/>
          <w:szCs w:val="24"/>
          <w:shd w:val="clear" w:color="auto" w:fill="auto"/>
          <w:lang w:val="pt-BR" w:eastAsia="pt-BR" w:bidi="pt-BR"/>
        </w:rPr>
        <w:t>Município de Presidente Figueiredo</w:t>
      </w:r>
    </w:p>
    <w:p>
      <w:pPr>
        <w:pStyle w:val="Style6"/>
        <w:keepNext w:val="0"/>
        <w:keepLines w:val="0"/>
        <w:widowControl w:val="0"/>
        <w:shd w:val="clear" w:color="auto" w:fill="auto"/>
        <w:bidi w:val="0"/>
        <w:spacing w:before="0" w:after="0" w:line="240" w:lineRule="auto"/>
        <w:ind w:left="220" w:right="0" w:firstLine="0"/>
        <w:jc w:val="center"/>
      </w:pPr>
      <w:r>
        <w:rPr>
          <w:spacing w:val="0"/>
          <w:w w:val="100"/>
          <w:position w:val="0"/>
          <w:shd w:val="clear" w:color="auto" w:fill="auto"/>
          <w:lang w:val="pt-BR" w:eastAsia="pt-BR" w:bidi="pt-BR"/>
        </w:rPr>
        <w:t>A Seguradora do Servidor Público Municipal</w:t>
      </w:r>
    </w:p>
    <w:p>
      <w:pPr>
        <w:pStyle w:val="Style9"/>
        <w:keepNext w:val="0"/>
        <w:keepLines w:val="0"/>
        <w:widowControl w:val="0"/>
        <w:shd w:val="clear" w:color="auto" w:fill="auto"/>
        <w:bidi w:val="0"/>
        <w:spacing w:before="0" w:after="0" w:line="223" w:lineRule="auto"/>
        <w:ind w:left="220" w:right="0" w:firstLine="0"/>
        <w:jc w:val="center"/>
      </w:pPr>
      <w:r>
        <w:rPr>
          <w:b/>
          <w:bCs/>
          <w:color w:val="7E7F9E"/>
          <w:spacing w:val="0"/>
          <w:w w:val="100"/>
          <w:position w:val="0"/>
          <w:shd w:val="clear" w:color="auto" w:fill="auto"/>
          <w:lang w:val="pt-BR" w:eastAsia="pt-BR" w:bidi="pt-BR"/>
        </w:rPr>
        <w:t>CNPJ: 05.573.777/0001-69</w:t>
      </w:r>
    </w:p>
    <w:p>
      <w:pPr>
        <w:pStyle w:val="Style9"/>
        <w:keepNext w:val="0"/>
        <w:keepLines w:val="0"/>
        <w:widowControl w:val="0"/>
        <w:shd w:val="clear" w:color="auto" w:fill="auto"/>
        <w:bidi w:val="0"/>
        <w:spacing w:before="0" w:after="0" w:line="240" w:lineRule="auto"/>
        <w:ind w:left="220" w:right="0" w:firstLine="0"/>
        <w:jc w:val="center"/>
        <w:rPr>
          <w:sz w:val="20"/>
          <w:szCs w:val="20"/>
        </w:rPr>
      </w:pPr>
      <w:r>
        <w:rPr>
          <w:color w:val="7E7F9E"/>
          <w:spacing w:val="0"/>
          <w:w w:val="100"/>
          <w:position w:val="0"/>
          <w:sz w:val="20"/>
          <w:szCs w:val="20"/>
          <w:shd w:val="clear" w:color="auto" w:fill="auto"/>
          <w:lang w:val="pt-BR" w:eastAsia="pt-BR" w:bidi="pt-BR"/>
        </w:rPr>
        <w:t>Av. Onça Pintada, N°: 304 - Bairro Galo da Serra</w:t>
      </w:r>
    </w:p>
    <w:p>
      <w:pPr>
        <w:pStyle w:val="Style9"/>
        <w:keepNext w:val="0"/>
        <w:keepLines w:val="0"/>
        <w:widowControl w:val="0"/>
        <w:shd w:val="clear" w:color="auto" w:fill="auto"/>
        <w:bidi w:val="0"/>
        <w:spacing w:before="0" w:after="240" w:line="240" w:lineRule="auto"/>
        <w:ind w:left="0" w:right="0" w:firstLine="0"/>
        <w:jc w:val="left"/>
        <w:rPr>
          <w:sz w:val="20"/>
          <w:szCs w:val="20"/>
        </w:rPr>
      </w:pPr>
      <w:r>
        <w:rPr>
          <w:color w:val="7E7F9E"/>
          <w:spacing w:val="0"/>
          <w:w w:val="100"/>
          <w:position w:val="0"/>
          <w:sz w:val="20"/>
          <w:szCs w:val="20"/>
          <w:shd w:val="clear" w:color="auto" w:fill="auto"/>
          <w:lang w:val="pt-BR" w:eastAsia="pt-BR" w:bidi="pt-BR"/>
        </w:rPr>
        <w:t>Presidente Figueiredo - Amazonas - Brasil - Cep: 69.735-000</w:t>
      </w:r>
    </w:p>
    <w:p>
      <w:pPr>
        <w:pStyle w:val="Style9"/>
        <w:keepNext w:val="0"/>
        <w:keepLines w:val="0"/>
        <w:widowControl w:val="0"/>
        <w:shd w:val="clear" w:color="auto" w:fill="auto"/>
        <w:bidi w:val="0"/>
        <w:spacing w:before="0" w:after="0"/>
        <w:ind w:left="580" w:right="720" w:firstLine="20"/>
        <w:jc w:val="both"/>
      </w:pPr>
      <w:r>
        <w:rPr>
          <w:color w:val="000000"/>
          <w:spacing w:val="0"/>
          <w:w w:val="100"/>
          <w:position w:val="0"/>
          <w:shd w:val="clear" w:color="auto" w:fill="auto"/>
          <w:lang w:val="pt-BR" w:eastAsia="pt-BR" w:bidi="pt-BR"/>
        </w:rPr>
        <w:t xml:space="preserve">resultado de 2024 e abaixo do teto da meta oficial de inflação (4,5%) — consistindo no menor acumulado para o ano desde 2018. Assim como em novembro, a alta de dezembro foi novamente influenciada por pressões em grupos como Habitação e Transportes, ainda que com menores impactos relativos ao comportamento observado nos meses anteriores. Este padrão sugere que componentes específicos continuam a exercer alguma pressão sobre o índice mensal, mesmo diante de um quadro geral de </w:t>
      </w:r>
      <w:r>
        <w:rPr>
          <w:color w:val="000000"/>
          <w:spacing w:val="0"/>
          <w:w w:val="100"/>
          <w:position w:val="0"/>
          <w:shd w:val="clear" w:color="auto" w:fill="auto"/>
          <w:lang w:val="pt-PT" w:eastAsia="pt-PT" w:bidi="pt-PT"/>
        </w:rPr>
        <w:t xml:space="preserve">descompressão </w:t>
      </w:r>
      <w:r>
        <w:rPr>
          <w:color w:val="000000"/>
          <w:spacing w:val="0"/>
          <w:w w:val="100"/>
          <w:position w:val="0"/>
          <w:shd w:val="clear" w:color="auto" w:fill="auto"/>
          <w:lang w:val="pt-BR" w:eastAsia="pt-BR" w:bidi="pt-BR"/>
        </w:rPr>
        <w:t xml:space="preserve">dos preços. Em contraste, a inflação subjacente — que exclui itens mais sensíveis a variações sazonais e administrativas — segue moderada, indicando que grande parte da dinâmica de preços continua de ordem doméstica e relativamente contida. Em síntese, o resultado de dezembro reforça que o quadro inflacionário de médio e longo prazo permanece benigno, com a inflação encerrando 2025 dentro da banda de tolerância e sem sinais claros de reversão estrutural da trajetória descendente observada ao longo do ano. Apesar do ambiente favorável, o comportamento do IPCA segue exigindo cautela em termos de política monetária, o que dialoga com a tendência de manutenção da Selic em patamar elevado ao longo do ano. Quanto às previsões mais recentes da Pesquisa Focus, o mercado projeta uma inflação de aproximadamente 4,06% em 2026, levemente superior às leituras anteriores, e de 3,80% em 2027, mantendo expectativa de acomodação gradativa da inflação ao longo corrente biênio. </w:t>
      </w:r>
      <w:r>
        <w:rPr>
          <w:b/>
          <w:bCs/>
          <w:color w:val="000000"/>
          <w:spacing w:val="0"/>
          <w:w w:val="100"/>
          <w:position w:val="0"/>
          <w:shd w:val="clear" w:color="auto" w:fill="auto"/>
          <w:lang w:val="pt-BR" w:eastAsia="pt-BR" w:bidi="pt-BR"/>
        </w:rPr>
        <w:t xml:space="preserve">Taxa Selic: </w:t>
      </w:r>
      <w:r>
        <w:rPr>
          <w:color w:val="000000"/>
          <w:spacing w:val="0"/>
          <w:w w:val="100"/>
          <w:position w:val="0"/>
          <w:shd w:val="clear" w:color="auto" w:fill="auto"/>
          <w:lang w:val="pt-BR" w:eastAsia="pt-BR" w:bidi="pt-BR"/>
        </w:rPr>
        <w:t>Para a próxima reunião do COPOM, prevista para 27 e 28 de janeiro de 2026, a expectativa majoritária do mercado é de manutenção da taxa Selic em 15% ao ano, em linha com a estratégia adotada no encerramento de 2025. A avaliação reflete a postura cautelosa do Banco Central, que tem enfatizado a necessidade de preservar um grau elevado de restrição monetária diante da persistência das pressões inflacionárias e da lenta convergência das expectativas para a</w:t>
      </w:r>
    </w:p>
    <w:p>
      <w:pPr>
        <w:pStyle w:val="Style9"/>
        <w:keepNext w:val="0"/>
        <w:keepLines w:val="0"/>
        <w:widowControl w:val="0"/>
        <w:shd w:val="clear" w:color="auto" w:fill="auto"/>
        <w:bidi w:val="0"/>
        <w:spacing w:before="0" w:after="120"/>
        <w:ind w:left="0" w:right="0" w:firstLine="600"/>
        <w:jc w:val="both"/>
        <w:sectPr>
          <w:footerReference w:type="default" r:id="rId13"/>
          <w:footerReference w:type="first" r:id="rId14"/>
          <w:footnotePr>
            <w:pos w:val="pageBottom"/>
            <w:numFmt w:val="decimal"/>
            <w:numRestart w:val="continuous"/>
          </w:footnotePr>
          <w:pgSz w:w="11900" w:h="16840"/>
          <w:pgMar w:top="644" w:left="424" w:right="363" w:bottom="800" w:header="0" w:footer="3" w:gutter="0"/>
          <w:pgNumType w:start="1"/>
          <w:cols w:space="720"/>
          <w:noEndnote/>
          <w:titlePg/>
          <w:rtlGutter w:val="0"/>
          <w:docGrid w:linePitch="360"/>
        </w:sectPr>
      </w:pPr>
      <w:r>
        <w:rPr>
          <w:color w:val="000000"/>
          <w:spacing w:val="0"/>
          <w:w w:val="100"/>
          <w:position w:val="0"/>
          <w:shd w:val="clear" w:color="auto" w:fill="auto"/>
          <w:lang w:val="pt-BR" w:eastAsia="pt-BR" w:bidi="pt-BR"/>
        </w:rPr>
        <w:t xml:space="preserve">meta. De acordo com a Pesquisa Focus mais recente, não houve alteração relevante nas projeções de curto prazo para a Selic, reforçando a percepção de que o Comitê deve aguardar sinais mais consistentes de desaceleração dos núcleos de inflação antes de iniciar um novo ciclo de queda. Para o fim de 2026, o mercado segue projetando redução gradual da taxa básica para cerca de 12,25%, o que sugere que os cortes, quando iniciados, devem ocorrer de forma cautelosa e condicionada. O cenário segue influenciado </w:t>
      </w:r>
      <w:r>
        <w:rPr>
          <w:b/>
          <w:bCs/>
          <w:color w:val="000000"/>
          <w:spacing w:val="0"/>
          <w:w w:val="100"/>
          <w:position w:val="0"/>
          <w:shd w:val="clear" w:color="auto" w:fill="auto"/>
          <w:lang w:val="pt-BR" w:eastAsia="pt-BR" w:bidi="pt-BR"/>
        </w:rPr>
        <w:t xml:space="preserve">W </w:t>
      </w:r>
      <w:r>
        <w:rPr>
          <w:color w:val="000000"/>
          <w:spacing w:val="0"/>
          <w:w w:val="100"/>
          <w:position w:val="0"/>
          <w:shd w:val="clear" w:color="auto" w:fill="auto"/>
          <w:lang w:val="pt-BR" w:eastAsia="pt-BR" w:bidi="pt-BR"/>
        </w:rPr>
        <w:t xml:space="preserve">por um ambiente externo ainda desafiador, marcado por resiliência inflacionária nas economias avançadas e episódios de volatilidade nos mercados financeiros internacionais. No plano doméstico, a política fiscal continua sendo um elemento central no balanço de riscos, com impacto direto sobre a ancoragem das expectativas de inflação. Nesse contexto, a tendência é que o COPOM reforce, na reunião de janeiro, a estratégia de juros elevados por um período prolongado, priorizando a convergência da inflação à meta e a preservação da credibilidade da política monetária, mesmo que isso implique postergar o início do </w:t>
      </w:r>
      <w:r>
        <w:rPr>
          <w:i/>
          <w:iCs/>
          <w:color w:val="000000"/>
          <w:spacing w:val="0"/>
          <w:w w:val="100"/>
          <w:position w:val="0"/>
          <w:shd w:val="clear" w:color="auto" w:fill="auto"/>
          <w:lang w:val="pt-BR" w:eastAsia="pt-BR" w:bidi="pt-BR"/>
        </w:rPr>
        <w:t>ciclo de</w:t>
      </w:r>
      <w:r>
        <w:rPr>
          <w:color w:val="000000"/>
          <w:spacing w:val="0"/>
          <w:w w:val="100"/>
          <w:position w:val="0"/>
          <w:shd w:val="clear" w:color="auto" w:fill="auto"/>
          <w:lang w:val="pt-BR" w:eastAsia="pt-BR" w:bidi="pt-BR"/>
        </w:rPr>
        <w:t xml:space="preserve"> cortes ao longo de 2026. </w:t>
      </w:r>
      <w:r>
        <w:rPr>
          <w:b/>
          <w:bCs/>
          <w:color w:val="000000"/>
          <w:spacing w:val="0"/>
          <w:w w:val="100"/>
          <w:position w:val="0"/>
          <w:shd w:val="clear" w:color="auto" w:fill="auto"/>
          <w:lang w:val="pt-BR" w:eastAsia="pt-BR" w:bidi="pt-BR"/>
        </w:rPr>
        <w:t xml:space="preserve">Renda Variável: </w:t>
      </w:r>
      <w:r>
        <w:rPr>
          <w:color w:val="000000"/>
          <w:spacing w:val="0"/>
          <w:w w:val="100"/>
          <w:position w:val="0"/>
          <w:shd w:val="clear" w:color="auto" w:fill="auto"/>
          <w:lang w:val="pt-BR" w:eastAsia="pt-BR" w:bidi="pt-BR"/>
        </w:rPr>
        <w:t xml:space="preserve">O Ibovespa encerrou dezembro de 2025 perfazendo alta moderada, com valorização de cerca de 1,3% no mês, superando novamente os 160 mil pontos apesar de liquidez reduzida e maior incerteza em relação ao cenário externo e político doméstico. No acumulado do ano, o principal índice brasileiro consolidou um forte desempenho de cerca de 34% em 2025, bem acima da valorização observada em 2024, confirmando o melhor resultado anual desde 2016 e refletindo renovadas máximas históricas e forte entrada de fluxo comprador. O </w:t>
      </w:r>
      <w:r>
        <w:rPr>
          <w:color w:val="798ED5"/>
          <w:spacing w:val="0"/>
          <w:w w:val="100"/>
          <w:position w:val="0"/>
          <w:shd w:val="clear" w:color="auto" w:fill="auto"/>
          <w:lang w:val="pt-BR" w:eastAsia="pt-BR" w:bidi="pt-BR"/>
        </w:rPr>
        <w:t xml:space="preserve">/JuA </w:t>
      </w:r>
      <w:r>
        <w:rPr>
          <w:color w:val="000000"/>
          <w:spacing w:val="0"/>
          <w:w w:val="100"/>
          <w:position w:val="0"/>
          <w:shd w:val="clear" w:color="auto" w:fill="auto"/>
          <w:lang w:val="pt-BR" w:eastAsia="pt-BR" w:bidi="pt-BR"/>
        </w:rPr>
        <w:t xml:space="preserve">desempenho de dezembro refletiu um contexto de baixa liquidez típico de fim de ano, </w:t>
      </w:r>
      <w:r>
        <w:rPr>
          <w:color w:val="798ED5"/>
          <w:spacing w:val="0"/>
          <w:w w:val="100"/>
          <w:position w:val="0"/>
          <w:shd w:val="clear" w:color="auto" w:fill="auto"/>
          <w:lang w:val="pt-BR" w:eastAsia="pt-BR" w:bidi="pt-BR"/>
        </w:rPr>
        <w:t xml:space="preserve">A </w:t>
      </w:r>
      <w:r>
        <w:rPr>
          <w:color w:val="000000"/>
          <w:spacing w:val="0"/>
          <w:w w:val="100"/>
          <w:position w:val="0"/>
          <w:shd w:val="clear" w:color="auto" w:fill="auto"/>
          <w:lang w:val="pt-BR" w:eastAsia="pt-BR" w:bidi="pt-BR"/>
        </w:rPr>
        <w:t xml:space="preserve">realização de lucros após sucessivos recordes ao longo de 2025 e atenção redobrada dos investidores às expectativas de juros nos Estados Unidos e à conjuntura política no Brasil, Houve movimentos mistos entre setores exportadores — beneficiados por um real mais </w:t>
      </w:r>
      <w:r>
        <w:rPr>
          <w:color w:val="798ED5"/>
          <w:spacing w:val="0"/>
          <w:w w:val="100"/>
          <w:position w:val="0"/>
          <w:shd w:val="clear" w:color="auto" w:fill="auto"/>
          <w:lang w:val="pt-BR" w:eastAsia="pt-BR" w:bidi="pt-BR"/>
        </w:rPr>
        <w:t>( 4H</w:t>
      </w:r>
    </w:p>
    <w:p>
      <w:pPr>
        <w:pStyle w:val="Style9"/>
        <w:keepNext w:val="0"/>
        <w:keepLines w:val="0"/>
        <w:widowControl w:val="0"/>
        <w:shd w:val="clear" w:color="auto" w:fill="auto"/>
        <w:bidi w:val="0"/>
        <w:spacing w:before="0" w:after="0" w:line="194" w:lineRule="auto"/>
        <w:ind w:left="0" w:right="0" w:firstLine="0"/>
        <w:jc w:val="left"/>
        <w:rPr>
          <w:sz w:val="24"/>
          <w:szCs w:val="24"/>
        </w:rPr>
      </w:pPr>
      <w:r>
        <w:drawing>
          <wp:anchor distT="0" distB="214630" distL="338455" distR="314960" simplePos="0" relativeHeight="125829386" behindDoc="0" locked="0" layoutInCell="1" allowOverlap="1">
            <wp:simplePos x="0" y="0"/>
            <wp:positionH relativeFrom="page">
              <wp:posOffset>842645</wp:posOffset>
            </wp:positionH>
            <wp:positionV relativeFrom="paragraph">
              <wp:posOffset>38100</wp:posOffset>
            </wp:positionV>
            <wp:extent cx="615950" cy="60325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615950" cy="603250"/>
                    </a:xfrm>
                    <a:prstGeom prst="rect"/>
                  </pic:spPr>
                </pic:pic>
              </a:graphicData>
            </a:graphic>
          </wp:anchor>
        </w:drawing>
      </w:r>
      <w:r>
        <mc:AlternateContent>
          <mc:Choice Requires="wps">
            <w:drawing>
              <wp:anchor distT="568960" distB="0" distL="114300" distR="114300" simplePos="0" relativeHeight="125829387" behindDoc="0" locked="0" layoutInCell="1" allowOverlap="1">
                <wp:simplePos x="0" y="0"/>
                <wp:positionH relativeFrom="page">
                  <wp:posOffset>618490</wp:posOffset>
                </wp:positionH>
                <wp:positionV relativeFrom="paragraph">
                  <wp:posOffset>607060</wp:posOffset>
                </wp:positionV>
                <wp:extent cx="1037590" cy="247015"/>
                <wp:wrapSquare wrapText="right"/>
                <wp:docPr id="17" name="Shape 17"/>
                <a:graphic xmlns:a="http://schemas.openxmlformats.org/drawingml/2006/main">
                  <a:graphicData uri="http://schemas.microsoft.com/office/word/2010/wordprocessingShape">
                    <wps:wsp>
                      <wps:cNvSpPr txBox="1"/>
                      <wps:spPr>
                        <a:xfrm>
                          <a:ext cx="103759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wps:txbx>
                      <wps:bodyPr wrap="none" lIns="0" tIns="0" rIns="0" bIns="0">
                        <a:noAutoFit/>
                      </wps:bodyPr>
                    </wps:wsp>
                  </a:graphicData>
                </a:graphic>
              </wp:anchor>
            </w:drawing>
          </mc:Choice>
          <mc:Fallback>
            <w:pict>
              <v:shape id="_x0000_s1043" type="#_x0000_t202" style="position:absolute;margin-left:48.700000000000003pt;margin-top:47.799999999999997pt;width:81.700000000000003pt;height:19.449999999999999pt;z-index:-125829366;mso-wrap-distance-left:9.pt;mso-wrap-distance-top:44.799999999999997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v:textbox>
                <w10:wrap type="square" side="right" anchorx="page"/>
              </v:shape>
            </w:pict>
          </mc:Fallback>
        </mc:AlternateContent>
      </w:r>
      <w:r>
        <w:drawing>
          <wp:anchor distT="0" distB="0" distL="114300" distR="114300" simplePos="0" relativeHeight="125829389" behindDoc="0" locked="0" layoutInCell="1" allowOverlap="1">
            <wp:simplePos x="0" y="0"/>
            <wp:positionH relativeFrom="page">
              <wp:posOffset>5933440</wp:posOffset>
            </wp:positionH>
            <wp:positionV relativeFrom="paragraph">
              <wp:posOffset>12700</wp:posOffset>
            </wp:positionV>
            <wp:extent cx="804545" cy="804545"/>
            <wp:wrapSquare wrapText="lef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804545" cy="804545"/>
                    </a:xfrm>
                    <a:prstGeom prst="rect"/>
                  </pic:spPr>
                </pic:pic>
              </a:graphicData>
            </a:graphic>
          </wp:anchor>
        </w:drawing>
      </w:r>
      <w:r>
        <w:rPr>
          <w:b/>
          <w:bCs/>
          <w:i/>
          <w:iCs/>
          <w:color w:val="798ED5"/>
          <w:spacing w:val="0"/>
          <w:w w:val="100"/>
          <w:position w:val="0"/>
          <w:sz w:val="24"/>
          <w:szCs w:val="24"/>
          <w:shd w:val="clear" w:color="auto" w:fill="auto"/>
          <w:lang w:val="pt-BR" w:eastAsia="pt-BR" w:bidi="pt-BR"/>
        </w:rPr>
        <w:t>Sistema de Previdência dos Servidores Públicos do</w:t>
      </w:r>
    </w:p>
    <w:p>
      <w:pPr>
        <w:pStyle w:val="Style9"/>
        <w:keepNext w:val="0"/>
        <w:keepLines w:val="0"/>
        <w:widowControl w:val="0"/>
        <w:shd w:val="clear" w:color="auto" w:fill="auto"/>
        <w:bidi w:val="0"/>
        <w:spacing w:before="0" w:after="0" w:line="240" w:lineRule="auto"/>
        <w:ind w:left="0" w:right="0" w:firstLine="780"/>
        <w:jc w:val="left"/>
        <w:rPr>
          <w:sz w:val="24"/>
          <w:szCs w:val="24"/>
        </w:rPr>
      </w:pPr>
      <w:r>
        <w:rPr>
          <w:b/>
          <w:bCs/>
          <w:i/>
          <w:iCs/>
          <w:color w:val="798ED5"/>
          <w:spacing w:val="0"/>
          <w:w w:val="100"/>
          <w:position w:val="0"/>
          <w:sz w:val="24"/>
          <w:szCs w:val="24"/>
          <w:shd w:val="clear" w:color="auto" w:fill="auto"/>
          <w:lang w:val="pt-BR" w:eastAsia="pt-BR" w:bidi="pt-BR"/>
        </w:rPr>
        <w:t>Município de Presidente Figueiredo</w:t>
      </w:r>
    </w:p>
    <w:p>
      <w:pPr>
        <w:pStyle w:val="Style6"/>
        <w:keepNext w:val="0"/>
        <w:keepLines w:val="0"/>
        <w:widowControl w:val="0"/>
        <w:shd w:val="clear" w:color="auto" w:fill="auto"/>
        <w:bidi w:val="0"/>
        <w:spacing w:before="0" w:after="0" w:line="240" w:lineRule="auto"/>
        <w:ind w:left="180" w:right="0" w:firstLine="0"/>
        <w:jc w:val="center"/>
      </w:pPr>
      <w:r>
        <w:rPr>
          <w:spacing w:val="0"/>
          <w:w w:val="100"/>
          <w:position w:val="0"/>
          <w:shd w:val="clear" w:color="auto" w:fill="auto"/>
          <w:lang w:val="pt-BR" w:eastAsia="pt-BR" w:bidi="pt-BR"/>
        </w:rPr>
        <w:t>A Seguradora do Servidor Público Municipal</w:t>
      </w:r>
    </w:p>
    <w:p>
      <w:pPr>
        <w:pStyle w:val="Style9"/>
        <w:keepNext w:val="0"/>
        <w:keepLines w:val="0"/>
        <w:widowControl w:val="0"/>
        <w:shd w:val="clear" w:color="auto" w:fill="auto"/>
        <w:bidi w:val="0"/>
        <w:spacing w:before="0" w:after="0" w:line="211" w:lineRule="auto"/>
        <w:ind w:left="200" w:right="0" w:firstLine="0"/>
        <w:jc w:val="center"/>
      </w:pPr>
      <w:r>
        <w:rPr>
          <w:b/>
          <w:bCs/>
          <w:color w:val="7E7F9E"/>
          <w:spacing w:val="0"/>
          <w:w w:val="100"/>
          <w:position w:val="0"/>
          <w:shd w:val="clear" w:color="auto" w:fill="auto"/>
          <w:lang w:val="pt-BR" w:eastAsia="pt-BR" w:bidi="pt-BR"/>
        </w:rPr>
        <w:t>CNPJ: 05.573.777/0001-69</w:t>
      </w:r>
    </w:p>
    <w:p>
      <w:pPr>
        <w:pStyle w:val="Style9"/>
        <w:keepNext w:val="0"/>
        <w:keepLines w:val="0"/>
        <w:widowControl w:val="0"/>
        <w:shd w:val="clear" w:color="auto" w:fill="auto"/>
        <w:bidi w:val="0"/>
        <w:spacing w:before="0" w:after="220" w:line="233" w:lineRule="auto"/>
        <w:ind w:left="0" w:right="700" w:firstLine="780"/>
        <w:jc w:val="left"/>
        <w:rPr>
          <w:sz w:val="20"/>
          <w:szCs w:val="20"/>
        </w:rPr>
      </w:pPr>
      <w:r>
        <w:rPr>
          <w:color w:val="7E7F9E"/>
          <w:spacing w:val="0"/>
          <w:w w:val="100"/>
          <w:position w:val="0"/>
          <w:sz w:val="20"/>
          <w:szCs w:val="20"/>
          <w:shd w:val="clear" w:color="auto" w:fill="auto"/>
          <w:lang w:val="pt-BR" w:eastAsia="pt-BR" w:bidi="pt-BR"/>
        </w:rPr>
        <w:t>Av. Onça Pintada, N° : 304 - Bairro Galo da Serra Presidente Figueiredo - Amazonas - Brasil - Cep: 69.735-000</w:t>
      </w:r>
    </w:p>
    <w:p>
      <w:pPr>
        <w:pStyle w:val="Style9"/>
        <w:keepNext w:val="0"/>
        <w:keepLines w:val="0"/>
        <w:widowControl w:val="0"/>
        <w:shd w:val="clear" w:color="auto" w:fill="auto"/>
        <w:bidi w:val="0"/>
        <w:spacing w:before="0" w:after="0"/>
        <w:ind w:left="0" w:right="0" w:firstLine="620"/>
        <w:jc w:val="both"/>
        <w:sectPr>
          <w:footnotePr>
            <w:pos w:val="pageBottom"/>
            <w:numFmt w:val="decimal"/>
            <w:numRestart w:val="continuous"/>
          </w:footnotePr>
          <w:pgSz w:w="11900" w:h="16840"/>
          <w:pgMar w:top="716" w:left="405" w:right="382" w:bottom="188" w:header="0" w:footer="3" w:gutter="0"/>
          <w:cols w:space="720"/>
          <w:noEndnote/>
          <w:rtlGutter w:val="0"/>
          <w:docGrid w:linePitch="360"/>
        </w:sectPr>
      </w:pPr>
      <w:r>
        <w:drawing>
          <wp:anchor distT="88900" distB="2927985" distL="88900" distR="116840" simplePos="0" relativeHeight="125829390" behindDoc="0" locked="0" layoutInCell="1" allowOverlap="1">
            <wp:simplePos x="0" y="0"/>
            <wp:positionH relativeFrom="page">
              <wp:posOffset>291465</wp:posOffset>
            </wp:positionH>
            <wp:positionV relativeFrom="paragraph">
              <wp:posOffset>2362200</wp:posOffset>
            </wp:positionV>
            <wp:extent cx="225425" cy="2317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9"/>
                    <a:stretch/>
                  </pic:blipFill>
                  <pic:spPr>
                    <a:xfrm>
                      <a:ext cx="225425" cy="231775"/>
                    </a:xfrm>
                    <a:prstGeom prst="rect"/>
                  </pic:spPr>
                </pic:pic>
              </a:graphicData>
            </a:graphic>
          </wp:anchor>
        </w:drawing>
      </w:r>
      <w:r>
        <w:drawing>
          <wp:anchor distT="2927985" distB="88900" distL="114300" distR="88900" simplePos="0" relativeHeight="125829391" behindDoc="0" locked="0" layoutInCell="1" allowOverlap="1">
            <wp:simplePos x="0" y="0"/>
            <wp:positionH relativeFrom="page">
              <wp:posOffset>316865</wp:posOffset>
            </wp:positionH>
            <wp:positionV relativeFrom="paragraph">
              <wp:posOffset>5201285</wp:posOffset>
            </wp:positionV>
            <wp:extent cx="231775" cy="2317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21"/>
                    <a:stretch/>
                  </pic:blipFill>
                  <pic:spPr>
                    <a:xfrm>
                      <a:ext cx="231775" cy="231775"/>
                    </a:xfrm>
                    <a:prstGeom prst="rect"/>
                  </pic:spPr>
                </pic:pic>
              </a:graphicData>
            </a:graphic>
          </wp:anchor>
        </w:drawing>
      </w:r>
      <w:r>
        <mc:AlternateContent>
          <mc:Choice Requires="wps">
            <w:drawing>
              <wp:anchor distT="0" distB="0" distL="114300" distR="114300" simplePos="0" relativeHeight="125829392" behindDoc="0" locked="0" layoutInCell="1" allowOverlap="1">
                <wp:simplePos x="0" y="0"/>
                <wp:positionH relativeFrom="page">
                  <wp:posOffset>631825</wp:posOffset>
                </wp:positionH>
                <wp:positionV relativeFrom="paragraph">
                  <wp:posOffset>8140700</wp:posOffset>
                </wp:positionV>
                <wp:extent cx="6183630" cy="384175"/>
                <wp:wrapTopAndBottom/>
                <wp:docPr id="25" name="Shape 25"/>
                <a:graphic xmlns:a="http://schemas.openxmlformats.org/drawingml/2006/main">
                  <a:graphicData uri="http://schemas.microsoft.com/office/word/2010/wordprocessingShape">
                    <wps:wsp>
                      <wps:cNvSpPr txBox="1"/>
                      <wps:spPr>
                        <a:xfrm>
                          <a:ext cx="6183630" cy="384175"/>
                        </a:xfrm>
                        <a:prstGeom prst="rect"/>
                        <a:noFill/>
                      </wps:spPr>
                      <wps:txbx>
                        <w:txbxContent>
                          <w:p>
                            <w:pPr>
                              <w:pStyle w:val="Style9"/>
                              <w:keepNext w:val="0"/>
                              <w:keepLines w:val="0"/>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pt-BR" w:eastAsia="pt-BR" w:bidi="pt-BR"/>
                              </w:rPr>
                              <w:t>que determina a legislação que trata do assunto. Os fundos atrelados ao IRF-M1+, tiveram uma pequena recuada. Antes de encerrar a reunião a Presidente fez uma breve</w:t>
                            </w:r>
                          </w:p>
                        </w:txbxContent>
                      </wps:txbx>
                      <wps:bodyPr lIns="0" tIns="0" rIns="0" bIns="0">
                        <a:noAutoFit/>
                      </wps:bodyPr>
                    </wps:wsp>
                  </a:graphicData>
                </a:graphic>
              </wp:anchor>
            </w:drawing>
          </mc:Choice>
          <mc:Fallback>
            <w:pict>
              <v:shape id="_x0000_s1051" type="#_x0000_t202" style="position:absolute;margin-left:49.75pt;margin-top:641.pt;width:486.89999999999998pt;height:30.25pt;z-index:-12582936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pt-BR" w:eastAsia="pt-BR" w:bidi="pt-BR"/>
                        </w:rPr>
                        <w:t>que determina a legislação que trata do assunto. Os fundos atrelados ao IRF-M1+, tiveram uma pequena recuada. Antes de encerrar a reunião a Presidente fez uma breve</w:t>
                      </w:r>
                    </w:p>
                  </w:txbxContent>
                </v:textbox>
                <w10:wrap type="topAndBottom" anchorx="page"/>
              </v:shape>
            </w:pict>
          </mc:Fallback>
        </mc:AlternateContent>
      </w:r>
      <w:r>
        <w:drawing>
          <wp:anchor distT="0" distB="0" distL="114300" distR="114300" simplePos="0" relativeHeight="125829394" behindDoc="0" locked="0" layoutInCell="1" allowOverlap="1">
            <wp:simplePos x="0" y="0"/>
            <wp:positionH relativeFrom="page">
              <wp:posOffset>6888480</wp:posOffset>
            </wp:positionH>
            <wp:positionV relativeFrom="paragraph">
              <wp:posOffset>8229600</wp:posOffset>
            </wp:positionV>
            <wp:extent cx="511810" cy="70104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3"/>
                    <a:stretch/>
                  </pic:blipFill>
                  <pic:spPr>
                    <a:xfrm>
                      <a:ext cx="511810" cy="701040"/>
                    </a:xfrm>
                    <a:prstGeom prst="rect"/>
                  </pic:spPr>
                </pic:pic>
              </a:graphicData>
            </a:graphic>
          </wp:anchor>
        </w:drawing>
      </w:r>
      <w:r>
        <w:rPr>
          <w:color w:val="000000"/>
          <w:spacing w:val="0"/>
          <w:w w:val="100"/>
          <w:position w:val="0"/>
          <w:shd w:val="clear" w:color="auto" w:fill="auto"/>
          <w:lang w:val="pt-BR" w:eastAsia="pt-BR" w:bidi="pt-BR"/>
        </w:rPr>
        <w:t xml:space="preserve">competitivo — e segmentos mais sensíveis a juros e riscos domésticos. Entre as ações com maiores altas no mês, destacaram-se BRAV3 (+5,0%), PCAR3 (+2,5%), CVCB3 (+1,9%), AZZA3 (+1,5%) e HAPV3 (+1,4%), refletindo ganhos em segmentos de energia renovável, varejo e turismo. Por outro lado, as quedas mais expressivas incluíram COGN3 (-3,1%), SANB11 (-2,7%), CSNA3 (-2,5%), BRAP4 (-2,4%) e CYRE3 (-2,1%), com pressão em educação, bancos e siderurgia. Esse padrão reforça que, mesmo com o avanço consistente do Ibovespa no ano, a dispersão setorial permaneceu significativa em dezembro, com ações ligadas ao consumo de bens e serviços não essências e setores de menor liquidez oscilando mais fortemente. No que tange aos riscos, a sensibilidade a variáveis como juros globais, fluxos internacionais e incerteza eleitoral segue adicionando volatilidade, particularmente para papéis mais dependentes de financiamento e de característica cíclica, sendo esta uma tendência para o começo de 2026. </w:t>
      </w:r>
      <w:r>
        <w:rPr>
          <w:b/>
          <w:bCs/>
          <w:color w:val="000000"/>
          <w:spacing w:val="0"/>
          <w:w w:val="100"/>
          <w:position w:val="0"/>
          <w:shd w:val="clear" w:color="auto" w:fill="auto"/>
          <w:lang w:val="pt-BR" w:eastAsia="pt-BR" w:bidi="pt-BR"/>
        </w:rPr>
        <w:t xml:space="preserve">Renda Fixa: </w:t>
      </w:r>
      <w:r>
        <w:rPr>
          <w:color w:val="000000"/>
          <w:spacing w:val="0"/>
          <w:w w:val="100"/>
          <w:position w:val="0"/>
          <w:shd w:val="clear" w:color="auto" w:fill="auto"/>
          <w:lang w:val="pt-BR" w:eastAsia="pt-BR" w:bidi="pt-BR"/>
        </w:rPr>
        <w:t xml:space="preserve">Em dezembro, o mercado de renda fixa manteve desempenho positivo no agregado dos indicadores </w:t>
      </w:r>
      <w:r>
        <w:rPr>
          <w:color w:val="000000"/>
          <w:spacing w:val="0"/>
          <w:w w:val="100"/>
          <w:position w:val="0"/>
          <w:shd w:val="clear" w:color="auto" w:fill="auto"/>
          <w:lang w:val="pt-PT" w:eastAsia="pt-PT" w:bidi="pt-PT"/>
        </w:rPr>
        <w:t xml:space="preserve">IMA, </w:t>
      </w:r>
      <w:r>
        <w:rPr>
          <w:color w:val="000000"/>
          <w:spacing w:val="0"/>
          <w:w w:val="100"/>
          <w:position w:val="0"/>
          <w:shd w:val="clear" w:color="auto" w:fill="auto"/>
          <w:lang w:val="pt-BR" w:eastAsia="pt-BR" w:bidi="pt-BR"/>
        </w:rPr>
        <w:t xml:space="preserve">ainda que com maior </w:t>
      </w:r>
      <w:r>
        <w:rPr>
          <w:color w:val="000000"/>
          <w:spacing w:val="0"/>
          <w:w w:val="100"/>
          <w:position w:val="0"/>
          <w:shd w:val="clear" w:color="auto" w:fill="auto"/>
          <w:lang w:val="pt-PT" w:eastAsia="pt-PT" w:bidi="pt-PT"/>
        </w:rPr>
        <w:t xml:space="preserve">heterogeneidade </w:t>
      </w:r>
      <w:r>
        <w:rPr>
          <w:color w:val="000000"/>
          <w:spacing w:val="0"/>
          <w:w w:val="100"/>
          <w:position w:val="0"/>
          <w:shd w:val="clear" w:color="auto" w:fill="auto"/>
          <w:lang w:val="pt-BR" w:eastAsia="pt-BR" w:bidi="pt-BR"/>
        </w:rPr>
        <w:t xml:space="preserve">entre os subíndices, refletindo ajustes pontuais ao longo da curva de juros e alguma recomposição de prêmios nos vértices mais longos. O IMA-Geral avançou cerca de 0,79% no mês, encerrando 2025 com alta acumulada próxima de 14,8%, sustentada pelo bom desempenho dos títulos pós- fixados e prefixados de menor </w:t>
      </w:r>
      <w:r>
        <w:rPr>
          <w:color w:val="000000"/>
          <w:spacing w:val="0"/>
          <w:w w:val="100"/>
          <w:position w:val="0"/>
          <w:shd w:val="clear" w:color="auto" w:fill="auto"/>
          <w:lang w:val="pt-PT" w:eastAsia="pt-PT" w:bidi="pt-PT"/>
        </w:rPr>
        <w:t xml:space="preserve">duration </w:t>
      </w:r>
      <w:r>
        <w:rPr>
          <w:color w:val="000000"/>
          <w:spacing w:val="0"/>
          <w:w w:val="100"/>
          <w:position w:val="0"/>
          <w:shd w:val="clear" w:color="auto" w:fill="auto"/>
          <w:lang w:val="pt-BR" w:eastAsia="pt-BR" w:bidi="pt-BR"/>
        </w:rPr>
        <w:t xml:space="preserve">ao longo do ano. Os títulos prefixados apresentaram comportamento misto. O IRF-M1 registrou valorização de aproximadamente 1,16%, beneficiado pela estabilidade da parte curta da curva de juros e pela remuneração ainda atrativa em termos reais. Em contrapartida, o IRF-M1+ recuou levemente (-0,06%), refletindo maior sensibilidade aos ajustes nos prazos mais longos e à reprecificação marginal das expectativas para o início do ciclo de flexibilização monetária. Ainda assim, o índice encerrou o ano com ganho expressivo, superior a 20%, mantendo o protagonismo no acumulado de 2025. Por sua vez, o IMA-S avançou cerca de 1,23% em dezembro, acompanhando a remuneração elevada das LFTs em um ambiente de Selic ainda restritiva, o que contribuiu para o bom desempenho dos pós-fixados no fechamento do ano. Já entre os títulos indexados ao IPCA, o comportamento foi mais contido. O IMA-B5 subiu aproximadamente 0,95%, enquanto o IMA-B5+ recuou cerca de -0,19%, evidenciando maior cautela dos investidores em relação às variações de longo prazo. Como resultado, o IMA-B apresentou ganho modesto de 0,31% no mês, encerrando o ano com valorização próxima de 13,2%. No que tange ao atendimento das metas atuariais, normalmente definidas como o IPCA acumulado no ano acrescido de um spread real de 6%, o desempenho dos indicadores </w:t>
      </w:r>
      <w:r>
        <w:rPr>
          <w:color w:val="000000"/>
          <w:spacing w:val="0"/>
          <w:w w:val="100"/>
          <w:position w:val="0"/>
          <w:shd w:val="clear" w:color="auto" w:fill="auto"/>
          <w:lang w:val="pt-PT" w:eastAsia="pt-PT" w:bidi="pt-PT"/>
        </w:rPr>
        <w:t xml:space="preserve">IMA </w:t>
      </w:r>
      <w:r>
        <w:rPr>
          <w:color w:val="000000"/>
          <w:spacing w:val="0"/>
          <w:w w:val="100"/>
          <w:position w:val="0"/>
          <w:shd w:val="clear" w:color="auto" w:fill="auto"/>
          <w:lang w:val="pt-BR" w:eastAsia="pt-BR" w:bidi="pt-BR"/>
        </w:rPr>
        <w:t xml:space="preserve">foi favorável. Considerando uma inflação próxima de 4,3% em 2025, a meta atuarial situou-se ao redor de 10,5%, patamar superado pelo IMA-Geral, pelo IMA-B, pelo IMA-S e, com maior folga, pelos subíndices de prefixados, em especial o IRF-M1+. Esse resultado reforça a eficácia das estratégias de alocação em renda fixa ao longo do ano, sobretudo aquelas que combinaram exposição a títulos pós- fixados e prefixados de maior duration, permitindo não apenas a preservação do poder de compra dos ativos previdenciários, mas também a geração de ganho real consistente, contribuindo para a melhoria do equilíbrio atuarial dos planos. Informamos que esses dados são obtidos através dos Relatórios mensais enviados pela Assessoria técnica da empresa Referencia Gestão e Risco. Com base nos relatórios de enquadramento, / rendimentos vezes meta atuarial, a Carteira de Investimentos do SISPREV, está beqí\ </w:t>
      </w:r>
      <w:r>
        <w:rPr>
          <w:color w:val="7E7F9E"/>
          <w:spacing w:val="0"/>
          <w:w w:val="100"/>
          <w:position w:val="0"/>
          <w:shd w:val="clear" w:color="auto" w:fill="auto"/>
          <w:lang w:val="pt-BR" w:eastAsia="pt-BR" w:bidi="pt-BR"/>
        </w:rPr>
        <w:t xml:space="preserve">A </w:t>
      </w:r>
      <w:r>
        <w:rPr>
          <w:color w:val="000000"/>
          <w:spacing w:val="0"/>
          <w:w w:val="100"/>
          <w:position w:val="0"/>
          <w:shd w:val="clear" w:color="auto" w:fill="auto"/>
          <w:lang w:val="pt-BR" w:eastAsia="pt-BR" w:bidi="pt-BR"/>
        </w:rPr>
        <w:t>diversificada, os ganhos estão acima de 1% ao mês, uma média de 12%aa. E dentro dò^_</w:t>
      </w:r>
    </w:p>
    <w:p>
      <w:pPr>
        <w:pStyle w:val="Style9"/>
        <w:keepNext w:val="0"/>
        <w:keepLines w:val="0"/>
        <w:widowControl w:val="0"/>
        <w:shd w:val="clear" w:color="auto" w:fill="auto"/>
        <w:bidi w:val="0"/>
        <w:spacing w:before="0" w:after="0" w:line="240" w:lineRule="auto"/>
        <w:ind w:left="0" w:right="0" w:firstLine="0"/>
        <w:jc w:val="left"/>
        <w:rPr>
          <w:sz w:val="24"/>
          <w:szCs w:val="24"/>
        </w:rPr>
      </w:pPr>
      <w:r>
        <w:drawing>
          <wp:anchor distT="0" distB="215265" distL="334010" distR="315595" simplePos="0" relativeHeight="125829395" behindDoc="0" locked="0" layoutInCell="1" allowOverlap="1">
            <wp:simplePos x="0" y="0"/>
            <wp:positionH relativeFrom="page">
              <wp:posOffset>859790</wp:posOffset>
            </wp:positionH>
            <wp:positionV relativeFrom="paragraph">
              <wp:posOffset>63500</wp:posOffset>
            </wp:positionV>
            <wp:extent cx="609600" cy="60325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5"/>
                    <a:stretch/>
                  </pic:blipFill>
                  <pic:spPr>
                    <a:xfrm>
                      <a:ext cx="609600" cy="603250"/>
                    </a:xfrm>
                    <a:prstGeom prst="rect"/>
                  </pic:spPr>
                </pic:pic>
              </a:graphicData>
            </a:graphic>
          </wp:anchor>
        </w:drawing>
      </w:r>
      <w:r>
        <mc:AlternateContent>
          <mc:Choice Requires="wps">
            <w:drawing>
              <wp:anchor distT="571500" distB="0" distL="114300" distR="114300" simplePos="0" relativeHeight="125829396" behindDoc="0" locked="0" layoutInCell="1" allowOverlap="1">
                <wp:simplePos x="0" y="0"/>
                <wp:positionH relativeFrom="page">
                  <wp:posOffset>640080</wp:posOffset>
                </wp:positionH>
                <wp:positionV relativeFrom="paragraph">
                  <wp:posOffset>635000</wp:posOffset>
                </wp:positionV>
                <wp:extent cx="1031240" cy="247015"/>
                <wp:wrapSquare wrapText="right"/>
                <wp:docPr id="31" name="Shape 31"/>
                <a:graphic xmlns:a="http://schemas.openxmlformats.org/drawingml/2006/main">
                  <a:graphicData uri="http://schemas.microsoft.com/office/word/2010/wordprocessingShape">
                    <wps:wsp>
                      <wps:cNvSpPr txBox="1"/>
                      <wps:spPr>
                        <a:xfrm>
                          <a:ext cx="103124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wps:txbx>
                      <wps:bodyPr wrap="none" lIns="0" tIns="0" rIns="0" bIns="0">
                        <a:noAutoFit/>
                      </wps:bodyPr>
                    </wps:wsp>
                  </a:graphicData>
                </a:graphic>
              </wp:anchor>
            </w:drawing>
          </mc:Choice>
          <mc:Fallback>
            <w:pict>
              <v:shape id="_x0000_s1057" type="#_x0000_t202" style="position:absolute;margin-left:50.399999999999999pt;margin-top:50.pt;width:81.200000000000003pt;height:19.449999999999999pt;z-index:-125829357;mso-wrap-distance-left:9.pt;mso-wrap-distance-top:45.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v:textbox>
                <w10:wrap type="square" side="right" anchorx="page"/>
              </v:shape>
            </w:pict>
          </mc:Fallback>
        </mc:AlternateContent>
      </w:r>
      <w:r>
        <w:drawing>
          <wp:anchor distT="0" distB="0" distL="114300" distR="114300" simplePos="0" relativeHeight="125829398" behindDoc="0" locked="0" layoutInCell="1" allowOverlap="1">
            <wp:simplePos x="0" y="0"/>
            <wp:positionH relativeFrom="page">
              <wp:posOffset>5955030</wp:posOffset>
            </wp:positionH>
            <wp:positionV relativeFrom="paragraph">
              <wp:posOffset>12700</wp:posOffset>
            </wp:positionV>
            <wp:extent cx="804545" cy="804545"/>
            <wp:wrapSquare wrapText="lef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7"/>
                    <a:stretch/>
                  </pic:blipFill>
                  <pic:spPr>
                    <a:xfrm>
                      <a:ext cx="804545" cy="804545"/>
                    </a:xfrm>
                    <a:prstGeom prst="rect"/>
                  </pic:spPr>
                </pic:pic>
              </a:graphicData>
            </a:graphic>
          </wp:anchor>
        </w:drawing>
      </w:r>
      <w:r>
        <w:rPr>
          <w:b/>
          <w:bCs/>
          <w:i/>
          <w:iCs/>
          <w:color w:val="798ED5"/>
          <w:spacing w:val="0"/>
          <w:w w:val="100"/>
          <w:position w:val="0"/>
          <w:sz w:val="24"/>
          <w:szCs w:val="24"/>
          <w:shd w:val="clear" w:color="auto" w:fill="auto"/>
          <w:lang w:val="pt-BR" w:eastAsia="pt-BR" w:bidi="pt-BR"/>
        </w:rPr>
        <w:t>Sistema de Previdência dos Servidores Públicos do</w:t>
      </w:r>
    </w:p>
    <w:p>
      <w:pPr>
        <w:pStyle w:val="Style9"/>
        <w:keepNext w:val="0"/>
        <w:keepLines w:val="0"/>
        <w:widowControl w:val="0"/>
        <w:shd w:val="clear" w:color="auto" w:fill="auto"/>
        <w:bidi w:val="0"/>
        <w:spacing w:before="0" w:after="0" w:line="240" w:lineRule="auto"/>
        <w:ind w:left="760" w:right="0" w:firstLine="20"/>
        <w:jc w:val="left"/>
        <w:rPr>
          <w:sz w:val="24"/>
          <w:szCs w:val="24"/>
        </w:rPr>
      </w:pPr>
      <w:r>
        <w:rPr>
          <w:b/>
          <w:bCs/>
          <w:i/>
          <w:iCs/>
          <w:color w:val="798ED5"/>
          <w:spacing w:val="0"/>
          <w:w w:val="100"/>
          <w:position w:val="0"/>
          <w:sz w:val="24"/>
          <w:szCs w:val="24"/>
          <w:shd w:val="clear" w:color="auto" w:fill="auto"/>
          <w:lang w:val="pt-BR" w:eastAsia="pt-BR" w:bidi="pt-BR"/>
        </w:rPr>
        <w:t>Município de Presidente Figueiredo</w:t>
      </w:r>
    </w:p>
    <w:p>
      <w:pPr>
        <w:pStyle w:val="Style6"/>
        <w:keepNext w:val="0"/>
        <w:keepLines w:val="0"/>
        <w:widowControl w:val="0"/>
        <w:shd w:val="clear" w:color="auto" w:fill="auto"/>
        <w:bidi w:val="0"/>
        <w:spacing w:before="0" w:after="0" w:line="240" w:lineRule="auto"/>
        <w:ind w:left="180" w:right="0" w:firstLine="0"/>
        <w:jc w:val="center"/>
      </w:pPr>
      <w:r>
        <w:rPr>
          <w:spacing w:val="0"/>
          <w:w w:val="100"/>
          <w:position w:val="0"/>
          <w:shd w:val="clear" w:color="auto" w:fill="auto"/>
          <w:lang w:val="pt-BR" w:eastAsia="pt-BR" w:bidi="pt-BR"/>
        </w:rPr>
        <w:t>A Seguradora do Servidor Público Municipal</w:t>
      </w:r>
    </w:p>
    <w:p>
      <w:pPr>
        <w:pStyle w:val="Style9"/>
        <w:keepNext w:val="0"/>
        <w:keepLines w:val="0"/>
        <w:widowControl w:val="0"/>
        <w:shd w:val="clear" w:color="auto" w:fill="auto"/>
        <w:bidi w:val="0"/>
        <w:spacing w:before="0" w:after="0" w:line="228" w:lineRule="auto"/>
        <w:ind w:left="180" w:right="0" w:firstLine="0"/>
        <w:jc w:val="center"/>
      </w:pPr>
      <w:r>
        <w:rPr>
          <w:b/>
          <w:bCs/>
          <w:color w:val="7E7F9E"/>
          <w:spacing w:val="0"/>
          <w:w w:val="100"/>
          <w:position w:val="0"/>
          <w:shd w:val="clear" w:color="auto" w:fill="auto"/>
          <w:lang w:val="pt-BR" w:eastAsia="pt-BR" w:bidi="pt-BR"/>
        </w:rPr>
        <w:t>CNPJ: 05.573.777/0001-69</w:t>
      </w:r>
    </w:p>
    <w:p>
      <w:pPr>
        <w:pStyle w:val="Style9"/>
        <w:keepNext w:val="0"/>
        <w:keepLines w:val="0"/>
        <w:widowControl w:val="0"/>
        <w:shd w:val="clear" w:color="auto" w:fill="auto"/>
        <w:bidi w:val="0"/>
        <w:spacing w:before="0" w:after="0" w:line="240" w:lineRule="auto"/>
        <w:ind w:left="180" w:right="0" w:firstLine="0"/>
        <w:jc w:val="center"/>
        <w:rPr>
          <w:sz w:val="20"/>
          <w:szCs w:val="20"/>
        </w:rPr>
      </w:pPr>
      <w:r>
        <w:rPr>
          <w:color w:val="7E7F9E"/>
          <w:spacing w:val="0"/>
          <w:w w:val="100"/>
          <w:position w:val="0"/>
          <w:sz w:val="20"/>
          <w:szCs w:val="20"/>
          <w:shd w:val="clear" w:color="auto" w:fill="auto"/>
          <w:lang w:val="pt-BR" w:eastAsia="pt-BR" w:bidi="pt-BR"/>
        </w:rPr>
        <w:t>Av. Onça Pintada, N</w:t>
      </w:r>
      <w:r>
        <w:rPr>
          <w:color w:val="7E7F9E"/>
          <w:spacing w:val="0"/>
          <w:w w:val="100"/>
          <w:position w:val="0"/>
          <w:sz w:val="20"/>
          <w:szCs w:val="20"/>
          <w:shd w:val="clear" w:color="auto" w:fill="auto"/>
          <w:vertAlign w:val="superscript"/>
          <w:lang w:val="pt-BR" w:eastAsia="pt-BR" w:bidi="pt-BR"/>
        </w:rPr>
        <w:t>0</w:t>
      </w:r>
      <w:r>
        <w:rPr>
          <w:color w:val="7E7F9E"/>
          <w:spacing w:val="0"/>
          <w:w w:val="100"/>
          <w:position w:val="0"/>
          <w:sz w:val="20"/>
          <w:szCs w:val="20"/>
          <w:shd w:val="clear" w:color="auto" w:fill="auto"/>
          <w:lang w:val="pt-BR" w:eastAsia="pt-BR" w:bidi="pt-BR"/>
        </w:rPr>
        <w:t>.: 304 - Bairro Galo da Serra</w:t>
      </w:r>
    </w:p>
    <w:p>
      <w:pPr>
        <w:pStyle w:val="Style9"/>
        <w:keepNext w:val="0"/>
        <w:keepLines w:val="0"/>
        <w:widowControl w:val="0"/>
        <w:shd w:val="clear" w:color="auto" w:fill="auto"/>
        <w:bidi w:val="0"/>
        <w:spacing w:before="0" w:after="220" w:line="233" w:lineRule="auto"/>
        <w:ind w:left="0" w:right="0" w:firstLine="0"/>
        <w:jc w:val="left"/>
        <w:rPr>
          <w:sz w:val="20"/>
          <w:szCs w:val="20"/>
        </w:rPr>
      </w:pPr>
      <w:r>
        <w:rPr>
          <w:color w:val="7E7F9E"/>
          <w:spacing w:val="0"/>
          <w:w w:val="100"/>
          <w:position w:val="0"/>
          <w:sz w:val="20"/>
          <w:szCs w:val="20"/>
          <w:shd w:val="clear" w:color="auto" w:fill="auto"/>
          <w:lang w:val="pt-BR" w:eastAsia="pt-BR" w:bidi="pt-BR"/>
        </w:rPr>
        <w:t>Presidente Figueiredo - Amazonas - Brasil - Cep: 69.735-000</w:t>
      </w:r>
    </w:p>
    <w:p>
      <w:pPr>
        <w:pStyle w:val="Style9"/>
        <w:keepNext w:val="0"/>
        <w:keepLines w:val="0"/>
        <w:widowControl w:val="0"/>
        <w:shd w:val="clear" w:color="auto" w:fill="auto"/>
        <w:bidi w:val="0"/>
        <w:spacing w:before="0" w:after="280"/>
        <w:ind w:left="600" w:right="720" w:firstLine="20"/>
        <w:jc w:val="both"/>
      </w:pPr>
      <w:r>
        <w:rPr>
          <w:color w:val="000000"/>
          <w:spacing w:val="0"/>
          <w:w w:val="100"/>
          <w:position w:val="0"/>
          <w:shd w:val="clear" w:color="auto" w:fill="auto"/>
          <w:lang w:val="pt-BR" w:eastAsia="pt-BR" w:bidi="pt-BR"/>
        </w:rPr>
        <w:t xml:space="preserve">resumo dos recebimentos em relação aos repasses previdenciários, informando e demosntrando através de planilhas que o Valor de Repasses Previdenciários ao longo do ano de 2025, era de R$ 22.981.402,29 (vinte e dois milhões novecentos e oitenta e um mil quatrocentos e dois reais e vinte e nove centavos), e que foi recebido o valor de R$ 21.178.870,92 (Vinte e um milhões cento e setenta e oito mil oitocentos e setenta reais e noventa e dois centavos), e que a diferença no valor de R$ 1.802.531,23 (Hum milhão oitocentos e dois mil quinhentos e trinta e um reais e vinte e três centavos), referente aos repasses de dezembro de 2025, foram repassados em janeiro de dois mil e vinte e seis, porém, não ficou pendencia de repasses dos Entes federativos com este Instituo de Previdência. Que durante todo o ano de dois mil e vinte e cinco todas aplicações estavam e estão enquadradas de acordo com o que determina a Resolução 4963/2021. Que os ganhos de Investimentos ao longo do ano de dois mil e vinte e cinco, foram de R$ 20.486.411,43 (Vinte milhões quatrocentos e oitenta e seis mil quatrocentos e onze reais e quarenta e três centavos). Que a Meta Atuarial que era IPCA +5.20%, foi atingida com folego. Que tivemos oscilação nos meses de fevereiro, março e abril do ano de dois mil e vinte e cinco, conta de três fundos de Investimentos: </w:t>
      </w:r>
      <w:r>
        <w:rPr>
          <w:color w:val="000000"/>
          <w:spacing w:val="0"/>
          <w:w w:val="100"/>
          <w:position w:val="0"/>
          <w:shd w:val="clear" w:color="auto" w:fill="auto"/>
          <w:lang w:val="pt-PT" w:eastAsia="pt-PT" w:bidi="pt-PT"/>
        </w:rPr>
        <w:t xml:space="preserve">CEF </w:t>
      </w:r>
      <w:r>
        <w:rPr>
          <w:color w:val="000000"/>
          <w:spacing w:val="0"/>
          <w:w w:val="100"/>
          <w:position w:val="0"/>
          <w:shd w:val="clear" w:color="auto" w:fill="auto"/>
          <w:lang w:val="pt-BR" w:eastAsia="pt-BR" w:bidi="pt-BR"/>
        </w:rPr>
        <w:t>BDR NIVEL 1, AÇÕES BOLDA AMERICANA E CAIXA INDEXA BOLSA AMERICANA, fundos do art.8° II e III. Desde que foram aplicados os rendimentos foram muito significativos, porém, com a medida do governo dos Estados Unidos (EUA) de impor tarifas a todos os parceiros comerciais, correram rendimentos negativos. O comitê com base nas informações do mercado financeiro, tomou decisão de resgatar os valores desses fundos, como medida preventiva de não perder os ganhos ocorridos ao longo do período desde sua aplicação. Outra aplicação que nos mantem atentos é uma que foi realizada na Cooperativa SICOOB, a Longo prazo, prazo de cinco anos, até o momento vem apresentado bons rendimentos, porém a SICCOB é uma cooperativa com CNPJ independente para cada município, ou seja, se a cooperativa do Município de Presidente Figueiredo, não consegui alavancar, podemos correr o risco de perda do valor aplicado. FINALIZANDO a mesma reforça a informações que todos esses dados constantes nesta ATA de REUNIÃO, constam nos relatórios arquivados neste órgão e estão à disposição dos senhores, porém, caso algum membro tenha sugestão que seja favorável ao SISPREV, estamos aqui a disposição para deliberação. Os demais membros afirmam que estão de acordo com a atual carteira de investimentos. E por não ter nada mais para deliberar a Senhora Suzana Farias de Araújo - Presidente do Comitê, deu por encerrada a presente reunião. Nada mais havendo para constar, foi por mim, Ednamar da Silva e Silva, designada como Secretária do Comitê, lavrada a presente ata, que logo lida e aprovada, vai por todos assinada.</w:t>
      </w:r>
    </w:p>
    <w:p>
      <w:pPr>
        <w:pStyle w:val="Style9"/>
        <w:keepNext w:val="0"/>
        <w:keepLines w:val="0"/>
        <w:widowControl w:val="0"/>
        <w:shd w:val="clear" w:color="auto" w:fill="auto"/>
        <w:bidi w:val="0"/>
        <w:spacing w:before="0" w:after="720" w:line="240" w:lineRule="auto"/>
        <w:ind w:left="600" w:right="0" w:firstLine="20"/>
        <w:jc w:val="both"/>
      </w:pPr>
      <w:r>
        <w:drawing>
          <wp:anchor distT="0" distB="91440" distL="128270" distR="3122930" simplePos="0" relativeHeight="125829399" behindDoc="0" locked="0" layoutInCell="1" allowOverlap="1">
            <wp:simplePos x="0" y="0"/>
            <wp:positionH relativeFrom="page">
              <wp:posOffset>670560</wp:posOffset>
            </wp:positionH>
            <wp:positionV relativeFrom="paragraph">
              <wp:posOffset>254000</wp:posOffset>
            </wp:positionV>
            <wp:extent cx="859790" cy="73152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9"/>
                    <a:stretch/>
                  </pic:blipFill>
                  <pic:spPr>
                    <a:xfrm>
                      <a:ext cx="859790" cy="73152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656590</wp:posOffset>
                </wp:positionH>
                <wp:positionV relativeFrom="paragraph">
                  <wp:posOffset>839470</wp:posOffset>
                </wp:positionV>
                <wp:extent cx="772795" cy="187325"/>
                <wp:wrapNone/>
                <wp:docPr id="37" name="Shape 37"/>
                <a:graphic xmlns:a="http://schemas.openxmlformats.org/drawingml/2006/main">
                  <a:graphicData uri="http://schemas.microsoft.com/office/word/2010/wordprocessingShape">
                    <wps:wsp>
                      <wps:cNvSpPr txBox="1"/>
                      <wps:spPr>
                        <a:xfrm>
                          <a:ext cx="772795" cy="18732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Presidentè</w:t>
                            </w:r>
                          </w:p>
                        </w:txbxContent>
                      </wps:txbx>
                      <wps:bodyPr lIns="0" tIns="0" rIns="0" bIns="0">
                        <a:noAutoFit/>
                      </wps:bodyPr>
                    </wps:wsp>
                  </a:graphicData>
                </a:graphic>
              </wp:anchor>
            </w:drawing>
          </mc:Choice>
          <mc:Fallback>
            <w:pict>
              <v:shape id="_x0000_s1063" type="#_x0000_t202" style="position:absolute;margin-left:51.700000000000003pt;margin-top:66.099999999999994pt;width:60.850000000000001pt;height:14.75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Presidentè</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1525270</wp:posOffset>
                </wp:positionH>
                <wp:positionV relativeFrom="paragraph">
                  <wp:posOffset>633730</wp:posOffset>
                </wp:positionV>
                <wp:extent cx="797560" cy="189865"/>
                <wp:wrapNone/>
                <wp:docPr id="39" name="Shape 39"/>
                <a:graphic xmlns:a="http://schemas.openxmlformats.org/drawingml/2006/main">
                  <a:graphicData uri="http://schemas.microsoft.com/office/word/2010/wordprocessingShape">
                    <wps:wsp>
                      <wps:cNvSpPr txBox="1"/>
                      <wps:spPr>
                        <a:xfrm>
                          <a:ext cx="797560" cy="18986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 de Araújo</w:t>
                            </w:r>
                          </w:p>
                        </w:txbxContent>
                      </wps:txbx>
                      <wps:bodyPr lIns="0" tIns="0" rIns="0" bIns="0">
                        <a:noAutoFit/>
                      </wps:bodyPr>
                    </wps:wsp>
                  </a:graphicData>
                </a:graphic>
              </wp:anchor>
            </w:drawing>
          </mc:Choice>
          <mc:Fallback>
            <w:pict>
              <v:shape id="_x0000_s1065" type="#_x0000_t202" style="position:absolute;margin-left:120.09999999999999pt;margin-top:49.899999999999999pt;width:62.799999999999997pt;height:14.949999999999999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 de Araújo</w:t>
                      </w:r>
                    </w:p>
                  </w:txbxContent>
                </v:textbox>
                <w10:wrap anchorx="page"/>
              </v:shape>
            </w:pict>
          </mc:Fallback>
        </mc:AlternateContent>
      </w:r>
      <w:r>
        <mc:AlternateContent>
          <mc:Choice Requires="wps">
            <w:drawing>
              <wp:anchor distT="356870" distB="0" distL="2361565" distR="114300" simplePos="0" relativeHeight="125829400" behindDoc="0" locked="0" layoutInCell="1" allowOverlap="1">
                <wp:simplePos x="0" y="0"/>
                <wp:positionH relativeFrom="page">
                  <wp:posOffset>2903855</wp:posOffset>
                </wp:positionH>
                <wp:positionV relativeFrom="paragraph">
                  <wp:posOffset>610870</wp:posOffset>
                </wp:positionV>
                <wp:extent cx="1631950" cy="466090"/>
                <wp:wrapSquare wrapText="right"/>
                <wp:docPr id="41" name="Shape 41"/>
                <a:graphic xmlns:a="http://schemas.openxmlformats.org/drawingml/2006/main">
                  <a:graphicData uri="http://schemas.microsoft.com/office/word/2010/wordprocessingShape">
                    <wps:wsp>
                      <wps:cNvSpPr txBox="1"/>
                      <wps:spPr>
                        <a:xfrm>
                          <a:ext cx="1631950" cy="466090"/>
                        </a:xfrm>
                        <a:prstGeom prst="rect"/>
                        <a:noFill/>
                      </wps:spPr>
                      <wps:txbx>
                        <w:txbxContent>
                          <w:p>
                            <w:pPr>
                              <w:pStyle w:val="Style9"/>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BR" w:eastAsia="pt-BR" w:bidi="pt-BR"/>
                              </w:rPr>
                              <w:t>Solange Duarte Moreira Dir. Adm. e Financeira</w:t>
                            </w:r>
                          </w:p>
                        </w:txbxContent>
                      </wps:txbx>
                      <wps:bodyPr lIns="0" tIns="0" rIns="0" bIns="0">
                        <a:noAutoFit/>
                      </wps:bodyPr>
                    </wps:wsp>
                  </a:graphicData>
                </a:graphic>
              </wp:anchor>
            </w:drawing>
          </mc:Choice>
          <mc:Fallback>
            <w:pict>
              <v:shape id="_x0000_s1067" type="#_x0000_t202" style="position:absolute;margin-left:228.65000000000001pt;margin-top:48.100000000000001pt;width:128.5pt;height:36.700000000000003pt;z-index:-125829353;mso-wrap-distance-left:185.94999999999999pt;mso-wrap-distance-top:28.100000000000001pt;mso-wrap-distance-right:9.pt;mso-position-horizontal-relative:page" filled="f" stroked="f">
                <v:textbox inset="0,0,0,0">
                  <w:txbxContent>
                    <w:p>
                      <w:pPr>
                        <w:pStyle w:val="Style9"/>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BR" w:eastAsia="pt-BR" w:bidi="pt-BR"/>
                        </w:rPr>
                        <w:t>Solange Duarte Moreira Dir. Adm. e Financeira</w:t>
                      </w:r>
                    </w:p>
                  </w:txbxContent>
                </v:textbox>
                <w10:wrap type="square" side="right" anchorx="page"/>
              </v:shape>
            </w:pict>
          </mc:Fallback>
        </mc:AlternateContent>
      </w:r>
      <w:r>
        <w:rPr>
          <w:b/>
          <w:bCs/>
          <w:color w:val="000000"/>
          <w:spacing w:val="0"/>
          <w:w w:val="100"/>
          <w:position w:val="0"/>
          <w:u w:val="single"/>
          <w:shd w:val="clear" w:color="auto" w:fill="auto"/>
          <w:lang w:val="pt-BR" w:eastAsia="pt-BR" w:bidi="pt-BR"/>
        </w:rPr>
        <w:t>MEMBROS DO COMITÊ DE POLÍTICA DE INVESTIMENTOS:</w:t>
      </w:r>
    </w:p>
    <w:p>
      <w:pPr>
        <w:pStyle w:val="Style9"/>
        <w:keepNext w:val="0"/>
        <w:keepLines w:val="0"/>
        <w:widowControl w:val="0"/>
        <w:shd w:val="clear" w:color="auto" w:fill="auto"/>
        <w:bidi w:val="0"/>
        <w:spacing w:before="0" w:after="260" w:line="312" w:lineRule="auto"/>
        <w:ind w:left="0" w:right="0" w:firstLine="0"/>
        <w:jc w:val="left"/>
        <w:sectPr>
          <w:footnotePr>
            <w:pos w:val="pageBottom"/>
            <w:numFmt w:val="decimal"/>
            <w:numRestart w:val="continuous"/>
          </w:footnotePr>
          <w:pgSz w:w="11900" w:h="16840"/>
          <w:pgMar w:top="709" w:left="429" w:right="358" w:bottom="767" w:header="0" w:footer="3" w:gutter="0"/>
          <w:cols w:space="720"/>
          <w:noEndnote/>
          <w:rtlGutter w:val="0"/>
          <w:docGrid w:linePitch="360"/>
        </w:sectPr>
      </w:pPr>
      <w:r>
        <w:rPr>
          <w:color w:val="000000"/>
          <w:spacing w:val="0"/>
          <w:w w:val="100"/>
          <w:position w:val="0"/>
          <w:shd w:val="clear" w:color="auto" w:fill="auto"/>
          <w:lang w:val="pt-BR" w:eastAsia="pt-BR" w:bidi="pt-BR"/>
        </w:rPr>
        <w:t xml:space="preserve">Edhamar dá-Silva e Silva Serv. </w:t>
      </w:r>
      <w:r>
        <w:rPr>
          <w:color w:val="000000"/>
          <w:spacing w:val="0"/>
          <w:w w:val="100"/>
          <w:position w:val="0"/>
          <w:shd w:val="clear" w:color="auto" w:fill="auto"/>
          <w:lang w:val="pt-PT" w:eastAsia="pt-PT" w:bidi="pt-PT"/>
        </w:rPr>
        <w:t xml:space="preserve">Efetiva-Membro </w:t>
      </w:r>
      <w:r>
        <w:rPr>
          <w:color w:val="000000"/>
          <w:spacing w:val="0"/>
          <w:w w:val="100"/>
          <w:position w:val="0"/>
          <w:shd w:val="clear" w:color="auto" w:fill="auto"/>
          <w:lang w:val="pt-BR" w:eastAsia="pt-BR" w:bidi="pt-BR"/>
        </w:rPr>
        <w:t>Comitê</w:t>
      </w:r>
    </w:p>
    <w:p>
      <w:pPr>
        <w:pStyle w:val="Style21"/>
        <w:keepNext w:val="0"/>
        <w:keepLines w:val="0"/>
        <w:framePr w:w="176" w:h="338" w:wrap="none" w:hAnchor="page" w:x="1280" w:y="44"/>
        <w:widowControl w:val="0"/>
        <w:shd w:val="clear" w:color="auto" w:fill="auto"/>
        <w:bidi w:val="0"/>
        <w:spacing w:before="0" w:after="0" w:line="211" w:lineRule="auto"/>
        <w:ind w:left="0" w:right="0" w:firstLine="0"/>
        <w:jc w:val="both"/>
        <w:rPr>
          <w:sz w:val="8"/>
          <w:szCs w:val="8"/>
        </w:rPr>
      </w:pPr>
      <w:r>
        <w:rPr>
          <w:b/>
          <w:bCs/>
          <w:color w:val="000000"/>
          <w:spacing w:val="0"/>
          <w:w w:val="100"/>
          <w:position w:val="0"/>
          <w:sz w:val="8"/>
          <w:szCs w:val="8"/>
          <w:shd w:val="clear" w:color="auto" w:fill="auto"/>
          <w:lang w:val="pt-BR" w:eastAsia="pt-BR" w:bidi="pt-BR"/>
        </w:rPr>
        <w:t>LTJ CM O CM</w:t>
      </w:r>
    </w:p>
    <w:p>
      <w:pPr>
        <w:pStyle w:val="Style21"/>
        <w:keepNext w:val="0"/>
        <w:keepLines w:val="0"/>
        <w:framePr w:w="176" w:h="270" w:wrap="none" w:hAnchor="page" w:x="1280" w:y="433"/>
        <w:widowControl w:val="0"/>
        <w:shd w:val="clear" w:color="auto" w:fill="auto"/>
        <w:bidi w:val="0"/>
        <w:spacing w:before="0" w:after="0" w:line="338" w:lineRule="auto"/>
        <w:ind w:left="0" w:right="0" w:firstLine="0"/>
        <w:jc w:val="right"/>
        <w:rPr>
          <w:sz w:val="8"/>
          <w:szCs w:val="8"/>
        </w:rPr>
      </w:pPr>
      <w:r>
        <w:rPr>
          <w:b/>
          <w:bCs/>
          <w:color w:val="000000"/>
          <w:spacing w:val="0"/>
          <w:w w:val="100"/>
          <w:position w:val="0"/>
          <w:sz w:val="8"/>
          <w:szCs w:val="8"/>
          <w:shd w:val="clear" w:color="auto" w:fill="auto"/>
          <w:lang w:val="pt-BR" w:eastAsia="pt-BR" w:bidi="pt-BR"/>
        </w:rPr>
        <w:t>C3 .O</w:t>
      </w:r>
    </w:p>
    <w:p>
      <w:pPr>
        <w:pStyle w:val="Style21"/>
        <w:keepNext w:val="0"/>
        <w:keepLines w:val="0"/>
        <w:framePr w:w="184" w:h="252" w:wrap="none" w:hAnchor="page" w:x="1273" w:y="12705"/>
        <w:widowControl w:val="0"/>
        <w:shd w:val="clear" w:color="auto" w:fill="auto"/>
        <w:bidi w:val="0"/>
        <w:spacing w:before="0" w:after="0"/>
        <w:ind w:left="0" w:right="0" w:firstLine="0"/>
        <w:jc w:val="right"/>
        <w:rPr>
          <w:sz w:val="9"/>
          <w:szCs w:val="9"/>
        </w:rPr>
      </w:pPr>
      <w:r>
        <w:rPr>
          <w:color w:val="000000"/>
          <w:spacing w:val="0"/>
          <w:w w:val="100"/>
          <w:position w:val="0"/>
          <w:sz w:val="9"/>
          <w:szCs w:val="9"/>
          <w:shd w:val="clear" w:color="auto" w:fill="auto"/>
          <w:lang w:val="pt-BR" w:eastAsia="pt-BR" w:bidi="pt-BR"/>
        </w:rPr>
        <w:t>0) ■D</w:t>
      </w:r>
    </w:p>
    <w:p>
      <w:pPr>
        <w:pStyle w:val="Style6"/>
        <w:keepNext w:val="0"/>
        <w:keepLines w:val="0"/>
        <w:framePr w:w="187" w:h="698" w:wrap="none" w:hAnchor="page" w:x="1273" w:y="12961"/>
        <w:widowControl w:val="0"/>
        <w:shd w:val="clear" w:color="auto" w:fill="auto"/>
        <w:bidi w:val="0"/>
        <w:spacing w:before="0" w:after="0" w:line="86" w:lineRule="exact"/>
        <w:ind w:left="0" w:right="0" w:firstLine="0"/>
        <w:jc w:val="both"/>
        <w:rPr>
          <w:sz w:val="17"/>
          <w:szCs w:val="17"/>
        </w:rPr>
      </w:pPr>
      <w:r>
        <w:rPr>
          <w:i w:val="0"/>
          <w:iCs w:val="0"/>
          <w:color w:val="000000"/>
          <w:spacing w:val="0"/>
          <w:w w:val="100"/>
          <w:position w:val="0"/>
          <w:sz w:val="17"/>
          <w:szCs w:val="17"/>
          <w:shd w:val="clear" w:color="auto" w:fill="auto"/>
          <w:lang w:val="pt-BR" w:eastAsia="pt-BR" w:bidi="pt-BR"/>
        </w:rPr>
        <w:t>ra</w:t>
      </w:r>
    </w:p>
    <w:p>
      <w:pPr>
        <w:pStyle w:val="Style6"/>
        <w:keepNext w:val="0"/>
        <w:keepLines w:val="0"/>
        <w:framePr w:w="187" w:h="698" w:wrap="none" w:hAnchor="page" w:x="1273" w:y="12961"/>
        <w:widowControl w:val="0"/>
        <w:shd w:val="clear" w:color="auto" w:fill="auto"/>
        <w:bidi w:val="0"/>
        <w:spacing w:before="0" w:after="40" w:line="86" w:lineRule="exact"/>
        <w:ind w:left="0" w:right="0" w:firstLine="0"/>
        <w:jc w:val="both"/>
        <w:rPr>
          <w:sz w:val="17"/>
          <w:szCs w:val="17"/>
        </w:rPr>
      </w:pPr>
      <w:r>
        <w:rPr>
          <w:i w:val="0"/>
          <w:iCs w:val="0"/>
          <w:color w:val="000000"/>
          <w:spacing w:val="0"/>
          <w:w w:val="100"/>
          <w:position w:val="0"/>
          <w:sz w:val="17"/>
          <w:szCs w:val="17"/>
          <w:shd w:val="clear" w:color="auto" w:fill="auto"/>
          <w:lang w:val="pt-BR" w:eastAsia="pt-BR" w:bidi="pt-BR"/>
        </w:rPr>
        <w:t>E &lt;u</w:t>
      </w:r>
    </w:p>
    <w:p>
      <w:pPr>
        <w:pStyle w:val="Style6"/>
        <w:keepNext w:val="0"/>
        <w:keepLines w:val="0"/>
        <w:framePr w:w="187" w:h="698" w:wrap="none" w:hAnchor="page" w:x="1273" w:y="12961"/>
        <w:widowControl w:val="0"/>
        <w:shd w:val="clear" w:color="auto" w:fill="auto"/>
        <w:bidi w:val="0"/>
        <w:spacing w:before="0" w:after="0" w:line="86" w:lineRule="exact"/>
        <w:ind w:left="0" w:right="0" w:firstLine="0"/>
        <w:jc w:val="both"/>
        <w:rPr>
          <w:sz w:val="17"/>
          <w:szCs w:val="17"/>
        </w:rPr>
      </w:pPr>
      <w:r>
        <w:rPr>
          <w:i w:val="0"/>
          <w:iCs w:val="0"/>
          <w:color w:val="000000"/>
          <w:spacing w:val="0"/>
          <w:w w:val="100"/>
          <w:position w:val="0"/>
          <w:sz w:val="17"/>
          <w:szCs w:val="17"/>
          <w:shd w:val="clear" w:color="auto" w:fill="auto"/>
          <w:lang w:val="pt-BR" w:eastAsia="pt-BR" w:bidi="pt-BR"/>
        </w:rPr>
        <w:t>2</w:t>
      </w:r>
    </w:p>
    <w:p>
      <w:pPr>
        <w:pStyle w:val="Style6"/>
        <w:keepNext w:val="0"/>
        <w:keepLines w:val="0"/>
        <w:framePr w:w="187" w:h="698" w:wrap="none" w:hAnchor="page" w:x="1273" w:y="12961"/>
        <w:widowControl w:val="0"/>
        <w:shd w:val="clear" w:color="auto" w:fill="auto"/>
        <w:bidi w:val="0"/>
        <w:spacing w:before="0" w:after="0" w:line="86" w:lineRule="exact"/>
        <w:ind w:left="0" w:right="0" w:firstLine="0"/>
        <w:jc w:val="left"/>
        <w:rPr>
          <w:sz w:val="17"/>
          <w:szCs w:val="17"/>
        </w:rPr>
      </w:pPr>
      <w:r>
        <w:rPr>
          <w:i w:val="0"/>
          <w:iCs w:val="0"/>
          <w:color w:val="000000"/>
          <w:spacing w:val="0"/>
          <w:w w:val="100"/>
          <w:position w:val="0"/>
          <w:sz w:val="17"/>
          <w:szCs w:val="17"/>
          <w:shd w:val="clear" w:color="auto" w:fill="auto"/>
          <w:lang w:val="pt-BR" w:eastAsia="pt-BR" w:bidi="pt-BR"/>
        </w:rPr>
        <w:t>Si</w:t>
      </w:r>
    </w:p>
    <w:p>
      <w:pPr>
        <w:pStyle w:val="Style6"/>
        <w:keepNext w:val="0"/>
        <w:keepLines w:val="0"/>
        <w:framePr w:w="187" w:h="306" w:wrap="none" w:hAnchor="page" w:x="1269" w:y="13749"/>
        <w:widowControl w:val="0"/>
        <w:shd w:val="clear" w:color="auto" w:fill="auto"/>
        <w:bidi w:val="0"/>
        <w:spacing w:before="0" w:after="0"/>
        <w:ind w:left="0" w:right="0" w:firstLine="0"/>
        <w:jc w:val="both"/>
        <w:rPr>
          <w:sz w:val="15"/>
          <w:szCs w:val="15"/>
        </w:rPr>
      </w:pPr>
      <w:r>
        <w:rPr>
          <w:b w:val="0"/>
          <w:bCs w:val="0"/>
          <w:i w:val="0"/>
          <w:iCs w:val="0"/>
          <w:color w:val="000000"/>
          <w:spacing w:val="0"/>
          <w:w w:val="100"/>
          <w:position w:val="0"/>
          <w:sz w:val="15"/>
          <w:szCs w:val="15"/>
          <w:shd w:val="clear" w:color="auto" w:fill="auto"/>
          <w:lang w:val="pt-BR" w:eastAsia="pt-BR" w:bidi="pt-BR"/>
        </w:rPr>
        <w:t>O &lt;/&gt;</w:t>
      </w:r>
    </w:p>
    <w:p>
      <w:pPr>
        <w:widowControl w:val="0"/>
        <w:spacing w:line="360" w:lineRule="exact"/>
      </w:pPr>
      <w:r>
        <w:drawing>
          <wp:anchor distT="0" distB="0" distL="0" distR="0" simplePos="0" relativeHeight="62914692" behindDoc="1" locked="0" layoutInCell="1" allowOverlap="1">
            <wp:simplePos x="0" y="0"/>
            <wp:positionH relativeFrom="page">
              <wp:posOffset>309245</wp:posOffset>
            </wp:positionH>
            <wp:positionV relativeFrom="margin">
              <wp:posOffset>3104515</wp:posOffset>
            </wp:positionV>
            <wp:extent cx="231775" cy="225425"/>
            <wp:wrapNone/>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31"/>
                    <a:stretch/>
                  </pic:blipFill>
                  <pic:spPr>
                    <a:xfrm>
                      <a:ext cx="231775" cy="225425"/>
                    </a:xfrm>
                    <a:prstGeom prst="rect"/>
                  </pic:spPr>
                </pic:pic>
              </a:graphicData>
            </a:graphic>
          </wp:anchor>
        </w:drawing>
      </w:r>
      <w:r>
        <w:drawing>
          <wp:anchor distT="0" distB="0" distL="0" distR="0" simplePos="0" relativeHeight="62914693" behindDoc="1" locked="0" layoutInCell="1" allowOverlap="1">
            <wp:simplePos x="0" y="0"/>
            <wp:positionH relativeFrom="page">
              <wp:posOffset>334645</wp:posOffset>
            </wp:positionH>
            <wp:positionV relativeFrom="margin">
              <wp:posOffset>5950585</wp:posOffset>
            </wp:positionV>
            <wp:extent cx="225425" cy="231775"/>
            <wp:wrapNone/>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33"/>
                    <a:stretch/>
                  </pic:blipFill>
                  <pic:spPr>
                    <a:xfrm>
                      <a:ext cx="225425" cy="231775"/>
                    </a:xfrm>
                    <a:prstGeom prst="rect"/>
                  </pic:spPr>
                </pic:pic>
              </a:graphicData>
            </a:graphic>
          </wp:anchor>
        </w:drawing>
      </w:r>
      <w:r>
        <w:drawing>
          <wp:anchor distT="379730" distB="0" distL="0" distR="0" simplePos="0" relativeHeight="62914694" behindDoc="1" locked="0" layoutInCell="1" allowOverlap="1">
            <wp:simplePos x="0" y="0"/>
            <wp:positionH relativeFrom="page">
              <wp:posOffset>807720</wp:posOffset>
            </wp:positionH>
            <wp:positionV relativeFrom="margin">
              <wp:posOffset>407035</wp:posOffset>
            </wp:positionV>
            <wp:extent cx="128270" cy="304800"/>
            <wp:wrapNone/>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35"/>
                    <a:stretch/>
                  </pic:blipFill>
                  <pic:spPr>
                    <a:xfrm>
                      <a:ext cx="128270" cy="304800"/>
                    </a:xfrm>
                    <a:prstGeom prst="rect"/>
                  </pic:spPr>
                </pic:pic>
              </a:graphicData>
            </a:graphic>
          </wp:anchor>
        </w:drawing>
      </w:r>
      <w:r>
        <w:drawing>
          <wp:anchor distT="0" distB="0" distL="0" distR="0" simplePos="0" relativeHeight="62914695" behindDoc="1" locked="0" layoutInCell="1" allowOverlap="1">
            <wp:simplePos x="0" y="0"/>
            <wp:positionH relativeFrom="page">
              <wp:posOffset>812165</wp:posOffset>
            </wp:positionH>
            <wp:positionV relativeFrom="margin">
              <wp:posOffset>6759575</wp:posOffset>
            </wp:positionV>
            <wp:extent cx="128270" cy="396240"/>
            <wp:wrapNone/>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37"/>
                    <a:stretch/>
                  </pic:blipFill>
                  <pic:spPr>
                    <a:xfrm>
                      <a:ext cx="128270" cy="396240"/>
                    </a:xfrm>
                    <a:prstGeom prst="rect"/>
                  </pic:spPr>
                </pic:pic>
              </a:graphicData>
            </a:graphic>
          </wp:anchor>
        </w:drawing>
      </w:r>
      <w:r>
        <w:drawing>
          <wp:anchor distT="0" distB="153035" distL="0" distR="0" simplePos="0" relativeHeight="62914696" behindDoc="1" locked="0" layoutInCell="1" allowOverlap="1">
            <wp:simplePos x="0" y="0"/>
            <wp:positionH relativeFrom="page">
              <wp:posOffset>800735</wp:posOffset>
            </wp:positionH>
            <wp:positionV relativeFrom="margin">
              <wp:posOffset>7678420</wp:posOffset>
            </wp:positionV>
            <wp:extent cx="133985" cy="396240"/>
            <wp:wrapNone/>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39"/>
                    <a:stretch/>
                  </pic:blipFill>
                  <pic:spPr>
                    <a:xfrm>
                      <a:ext cx="133985" cy="396240"/>
                    </a:xfrm>
                    <a:prstGeom prst="rect"/>
                  </pic:spPr>
                </pic:pic>
              </a:graphicData>
            </a:graphic>
          </wp:anchor>
        </w:drawing>
      </w:r>
      <w:r>
        <w:drawing>
          <wp:anchor distT="0" distB="0" distL="0" distR="0" simplePos="0" relativeHeight="62914697" behindDoc="1" locked="0" layoutInCell="1" allowOverlap="1">
            <wp:simplePos x="0" y="0"/>
            <wp:positionH relativeFrom="page">
              <wp:posOffset>730250</wp:posOffset>
            </wp:positionH>
            <wp:positionV relativeFrom="margin">
              <wp:posOffset>8947150</wp:posOffset>
            </wp:positionV>
            <wp:extent cx="237490" cy="225425"/>
            <wp:wrapNone/>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41"/>
                    <a:stretch/>
                  </pic:blipFill>
                  <pic:spPr>
                    <a:xfrm>
                      <a:ext cx="237490" cy="225425"/>
                    </a:xfrm>
                    <a:prstGeom prst="rect"/>
                  </pic:spPr>
                </pic:pic>
              </a:graphicData>
            </a:graphic>
          </wp:anchor>
        </w:drawing>
      </w:r>
      <w:r>
        <w:drawing>
          <wp:anchor distT="0" distB="0" distL="0" distR="0" simplePos="0" relativeHeight="62914698" behindDoc="1" locked="0" layoutInCell="1" allowOverlap="1">
            <wp:simplePos x="0" y="0"/>
            <wp:positionH relativeFrom="page">
              <wp:posOffset>1322070</wp:posOffset>
            </wp:positionH>
            <wp:positionV relativeFrom="margin">
              <wp:posOffset>0</wp:posOffset>
            </wp:positionV>
            <wp:extent cx="5151120" cy="9192895"/>
            <wp:wrapNone/>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43"/>
                    <a:stretch/>
                  </pic:blipFill>
                  <pic:spPr>
                    <a:xfrm>
                      <a:ext cx="5151120" cy="91928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1" w:line="1" w:lineRule="exact"/>
      </w:pPr>
    </w:p>
    <w:p>
      <w:pPr>
        <w:widowControl w:val="0"/>
        <w:spacing w:line="1" w:lineRule="exact"/>
      </w:pPr>
    </w:p>
    <w:sectPr>
      <w:footerReference w:type="default" r:id="rId45"/>
      <w:footnotePr>
        <w:pos w:val="pageBottom"/>
        <w:numFmt w:val="decimal"/>
        <w:numRestart w:val="continuous"/>
      </w:footnotePr>
      <w:pgSz w:w="11900" w:h="16840"/>
      <w:pgMar w:top="1216" w:left="487" w:right="1711" w:bottom="951" w:header="788" w:footer="52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6724650</wp:posOffset>
              </wp:positionH>
              <wp:positionV relativeFrom="page">
                <wp:posOffset>10248900</wp:posOffset>
              </wp:positionV>
              <wp:extent cx="64135" cy="102870"/>
              <wp:wrapNone/>
              <wp:docPr id="13" name="Shape 13"/>
              <a:graphic xmlns:a="http://schemas.openxmlformats.org/drawingml/2006/main">
                <a:graphicData uri="http://schemas.microsoft.com/office/word/2010/wordprocessingShape">
                  <wps:wsp>
                    <wps:cNvSpPr txBox="1"/>
                    <wps:spPr>
                      <a:xfrm>
                        <a:ext cx="64135" cy="1028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Times New Roman" w:eastAsia="Times New Roman" w:hAnsi="Times New Roman" w:cs="Times New Roman"/>
                                <w:color w:val="000000"/>
                                <w:spacing w:val="0"/>
                                <w:w w:val="100"/>
                                <w:position w:val="0"/>
                                <w:sz w:val="24"/>
                                <w:szCs w:val="24"/>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39" type="#_x0000_t202" style="position:absolute;margin-left:529.5pt;margin-top:807.pt;width:5.0499999999999998pt;height:8.0999999999999996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Times New Roman" w:eastAsia="Times New Roman" w:hAnsi="Times New Roman" w:cs="Times New Roman"/>
                          <w:color w:val="000000"/>
                          <w:spacing w:val="0"/>
                          <w:w w:val="100"/>
                          <w:position w:val="0"/>
                          <w:sz w:val="24"/>
                          <w:szCs w:val="24"/>
                          <w:shd w:val="clear" w:color="auto" w:fill="auto"/>
                          <w:lang w:val="pt-BR" w:eastAsia="pt-BR" w:bidi="pt-BR"/>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4_"/>
    <w:basedOn w:val="DefaultParagraphFont"/>
    <w:link w:val="Style2"/>
    <w:rPr>
      <w:rFonts w:ascii="Arial" w:eastAsia="Arial" w:hAnsi="Arial" w:cs="Arial"/>
      <w:b/>
      <w:bCs/>
      <w:i/>
      <w:iCs/>
      <w:smallCaps w:val="0"/>
      <w:strike w:val="0"/>
      <w:color w:val="C18997"/>
      <w:sz w:val="30"/>
      <w:szCs w:val="30"/>
      <w:u w:val="none"/>
    </w:rPr>
  </w:style>
  <w:style w:type="character" w:customStyle="1" w:styleId="CharStyle5">
    <w:name w:val="Body text|3_"/>
    <w:basedOn w:val="DefaultParagraphFont"/>
    <w:link w:val="Style4"/>
    <w:rPr>
      <w:rFonts w:ascii="Arial" w:eastAsia="Arial" w:hAnsi="Arial" w:cs="Arial"/>
      <w:b/>
      <w:bCs/>
      <w:i/>
      <w:iCs/>
      <w:smallCaps w:val="0"/>
      <w:strike w:val="0"/>
      <w:color w:val="798ED5"/>
      <w:u w:val="none"/>
    </w:rPr>
  </w:style>
  <w:style w:type="character" w:customStyle="1" w:styleId="CharStyle7">
    <w:name w:val="Body text|2_"/>
    <w:basedOn w:val="DefaultParagraphFont"/>
    <w:link w:val="Style6"/>
    <w:rPr>
      <w:rFonts w:ascii="Arial" w:eastAsia="Arial" w:hAnsi="Arial" w:cs="Arial"/>
      <w:b/>
      <w:bCs/>
      <w:i/>
      <w:iCs/>
      <w:smallCaps w:val="0"/>
      <w:strike w:val="0"/>
      <w:color w:val="7E7F9E"/>
      <w:sz w:val="16"/>
      <w:szCs w:val="16"/>
      <w:u w:val="none"/>
    </w:rPr>
  </w:style>
  <w:style w:type="character" w:customStyle="1" w:styleId="CharStyle10">
    <w:name w:val="Body text|1_"/>
    <w:basedOn w:val="DefaultParagraphFont"/>
    <w:link w:val="Style9"/>
    <w:rPr>
      <w:rFonts w:ascii="Arial" w:eastAsia="Arial" w:hAnsi="Arial" w:cs="Arial"/>
      <w:b w:val="0"/>
      <w:bCs w:val="0"/>
      <w:i w:val="0"/>
      <w:iCs w:val="0"/>
      <w:smallCaps w:val="0"/>
      <w:strike w:val="0"/>
      <w:sz w:val="22"/>
      <w:szCs w:val="22"/>
      <w:u w:val="none"/>
    </w:rPr>
  </w:style>
  <w:style w:type="character" w:customStyle="1" w:styleId="CharStyle16">
    <w:name w:val="Header or footer|2_"/>
    <w:basedOn w:val="DefaultParagraphFont"/>
    <w:link w:val="Style15"/>
    <w:rPr>
      <w:b w:val="0"/>
      <w:bCs w:val="0"/>
      <w:i w:val="0"/>
      <w:iCs w:val="0"/>
      <w:smallCaps w:val="0"/>
      <w:strike w:val="0"/>
      <w:sz w:val="20"/>
      <w:szCs w:val="20"/>
      <w:u w:val="none"/>
    </w:rPr>
  </w:style>
  <w:style w:type="character" w:customStyle="1" w:styleId="CharStyle22">
    <w:name w:val="Picture caption|1_"/>
    <w:basedOn w:val="DefaultParagraphFont"/>
    <w:link w:val="Style21"/>
    <w:rPr>
      <w:rFonts w:ascii="Arial" w:eastAsia="Arial" w:hAnsi="Arial" w:cs="Arial"/>
      <w:b w:val="0"/>
      <w:bCs w:val="0"/>
      <w:i w:val="0"/>
      <w:iCs w:val="0"/>
      <w:smallCaps w:val="0"/>
      <w:strike w:val="0"/>
      <w:sz w:val="22"/>
      <w:szCs w:val="22"/>
      <w:u w:val="none"/>
    </w:rPr>
  </w:style>
  <w:style w:type="paragraph" w:customStyle="1" w:styleId="Style2">
    <w:name w:val="Body text|4"/>
    <w:basedOn w:val="Normal"/>
    <w:link w:val="CharStyle3"/>
    <w:pPr>
      <w:widowControl w:val="0"/>
      <w:shd w:val="clear" w:color="auto" w:fill="FFFFFF"/>
    </w:pPr>
    <w:rPr>
      <w:rFonts w:ascii="Arial" w:eastAsia="Arial" w:hAnsi="Arial" w:cs="Arial"/>
      <w:b/>
      <w:bCs/>
      <w:i/>
      <w:iCs/>
      <w:smallCaps w:val="0"/>
      <w:strike w:val="0"/>
      <w:color w:val="C18997"/>
      <w:sz w:val="30"/>
      <w:szCs w:val="30"/>
      <w:u w:val="none"/>
    </w:rPr>
  </w:style>
  <w:style w:type="paragraph" w:customStyle="1" w:styleId="Style4">
    <w:name w:val="Body text|3"/>
    <w:basedOn w:val="Normal"/>
    <w:link w:val="CharStyle5"/>
    <w:pPr>
      <w:widowControl w:val="0"/>
      <w:shd w:val="clear" w:color="auto" w:fill="FFFFFF"/>
      <w:ind w:left="70" w:firstLine="320"/>
    </w:pPr>
    <w:rPr>
      <w:rFonts w:ascii="Arial" w:eastAsia="Arial" w:hAnsi="Arial" w:cs="Arial"/>
      <w:b/>
      <w:bCs/>
      <w:i/>
      <w:iCs/>
      <w:smallCaps w:val="0"/>
      <w:strike w:val="0"/>
      <w:color w:val="798ED5"/>
      <w:u w:val="none"/>
    </w:rPr>
  </w:style>
  <w:style w:type="paragraph" w:customStyle="1" w:styleId="Style6">
    <w:name w:val="Body text|2"/>
    <w:basedOn w:val="Normal"/>
    <w:link w:val="CharStyle7"/>
    <w:pPr>
      <w:widowControl w:val="0"/>
      <w:shd w:val="clear" w:color="auto" w:fill="FFFFFF"/>
      <w:spacing w:line="125" w:lineRule="auto"/>
    </w:pPr>
    <w:rPr>
      <w:rFonts w:ascii="Arial" w:eastAsia="Arial" w:hAnsi="Arial" w:cs="Arial"/>
      <w:b/>
      <w:bCs/>
      <w:i/>
      <w:iCs/>
      <w:smallCaps w:val="0"/>
      <w:strike w:val="0"/>
      <w:color w:val="7E7F9E"/>
      <w:sz w:val="16"/>
      <w:szCs w:val="16"/>
      <w:u w:val="none"/>
    </w:rPr>
  </w:style>
  <w:style w:type="paragraph" w:customStyle="1" w:styleId="Style9">
    <w:name w:val="Body text|1"/>
    <w:basedOn w:val="Normal"/>
    <w:link w:val="CharStyle10"/>
    <w:pPr>
      <w:widowControl w:val="0"/>
      <w:shd w:val="clear" w:color="auto" w:fill="FFFFFF"/>
      <w:spacing w:after="100" w:line="271" w:lineRule="auto"/>
      <w:ind w:firstLine="400"/>
    </w:pPr>
    <w:rPr>
      <w:rFonts w:ascii="Arial" w:eastAsia="Arial" w:hAnsi="Arial" w:cs="Arial"/>
      <w:b w:val="0"/>
      <w:bCs w:val="0"/>
      <w:i w:val="0"/>
      <w:iCs w:val="0"/>
      <w:smallCaps w:val="0"/>
      <w:strike w:val="0"/>
      <w:sz w:val="22"/>
      <w:szCs w:val="22"/>
      <w:u w:val="none"/>
    </w:rPr>
  </w:style>
  <w:style w:type="paragraph" w:customStyle="1" w:styleId="Style15">
    <w:name w:val="Header or footer|2"/>
    <w:basedOn w:val="Normal"/>
    <w:link w:val="CharStyle16"/>
    <w:pPr>
      <w:widowControl w:val="0"/>
      <w:shd w:val="clear" w:color="auto" w:fill="FFFFFF"/>
    </w:pPr>
    <w:rPr>
      <w:b w:val="0"/>
      <w:bCs w:val="0"/>
      <w:i w:val="0"/>
      <w:iCs w:val="0"/>
      <w:smallCaps w:val="0"/>
      <w:strike w:val="0"/>
      <w:sz w:val="20"/>
      <w:szCs w:val="20"/>
      <w:u w:val="none"/>
    </w:rPr>
  </w:style>
  <w:style w:type="paragraph" w:customStyle="1" w:styleId="Style21">
    <w:name w:val="Picture caption|1"/>
    <w:basedOn w:val="Normal"/>
    <w:link w:val="CharStyle22"/>
    <w:pPr>
      <w:widowControl w:val="0"/>
      <w:shd w:val="clear" w:color="auto" w:fill="FFFFFF"/>
      <w:spacing w:line="233" w:lineRule="auto"/>
    </w:pPr>
    <w:rPr>
      <w:rFonts w:ascii="Arial" w:eastAsia="Arial" w:hAnsi="Arial" w:cs="Arial"/>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image" Target="media/image7.jpeg"/><Relationship Id="rId20" Type="http://schemas.openxmlformats.org/officeDocument/2006/relationships/image" Target="media/image7.jpeg" TargetMode="Externa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image" Target="media/image9.jpeg"/><Relationship Id="rId24" Type="http://schemas.openxmlformats.org/officeDocument/2006/relationships/image" Target="media/image9.jpeg" TargetMode="External"/><Relationship Id="rId25" Type="http://schemas.openxmlformats.org/officeDocument/2006/relationships/image" Target="media/image10.jpeg"/><Relationship Id="rId26" Type="http://schemas.openxmlformats.org/officeDocument/2006/relationships/image" Target="media/image10.jpeg" TargetMode="External"/><Relationship Id="rId27" Type="http://schemas.openxmlformats.org/officeDocument/2006/relationships/image" Target="media/image11.jpeg"/><Relationship Id="rId28" Type="http://schemas.openxmlformats.org/officeDocument/2006/relationships/image" Target="media/image11.jpeg" TargetMode="Externa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image" Target="media/image13.jpeg"/><Relationship Id="rId32" Type="http://schemas.openxmlformats.org/officeDocument/2006/relationships/image" Target="media/image13.jpeg" TargetMode="External"/><Relationship Id="rId33" Type="http://schemas.openxmlformats.org/officeDocument/2006/relationships/image" Target="media/image14.jpeg"/><Relationship Id="rId34" Type="http://schemas.openxmlformats.org/officeDocument/2006/relationships/image" Target="media/image14.jpeg" TargetMode="External"/><Relationship Id="rId35" Type="http://schemas.openxmlformats.org/officeDocument/2006/relationships/image" Target="media/image15.jpeg"/><Relationship Id="rId36" Type="http://schemas.openxmlformats.org/officeDocument/2006/relationships/image" Target="media/image15.jpeg" TargetMode="External"/><Relationship Id="rId37" Type="http://schemas.openxmlformats.org/officeDocument/2006/relationships/image" Target="media/image16.jpeg"/><Relationship Id="rId38" Type="http://schemas.openxmlformats.org/officeDocument/2006/relationships/image" Target="media/image16.jpeg" TargetMode="External"/><Relationship Id="rId39" Type="http://schemas.openxmlformats.org/officeDocument/2006/relationships/image" Target="media/image17.jpeg"/><Relationship Id="rId40" Type="http://schemas.openxmlformats.org/officeDocument/2006/relationships/image" Target="media/image17.jpeg" TargetMode="External"/><Relationship Id="rId41" Type="http://schemas.openxmlformats.org/officeDocument/2006/relationships/image" Target="media/image18.jpeg"/><Relationship Id="rId42" Type="http://schemas.openxmlformats.org/officeDocument/2006/relationships/image" Target="media/image18.jpeg" TargetMode="External"/><Relationship Id="rId43" Type="http://schemas.openxmlformats.org/officeDocument/2006/relationships/image" Target="media/image19.jpeg"/><Relationship Id="rId44" Type="http://schemas.openxmlformats.org/officeDocument/2006/relationships/image" Target="media/image19.jpeg" TargetMode="External"/><Relationship Id="rId45" Type="http://schemas.openxmlformats.org/officeDocument/2006/relationships/footer" Target="footer3.xml"/></Relationships>
</file>