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1104265</wp:posOffset>
            </wp:positionH>
            <wp:positionV relativeFrom="margin">
              <wp:posOffset>0</wp:posOffset>
            </wp:positionV>
            <wp:extent cx="5736590" cy="83502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736590" cy="835025"/>
                    </a:xfrm>
                    <a:prstGeom prst="rect"/>
                  </pic:spPr>
                </pic:pic>
              </a:graphicData>
            </a:graphic>
          </wp:anchor>
        </w:drawing>
      </w:r>
      <w:r>
        <w:drawing>
          <wp:anchor distT="0" distB="0" distL="0" distR="0" simplePos="0" relativeHeight="62914691" behindDoc="1" locked="0" layoutInCell="1" allowOverlap="1">
            <wp:simplePos x="0" y="0"/>
            <wp:positionH relativeFrom="margin">
              <wp:posOffset>5758815</wp:posOffset>
            </wp:positionH>
            <wp:positionV relativeFrom="margin">
              <wp:posOffset>8336915</wp:posOffset>
            </wp:positionV>
            <wp:extent cx="585470" cy="63373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85470" cy="633730"/>
                    </a:xfrm>
                    <a:prstGeom prst="rect"/>
                  </pic:spPr>
                </pic:pic>
              </a:graphicData>
            </a:graphic>
          </wp:anchor>
        </w:drawing>
      </w:r>
    </w:p>
    <w:p>
      <w:pPr>
        <w:widowControl w:val="0"/>
        <w:spacing w:line="360" w:lineRule="exact"/>
      </w:pPr>
    </w:p>
    <w:p>
      <w:pPr>
        <w:widowControl w:val="0"/>
        <w:spacing w:after="593" w:line="1" w:lineRule="exact"/>
      </w:pPr>
    </w:p>
    <w:p>
      <w:pPr>
        <w:widowControl w:val="0"/>
        <w:spacing w:line="1" w:lineRule="exact"/>
        <w:sectPr>
          <w:headerReference w:type="default" r:id="rId9"/>
          <w:headerReference w:type="first" r:id="rId10"/>
          <w:footnotePr>
            <w:pos w:val="pageBottom"/>
            <w:numFmt w:val="decimal"/>
            <w:numRestart w:val="continuous"/>
          </w:footnotePr>
          <w:pgSz w:w="11900" w:h="16840"/>
          <w:pgMar w:top="634" w:left="1591" w:right="315" w:bottom="72" w:header="0" w:footer="3" w:gutter="0"/>
          <w:pgNumType w:start="1"/>
          <w:cols w:space="720"/>
          <w:noEndnote/>
          <w:titlePg/>
          <w:rtlGutter w:val="0"/>
          <w:docGrid w:linePitch="360"/>
        </w:sect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5" w:left="0" w:right="0" w:bottom="222" w:header="0" w:footer="3" w:gutter="0"/>
          <w:cols w:space="720"/>
          <w:noEndnote/>
          <w:rtlGutter w:val="0"/>
          <w:docGrid w:linePitch="360"/>
        </w:sectPr>
      </w:pPr>
    </w:p>
    <w:p>
      <w:pPr>
        <w:widowControl w:val="0"/>
        <w:spacing w:line="1" w:lineRule="exact"/>
      </w:pPr>
      <w:r>
        <mc:AlternateContent>
          <mc:Choice Requires="wps">
            <w:drawing>
              <wp:anchor distT="12700" distB="0" distL="114300" distR="114300" simplePos="0" relativeHeight="125829378" behindDoc="0" locked="0" layoutInCell="1" allowOverlap="1">
                <wp:simplePos x="0" y="0"/>
                <wp:positionH relativeFrom="page">
                  <wp:posOffset>1012825</wp:posOffset>
                </wp:positionH>
                <wp:positionV relativeFrom="paragraph">
                  <wp:posOffset>5159375</wp:posOffset>
                </wp:positionV>
                <wp:extent cx="5726430" cy="187325"/>
                <wp:wrapTopAndBottom/>
                <wp:docPr id="7" name="Shape 7"/>
                <a:graphic xmlns:a="http://schemas.openxmlformats.org/drawingml/2006/main">
                  <a:graphicData uri="http://schemas.microsoft.com/office/word/2010/wordprocessingShape">
                    <wps:wsp>
                      <wps:cNvSpPr txBox="1"/>
                      <wps:spPr>
                        <a:xfrm>
                          <a:ext cx="572643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Observou-se um ambiente de cautela no mercado financeiro, com manutenção de política</w:t>
                            </w:r>
                          </w:p>
                        </w:txbxContent>
                      </wps:txbx>
                      <wps:bodyPr wrap="none" lIns="0" tIns="0" rIns="0" bIns="0">
                        <a:noAutoFit/>
                      </wps:bodyPr>
                    </wps:wsp>
                  </a:graphicData>
                </a:graphic>
              </wp:anchor>
            </w:drawing>
          </mc:Choice>
          <mc:Fallback>
            <w:pict>
              <v:shape id="_x0000_s1033" type="#_x0000_t202" style="position:absolute;margin-left:79.75pt;margin-top:406.25pt;width:450.89999999999998pt;height:14.75pt;z-index:-125829375;mso-wrap-distance-left:9.pt;mso-wrap-distance-top:1.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Observou-se um ambiente de cautela no mercado financeiro, com manutenção de política</w:t>
                      </w:r>
                    </w:p>
                  </w:txbxContent>
                </v:textbox>
                <w10:wrap type="topAndBottom" anchorx="page"/>
              </v:shape>
            </w:pict>
          </mc:Fallback>
        </mc:AlternateContent>
      </w:r>
    </w:p>
    <w:p>
      <w:pPr>
        <w:pStyle w:val="Style11"/>
        <w:keepNext/>
        <w:keepLines/>
        <w:widowControl w:val="0"/>
        <w:shd w:val="clear" w:color="auto" w:fill="auto"/>
        <w:bidi w:val="0"/>
        <w:spacing w:before="0" w:line="240" w:lineRule="auto"/>
        <w:ind w:left="0" w:right="0" w:firstLine="0"/>
        <w:jc w:val="left"/>
      </w:pPr>
      <w:bookmarkStart w:id="0" w:name="bookmark0"/>
      <w:r>
        <w:rPr>
          <w:rFonts w:ascii="Times New Roman" w:eastAsia="Times New Roman" w:hAnsi="Times New Roman" w:cs="Times New Roman"/>
          <w:spacing w:val="0"/>
          <w:w w:val="100"/>
          <w:position w:val="0"/>
          <w:shd w:val="clear" w:color="auto" w:fill="auto"/>
          <w:lang w:val="pt-BR" w:eastAsia="pt-BR" w:bidi="pt-BR"/>
        </w:rPr>
        <w:t>ATA DA REUNIÃO DO COMITÊ DE INVESTIMENTOS</w:t>
      </w:r>
      <w:bookmarkEnd w:id="0"/>
    </w:p>
    <w:p>
      <w:pPr>
        <w:pStyle w:val="Style2"/>
        <w:keepNext w:val="0"/>
        <w:keepLines w:val="0"/>
        <w:widowControl w:val="0"/>
        <w:shd w:val="clear" w:color="auto" w:fill="auto"/>
        <w:bidi w:val="0"/>
        <w:spacing w:before="0" w:after="220" w:line="240" w:lineRule="auto"/>
        <w:ind w:left="440" w:right="0" w:firstLine="0"/>
        <w:jc w:val="center"/>
      </w:pPr>
      <w:r>
        <w:rPr>
          <w:b/>
          <w:bCs/>
          <w:color w:val="000000"/>
          <w:spacing w:val="0"/>
          <w:w w:val="100"/>
          <w:position w:val="0"/>
          <w:shd w:val="clear" w:color="auto" w:fill="auto"/>
          <w:lang w:val="pt-BR" w:eastAsia="pt-BR" w:bidi="pt-BR"/>
        </w:rPr>
        <w:t>REFERENTE AO MÊS DE JANEIRO DE 2026.</w:t>
      </w:r>
    </w:p>
    <w:p>
      <w:pPr>
        <w:pStyle w:val="Style2"/>
        <w:keepNext w:val="0"/>
        <w:keepLines w:val="0"/>
        <w:widowControl w:val="0"/>
        <w:shd w:val="clear" w:color="auto" w:fill="auto"/>
        <w:bidi w:val="0"/>
        <w:spacing w:before="0" w:after="180" w:line="276" w:lineRule="auto"/>
        <w:ind w:left="0" w:right="0" w:firstLine="0"/>
        <w:jc w:val="both"/>
      </w:pPr>
      <w:r>
        <w:rPr>
          <w:b/>
          <w:bCs/>
          <w:color w:val="000000"/>
          <w:spacing w:val="0"/>
          <w:w w:val="100"/>
          <w:position w:val="0"/>
          <w:shd w:val="clear" w:color="auto" w:fill="auto"/>
          <w:lang w:val="pt-BR" w:eastAsia="pt-BR" w:bidi="pt-BR"/>
        </w:rPr>
        <w:t>SISPREV - Sistema de Previdência dos Servidores Públicos do Município de Presidente Figueiredo-AM</w:t>
      </w:r>
    </w:p>
    <w:p>
      <w:pPr>
        <w:pStyle w:val="Style2"/>
        <w:keepNext w:val="0"/>
        <w:keepLines w:val="0"/>
        <w:widowControl w:val="0"/>
        <w:shd w:val="clear" w:color="auto" w:fill="auto"/>
        <w:bidi w:val="0"/>
        <w:spacing w:before="0" w:line="283" w:lineRule="auto"/>
        <w:ind w:left="0" w:right="540" w:firstLine="0"/>
        <w:jc w:val="both"/>
      </w:pPr>
      <w:r>
        <w:rPr>
          <w:color w:val="000000"/>
          <w:spacing w:val="0"/>
          <w:w w:val="100"/>
          <w:position w:val="0"/>
          <w:shd w:val="clear" w:color="auto" w:fill="auto"/>
          <w:lang w:val="pt-BR" w:eastAsia="pt-BR" w:bidi="pt-BR"/>
        </w:rPr>
        <w:t>Aos 20 (vinte) dias do mês de fevereiro de 2026(Dois mil e vinte e seis), às 09h00, no auditório do SISPREV, realizou-se a reunião ordinária do Comitê de Investimentos, devidamente convocada conforme normas regimentais.</w:t>
      </w:r>
    </w:p>
    <w:p>
      <w:pPr>
        <w:pStyle w:val="Style14"/>
        <w:keepNext/>
        <w:keepLines/>
        <w:widowControl w:val="0"/>
        <w:numPr>
          <w:ilvl w:val="0"/>
          <w:numId w:val="1"/>
        </w:numPr>
        <w:shd w:val="clear" w:color="auto" w:fill="auto"/>
        <w:tabs>
          <w:tab w:pos="405" w:val="left"/>
        </w:tabs>
        <w:bidi w:val="0"/>
        <w:spacing w:before="0" w:line="240" w:lineRule="auto"/>
        <w:ind w:left="0" w:right="0" w:firstLine="0"/>
        <w:jc w:val="both"/>
      </w:pPr>
      <w:bookmarkStart w:id="1" w:name="bookmark1"/>
      <w:r>
        <w:rPr>
          <w:rFonts w:ascii="Times New Roman" w:eastAsia="Times New Roman" w:hAnsi="Times New Roman" w:cs="Times New Roman"/>
          <w:spacing w:val="0"/>
          <w:w w:val="100"/>
          <w:position w:val="0"/>
          <w:shd w:val="clear" w:color="auto" w:fill="auto"/>
          <w:lang w:val="pt-BR" w:eastAsia="pt-BR" w:bidi="pt-BR"/>
        </w:rPr>
        <w:t>PARTICIPANTES</w:t>
      </w:r>
      <w:bookmarkEnd w:id="1"/>
    </w:p>
    <w:p>
      <w:pPr>
        <w:pStyle w:val="Style2"/>
        <w:keepNext w:val="0"/>
        <w:keepLines w:val="0"/>
        <w:widowControl w:val="0"/>
        <w:shd w:val="clear" w:color="auto" w:fill="auto"/>
        <w:bidi w:val="0"/>
        <w:spacing w:before="0" w:line="302" w:lineRule="auto"/>
        <w:ind w:left="0" w:right="540" w:firstLine="0"/>
        <w:jc w:val="both"/>
      </w:pPr>
      <w:r>
        <w:rPr>
          <w:color w:val="000000"/>
          <w:spacing w:val="0"/>
          <w:w w:val="100"/>
          <w:position w:val="0"/>
          <w:shd w:val="clear" w:color="auto" w:fill="auto"/>
          <w:lang w:val="pt-BR" w:eastAsia="pt-BR" w:bidi="pt-BR"/>
        </w:rPr>
        <w:t>Estiveram presentes os membros do Comitê de Investimentos: - Suzana Farias de Araújo - Presidente - Solange Duarte Moreira - Diretora Administrativa e Financeira - Ednamar da Silva e Silva - Servidora Ativa</w:t>
      </w:r>
    </w:p>
    <w:p>
      <w:pPr>
        <w:pStyle w:val="Style14"/>
        <w:keepNext/>
        <w:keepLines/>
        <w:widowControl w:val="0"/>
        <w:numPr>
          <w:ilvl w:val="0"/>
          <w:numId w:val="1"/>
        </w:numPr>
        <w:shd w:val="clear" w:color="auto" w:fill="auto"/>
        <w:tabs>
          <w:tab w:pos="409" w:val="left"/>
        </w:tabs>
        <w:bidi w:val="0"/>
        <w:spacing w:before="0" w:after="160" w:line="240" w:lineRule="auto"/>
        <w:ind w:left="0" w:right="0" w:firstLine="0"/>
        <w:jc w:val="both"/>
      </w:pPr>
      <w:bookmarkStart w:id="2" w:name="bookmark2"/>
      <w:r>
        <w:rPr>
          <w:rFonts w:ascii="Times New Roman" w:eastAsia="Times New Roman" w:hAnsi="Times New Roman" w:cs="Times New Roman"/>
          <w:spacing w:val="0"/>
          <w:w w:val="100"/>
          <w:position w:val="0"/>
          <w:shd w:val="clear" w:color="auto" w:fill="auto"/>
          <w:lang w:val="pt-BR" w:eastAsia="pt-BR" w:bidi="pt-BR"/>
        </w:rPr>
        <w:t xml:space="preserve">ORDEM DO </w:t>
      </w:r>
      <w:r>
        <w:rPr>
          <w:rFonts w:ascii="Times New Roman" w:eastAsia="Times New Roman" w:hAnsi="Times New Roman" w:cs="Times New Roman"/>
          <w:spacing w:val="0"/>
          <w:w w:val="100"/>
          <w:position w:val="0"/>
          <w:shd w:val="clear" w:color="auto" w:fill="auto"/>
          <w:lang w:val="pt-PT" w:eastAsia="pt-PT" w:bidi="pt-PT"/>
        </w:rPr>
        <w:t>DIA</w:t>
      </w:r>
      <w:bookmarkEnd w:id="2"/>
    </w:p>
    <w:p>
      <w:pPr>
        <w:pStyle w:val="Style2"/>
        <w:keepNext w:val="0"/>
        <w:keepLines w:val="0"/>
        <w:widowControl w:val="0"/>
        <w:numPr>
          <w:ilvl w:val="0"/>
          <w:numId w:val="3"/>
        </w:numPr>
        <w:shd w:val="clear" w:color="auto" w:fill="auto"/>
        <w:tabs>
          <w:tab w:pos="746" w:val="left"/>
        </w:tabs>
        <w:bidi w:val="0"/>
        <w:spacing w:before="0" w:after="100" w:line="240" w:lineRule="auto"/>
        <w:ind w:left="380" w:right="0" w:firstLine="0"/>
        <w:jc w:val="left"/>
      </w:pPr>
      <w:r>
        <w:rPr>
          <w:color w:val="000000"/>
          <w:spacing w:val="0"/>
          <w:w w:val="100"/>
          <w:position w:val="0"/>
          <w:shd w:val="clear" w:color="auto" w:fill="auto"/>
          <w:lang w:val="pt-BR" w:eastAsia="pt-BR" w:bidi="pt-BR"/>
        </w:rPr>
        <w:t>Análise do cenário econômico;</w:t>
      </w:r>
    </w:p>
    <w:p>
      <w:pPr>
        <w:pStyle w:val="Style2"/>
        <w:keepNext w:val="0"/>
        <w:keepLines w:val="0"/>
        <w:widowControl w:val="0"/>
        <w:numPr>
          <w:ilvl w:val="0"/>
          <w:numId w:val="3"/>
        </w:numPr>
        <w:shd w:val="clear" w:color="auto" w:fill="auto"/>
        <w:tabs>
          <w:tab w:pos="746" w:val="left"/>
        </w:tabs>
        <w:bidi w:val="0"/>
        <w:spacing w:before="0" w:after="100" w:line="240" w:lineRule="auto"/>
        <w:ind w:left="380" w:right="0" w:firstLine="0"/>
        <w:jc w:val="left"/>
      </w:pPr>
      <w:r>
        <w:rPr>
          <w:color w:val="000000"/>
          <w:spacing w:val="0"/>
          <w:w w:val="100"/>
          <w:position w:val="0"/>
          <w:shd w:val="clear" w:color="auto" w:fill="auto"/>
          <w:lang w:val="pt-BR" w:eastAsia="pt-BR" w:bidi="pt-BR"/>
        </w:rPr>
        <w:t>Avaliação da carteira de investimentos;</w:t>
      </w:r>
    </w:p>
    <w:p>
      <w:pPr>
        <w:pStyle w:val="Style2"/>
        <w:keepNext w:val="0"/>
        <w:keepLines w:val="0"/>
        <w:widowControl w:val="0"/>
        <w:numPr>
          <w:ilvl w:val="0"/>
          <w:numId w:val="3"/>
        </w:numPr>
        <w:shd w:val="clear" w:color="auto" w:fill="auto"/>
        <w:tabs>
          <w:tab w:pos="746" w:val="left"/>
        </w:tabs>
        <w:bidi w:val="0"/>
        <w:spacing w:before="0" w:after="100" w:line="240" w:lineRule="auto"/>
        <w:ind w:left="380" w:right="0" w:firstLine="0"/>
        <w:jc w:val="left"/>
      </w:pPr>
      <w:r>
        <w:rPr>
          <w:color w:val="000000"/>
          <w:spacing w:val="0"/>
          <w:w w:val="100"/>
          <w:position w:val="0"/>
          <w:shd w:val="clear" w:color="auto" w:fill="auto"/>
          <w:lang w:val="pt-BR" w:eastAsia="pt-BR" w:bidi="pt-BR"/>
        </w:rPr>
        <w:t>Acompanhamento da rentabilidade;</w:t>
      </w:r>
    </w:p>
    <w:p>
      <w:pPr>
        <w:pStyle w:val="Style2"/>
        <w:keepNext w:val="0"/>
        <w:keepLines w:val="0"/>
        <w:widowControl w:val="0"/>
        <w:numPr>
          <w:ilvl w:val="0"/>
          <w:numId w:val="3"/>
        </w:numPr>
        <w:shd w:val="clear" w:color="auto" w:fill="auto"/>
        <w:tabs>
          <w:tab w:pos="746" w:val="left"/>
        </w:tabs>
        <w:bidi w:val="0"/>
        <w:spacing w:before="0" w:after="100" w:line="240" w:lineRule="auto"/>
        <w:ind w:left="380" w:right="0" w:firstLine="0"/>
        <w:jc w:val="left"/>
      </w:pPr>
      <w:r>
        <w:rPr>
          <w:color w:val="000000"/>
          <w:spacing w:val="0"/>
          <w:w w:val="100"/>
          <w:position w:val="0"/>
          <w:shd w:val="clear" w:color="auto" w:fill="auto"/>
          <w:lang w:val="pt-BR" w:eastAsia="pt-BR" w:bidi="pt-BR"/>
        </w:rPr>
        <w:t>Enquadramento conforme legislação vigente;</w:t>
      </w:r>
    </w:p>
    <w:p>
      <w:pPr>
        <w:pStyle w:val="Style2"/>
        <w:keepNext w:val="0"/>
        <w:keepLines w:val="0"/>
        <w:widowControl w:val="0"/>
        <w:numPr>
          <w:ilvl w:val="0"/>
          <w:numId w:val="3"/>
        </w:numPr>
        <w:shd w:val="clear" w:color="auto" w:fill="auto"/>
        <w:tabs>
          <w:tab w:pos="746" w:val="left"/>
        </w:tabs>
        <w:bidi w:val="0"/>
        <w:spacing w:before="0" w:after="200" w:line="240" w:lineRule="auto"/>
        <w:ind w:left="380" w:right="0" w:firstLine="0"/>
        <w:jc w:val="left"/>
      </w:pPr>
      <w:r>
        <w:rPr>
          <w:color w:val="000000"/>
          <w:spacing w:val="0"/>
          <w:w w:val="100"/>
          <w:position w:val="0"/>
          <w:shd w:val="clear" w:color="auto" w:fill="auto"/>
          <w:lang w:val="pt-BR" w:eastAsia="pt-BR" w:bidi="pt-BR"/>
        </w:rPr>
        <w:t>Deliberações sobre realocação de recursos.</w:t>
      </w:r>
    </w:p>
    <w:p>
      <w:pPr>
        <w:pStyle w:val="Style14"/>
        <w:keepNext/>
        <w:keepLines/>
        <w:widowControl w:val="0"/>
        <w:numPr>
          <w:ilvl w:val="0"/>
          <w:numId w:val="1"/>
        </w:numPr>
        <w:shd w:val="clear" w:color="auto" w:fill="auto"/>
        <w:tabs>
          <w:tab w:pos="409" w:val="left"/>
        </w:tabs>
        <w:bidi w:val="0"/>
        <w:spacing w:before="0" w:line="240" w:lineRule="auto"/>
        <w:ind w:left="0" w:right="0" w:firstLine="0"/>
        <w:jc w:val="both"/>
      </w:pPr>
      <w:bookmarkStart w:id="3" w:name="bookmark3"/>
      <w:r>
        <w:rPr>
          <w:rFonts w:ascii="Times New Roman" w:eastAsia="Times New Roman" w:hAnsi="Times New Roman" w:cs="Times New Roman"/>
          <w:spacing w:val="0"/>
          <w:w w:val="100"/>
          <w:position w:val="0"/>
          <w:shd w:val="clear" w:color="auto" w:fill="auto"/>
          <w:lang w:val="pt-BR" w:eastAsia="pt-BR" w:bidi="pt-BR"/>
        </w:rPr>
        <w:t>ANÁLISE DO CENÁRIO ECONÔMICO</w:t>
      </w:r>
      <w:bookmarkEnd w:id="3"/>
    </w:p>
    <w:p>
      <w:pPr>
        <w:pStyle w:val="Style2"/>
        <w:keepNext w:val="0"/>
        <w:keepLines w:val="0"/>
        <w:widowControl w:val="0"/>
        <w:shd w:val="clear" w:color="auto" w:fill="auto"/>
        <w:bidi w:val="0"/>
        <w:spacing w:before="0" w:after="100" w:line="305" w:lineRule="auto"/>
        <w:ind w:left="0" w:right="0" w:firstLine="0"/>
        <w:jc w:val="both"/>
      </w:pPr>
      <w:r>
        <w:rPr>
          <w:color w:val="000000"/>
          <w:spacing w:val="0"/>
          <w:w w:val="100"/>
          <w:position w:val="0"/>
          <w:shd w:val="clear" w:color="auto" w:fill="auto"/>
          <w:lang w:val="pt-BR" w:eastAsia="pt-BR" w:bidi="pt-BR"/>
        </w:rPr>
        <w:t>Foi apresentado o cenário econômico nacional, com base nos dados oficiais mais recentes divulgados pelos órgãos competentes: - Taxa Selic: 11,25% a.a.; - Inflação (IPCA): 4,62% (acumulado em 12 meses);</w:t>
      </w:r>
    </w:p>
    <w:p>
      <w:pPr>
        <w:pStyle w:val="Style2"/>
        <w:keepNext w:val="0"/>
        <w:keepLines w:val="0"/>
        <w:widowControl w:val="0"/>
        <w:shd w:val="clear" w:color="auto" w:fill="auto"/>
        <w:bidi w:val="0"/>
        <w:spacing w:before="0" w:line="276" w:lineRule="auto"/>
        <w:ind w:left="0" w:right="0" w:firstLine="0"/>
        <w:jc w:val="both"/>
      </w:pPr>
      <w:r>
        <w:rPr>
          <w:color w:val="000000"/>
          <w:spacing w:val="0"/>
          <w:w w:val="100"/>
          <w:position w:val="0"/>
          <w:shd w:val="clear" w:color="auto" w:fill="auto"/>
          <w:lang w:val="pt-BR" w:eastAsia="pt-BR" w:bidi="pt-BR"/>
        </w:rPr>
        <w:t xml:space="preserve">monetária restritiva, </w:t>
      </w:r>
      <w:r>
        <w:rPr>
          <w:color w:val="000000"/>
          <w:spacing w:val="0"/>
          <w:w w:val="100"/>
          <w:position w:val="0"/>
          <w:shd w:val="clear" w:color="auto" w:fill="auto"/>
          <w:lang w:val="pt-PT" w:eastAsia="pt-PT" w:bidi="pt-PT"/>
        </w:rPr>
        <w:t xml:space="preserve">impactando </w:t>
      </w:r>
      <w:r>
        <w:rPr>
          <w:color w:val="000000"/>
          <w:spacing w:val="0"/>
          <w:w w:val="100"/>
          <w:position w:val="0"/>
          <w:shd w:val="clear" w:color="auto" w:fill="auto"/>
          <w:lang w:val="pt-BR" w:eastAsia="pt-BR" w:bidi="pt-BR"/>
        </w:rPr>
        <w:t>diretamente os investimentos de renda fixa e a estratégia de alocação dos recursos do SISPREV.</w:t>
      </w:r>
    </w:p>
    <w:p>
      <w:pPr>
        <w:pStyle w:val="Style14"/>
        <w:keepNext/>
        <w:keepLines/>
        <w:widowControl w:val="0"/>
        <w:numPr>
          <w:ilvl w:val="0"/>
          <w:numId w:val="1"/>
        </w:numPr>
        <w:shd w:val="clear" w:color="auto" w:fill="auto"/>
        <w:tabs>
          <w:tab w:pos="416" w:val="left"/>
        </w:tabs>
        <w:bidi w:val="0"/>
        <w:spacing w:before="0" w:line="240" w:lineRule="auto"/>
        <w:ind w:left="0" w:right="0" w:firstLine="0"/>
        <w:jc w:val="both"/>
      </w:pPr>
      <w:bookmarkStart w:id="4" w:name="bookmark4"/>
      <w:r>
        <w:rPr>
          <w:rFonts w:ascii="Times New Roman" w:eastAsia="Times New Roman" w:hAnsi="Times New Roman" w:cs="Times New Roman"/>
          <w:spacing w:val="0"/>
          <w:w w:val="100"/>
          <w:position w:val="0"/>
          <w:shd w:val="clear" w:color="auto" w:fill="auto"/>
          <w:lang w:val="pt-BR" w:eastAsia="pt-BR" w:bidi="pt-BR"/>
        </w:rPr>
        <w:t>AVALIAÇÃO DA CARTEIRA DE INVESTIMENTOS</w:t>
      </w:r>
      <w:bookmarkEnd w:id="4"/>
    </w:p>
    <w:p>
      <w:pPr>
        <w:pStyle w:val="Style2"/>
        <w:keepNext w:val="0"/>
        <w:keepLines w:val="0"/>
        <w:widowControl w:val="0"/>
        <w:shd w:val="clear" w:color="auto" w:fill="auto"/>
        <w:bidi w:val="0"/>
        <w:spacing w:before="0" w:after="0"/>
        <w:ind w:left="0" w:right="540" w:firstLine="0"/>
        <w:jc w:val="both"/>
      </w:pPr>
      <w:r>
        <w:rPr>
          <w:color w:val="000000"/>
          <w:spacing w:val="0"/>
          <w:w w:val="100"/>
          <w:position w:val="0"/>
          <w:shd w:val="clear" w:color="auto" w:fill="auto"/>
          <w:lang w:val="pt-BR" w:eastAsia="pt-BR" w:bidi="pt-BR"/>
        </w:rPr>
        <w:t>A carteira de investimentos foi analisada com base nos relatórios apresentados: - Valor total investido: R$ 224.964.492,01 (Duzentos e vinte e quatro milhões novecentos e sessenta e quatro mil quatrocentos e noventa e dois reais e um centavo); - Rentabilidade no período: R$ 2.676.073,99 (Dois milhões seiscentos e setenta e seis mil setenta e três reais e novent ae nove centavos); - Meta atuarial: IPCA + 5,88% ao ano. Saldo Financeiro total foi de R$ 225.195.089,01 (Duzentos e vinte e cinco mihões cento e noventa e cinco mil oitenta e nove</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 xml:space="preserve">reais e um centavo); foi pago o valor da Folha de Pagamento de R$ 1.112.583,96 (Hum </w:t>
      </w:r>
      <w:r>
        <w:rPr>
          <w:color w:val="838AB0"/>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milhão ceno e doze mil quinhentos e oitenta e três reais enoventa e seis centavos).</w:t>
      </w:r>
    </w:p>
    <w:p>
      <w:pPr>
        <w:pStyle w:val="Style2"/>
        <w:keepNext w:val="0"/>
        <w:keepLines w:val="0"/>
        <w:widowControl w:val="0"/>
        <w:shd w:val="clear" w:color="auto" w:fill="auto"/>
        <w:tabs>
          <w:tab w:pos="8852" w:val="left"/>
        </w:tabs>
        <w:bidi w:val="0"/>
        <w:spacing w:before="0" w:after="720" w:line="276" w:lineRule="auto"/>
        <w:ind w:left="0" w:right="540" w:firstLine="0"/>
        <w:jc w:val="both"/>
      </w:pPr>
      <w:r>
        <w:rPr>
          <w:color w:val="000000"/>
          <w:spacing w:val="0"/>
          <w:w w:val="100"/>
          <w:position w:val="0"/>
          <w:shd w:val="clear" w:color="auto" w:fill="auto"/>
          <w:lang w:val="pt-BR" w:eastAsia="pt-BR" w:bidi="pt-BR"/>
        </w:rPr>
        <w:t>O desempenho da carteira foi avaliado em relação à meta atuarial estabelecida, considerando o cenário econômico vigente.</w:t>
        <w:tab/>
      </w:r>
      <w:r>
        <w:rPr>
          <w:color w:val="8388EA"/>
          <w:spacing w:val="0"/>
          <w:w w:val="100"/>
          <w:position w:val="0"/>
          <w:shd w:val="clear" w:color="auto" w:fill="auto"/>
          <w:vertAlign w:val="subscript"/>
          <w:lang w:val="pt-BR" w:eastAsia="pt-BR" w:bidi="pt-BR"/>
        </w:rPr>
        <w:t>z</w:t>
      </w:r>
    </w:p>
    <w:p>
      <w:pPr>
        <w:pStyle w:val="Style2"/>
        <w:keepNext w:val="0"/>
        <w:keepLines w:val="0"/>
        <w:widowControl w:val="0"/>
        <w:shd w:val="clear" w:color="auto" w:fill="auto"/>
        <w:bidi w:val="0"/>
        <w:spacing w:before="0" w:line="360" w:lineRule="auto"/>
        <w:ind w:left="440" w:right="0" w:firstLine="0"/>
        <w:jc w:val="center"/>
        <w:rPr>
          <w:sz w:val="17"/>
          <w:szCs w:val="17"/>
        </w:rPr>
      </w:pPr>
      <w:r>
        <w:rPr>
          <w:i/>
          <w:iCs/>
          <w:color w:val="838AB0"/>
          <w:spacing w:val="0"/>
          <w:w w:val="100"/>
          <w:position w:val="0"/>
          <w:sz w:val="19"/>
          <w:szCs w:val="19"/>
          <w:shd w:val="clear" w:color="auto" w:fill="auto"/>
          <w:lang w:val="pt-BR" w:eastAsia="pt-BR" w:bidi="pt-BR"/>
        </w:rPr>
        <w:t>"Reunir-se é um começo, permanecer juntos é um progresso, e trabalhar juntos é sucesso."</w:t>
        <w:br/>
      </w:r>
      <w:r>
        <w:rPr>
          <w:color w:val="838AB0"/>
          <w:spacing w:val="0"/>
          <w:w w:val="100"/>
          <w:position w:val="0"/>
          <w:sz w:val="17"/>
          <w:szCs w:val="17"/>
          <w:shd w:val="clear" w:color="auto" w:fill="auto"/>
          <w:lang w:val="pt-BR" w:eastAsia="pt-BR" w:bidi="pt-BR"/>
        </w:rPr>
        <w:t>Fone/Fax: (0xx92) 3324-2153E-mail:</w:t>
      </w:r>
      <w:r>
        <w:fldChar w:fldCharType="begin"/>
      </w:r>
      <w:r>
        <w:rPr/>
        <w:instrText> HYPERLINK "mailto:sisprev_pf@hotmail.com" </w:instrText>
      </w:r>
      <w:r>
        <w:fldChar w:fldCharType="separate"/>
      </w:r>
      <w:r>
        <w:rPr>
          <w:color w:val="838AB0"/>
          <w:spacing w:val="0"/>
          <w:w w:val="100"/>
          <w:position w:val="0"/>
          <w:sz w:val="17"/>
          <w:szCs w:val="17"/>
          <w:shd w:val="clear" w:color="auto" w:fill="auto"/>
          <w:lang w:val="pt-BR" w:eastAsia="pt-BR" w:bidi="pt-BR"/>
        </w:rPr>
        <w:t>sisprev_pf@hotmail.com</w:t>
      </w:r>
      <w:r>
        <w:fldChar w:fldCharType="end"/>
      </w:r>
      <w:r>
        <w:br w:type="page"/>
      </w:r>
    </w:p>
    <w:p>
      <w:pPr>
        <w:pStyle w:val="Style2"/>
        <w:keepNext w:val="0"/>
        <w:keepLines w:val="0"/>
        <w:widowControl w:val="0"/>
        <w:shd w:val="clear" w:color="auto" w:fill="auto"/>
        <w:bidi w:val="0"/>
        <w:spacing w:before="0" w:after="0" w:line="240" w:lineRule="auto"/>
        <w:ind w:left="1300" w:right="0" w:firstLine="0"/>
        <w:jc w:val="left"/>
        <w:rPr>
          <w:sz w:val="22"/>
          <w:szCs w:val="22"/>
        </w:rPr>
      </w:pPr>
      <w:r>
        <w:drawing>
          <wp:anchor distT="0" distB="0" distL="114300" distR="114300" simplePos="0" relativeHeight="125829380" behindDoc="0" locked="0" layoutInCell="1" allowOverlap="1">
            <wp:simplePos x="0" y="0"/>
            <wp:positionH relativeFrom="page">
              <wp:posOffset>6087110</wp:posOffset>
            </wp:positionH>
            <wp:positionV relativeFrom="paragraph">
              <wp:posOffset>12700</wp:posOffset>
            </wp:positionV>
            <wp:extent cx="804545" cy="798830"/>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804545" cy="798830"/>
                    </a:xfrm>
                    <a:prstGeom prst="rect"/>
                  </pic:spPr>
                </pic:pic>
              </a:graphicData>
            </a:graphic>
          </wp:anchor>
        </w:drawing>
      </w:r>
      <w:r>
        <w:rPr>
          <w:b/>
          <w:bCs/>
          <w:i/>
          <w:iCs/>
          <w:color w:val="C08CB2"/>
          <w:spacing w:val="0"/>
          <w:w w:val="100"/>
          <w:position w:val="0"/>
          <w:sz w:val="22"/>
          <w:szCs w:val="22"/>
          <w:shd w:val="clear" w:color="auto" w:fill="auto"/>
          <w:lang w:val="pt-BR" w:eastAsia="pt-BR" w:bidi="pt-BR"/>
        </w:rPr>
        <w:t xml:space="preserve">\\ </w:t>
      </w:r>
      <w:r>
        <w:rPr>
          <w:b/>
          <w:bCs/>
          <w:i/>
          <w:iCs/>
          <w:color w:val="8388EA"/>
          <w:spacing w:val="0"/>
          <w:w w:val="100"/>
          <w:position w:val="0"/>
          <w:sz w:val="22"/>
          <w:szCs w:val="22"/>
          <w:shd w:val="clear" w:color="auto" w:fill="auto"/>
          <w:lang w:val="pt-BR" w:eastAsia="pt-BR" w:bidi="pt-BR"/>
        </w:rPr>
        <w:t>Sistema de Previdência dos Servidores Públicos do</w:t>
      </w:r>
    </w:p>
    <w:p>
      <w:pPr>
        <w:pStyle w:val="Style2"/>
        <w:keepNext w:val="0"/>
        <w:keepLines w:val="0"/>
        <w:widowControl w:val="0"/>
        <w:shd w:val="clear" w:color="auto" w:fill="auto"/>
        <w:bidi w:val="0"/>
        <w:spacing w:before="0" w:after="0" w:line="626" w:lineRule="auto"/>
        <w:ind w:left="2880" w:right="1340" w:hanging="220"/>
        <w:jc w:val="left"/>
        <w:rPr>
          <w:sz w:val="8"/>
          <w:szCs w:val="8"/>
        </w:rPr>
      </w:pPr>
      <w:r>
        <mc:AlternateContent>
          <mc:Choice Requires="wps">
            <w:drawing>
              <wp:anchor distT="0" distB="50800" distL="0" distR="0" simplePos="0" relativeHeight="125829381" behindDoc="0" locked="0" layoutInCell="1" allowOverlap="1">
                <wp:simplePos x="0" y="0"/>
                <wp:positionH relativeFrom="page">
                  <wp:posOffset>1130935</wp:posOffset>
                </wp:positionH>
                <wp:positionV relativeFrom="paragraph">
                  <wp:posOffset>152400</wp:posOffset>
                </wp:positionV>
                <wp:extent cx="4373245" cy="525780"/>
                <wp:wrapTopAndBottom/>
                <wp:docPr id="11" name="Shape 11"/>
                <a:graphic xmlns:a="http://schemas.openxmlformats.org/drawingml/2006/main">
                  <a:graphicData uri="http://schemas.microsoft.com/office/word/2010/wordprocessingShape">
                    <wps:wsp>
                      <wps:cNvSpPr txBox="1"/>
                      <wps:spPr>
                        <a:xfrm>
                          <a:ext cx="4373245" cy="525780"/>
                        </a:xfrm>
                        <a:prstGeom prst="rect"/>
                        <a:noFill/>
                      </wps:spPr>
                      <wps:txbx>
                        <w:txbxContent>
                          <w:p>
                            <w:pPr>
                              <w:pStyle w:val="Style4"/>
                              <w:keepNext w:val="0"/>
                              <w:keepLines w:val="0"/>
                              <w:widowControl w:val="0"/>
                              <w:shd w:val="clear" w:color="auto" w:fill="auto"/>
                              <w:bidi w:val="0"/>
                              <w:spacing w:before="0" w:after="0" w:line="240" w:lineRule="auto"/>
                              <w:ind w:left="2660" w:right="0" w:firstLine="0"/>
                              <w:jc w:val="left"/>
                              <w:rPr>
                                <w:sz w:val="16"/>
                                <w:szCs w:val="16"/>
                              </w:rPr>
                            </w:pPr>
                            <w:r>
                              <w:rPr>
                                <w:b/>
                                <w:bCs/>
                                <w:i/>
                                <w:iCs/>
                                <w:spacing w:val="0"/>
                                <w:w w:val="100"/>
                                <w:position w:val="0"/>
                                <w:sz w:val="16"/>
                                <w:szCs w:val="16"/>
                                <w:shd w:val="clear" w:color="auto" w:fill="auto"/>
                                <w:lang w:val="pt-BR" w:eastAsia="pt-BR" w:bidi="pt-BR"/>
                              </w:rPr>
                              <w:t>A Seguradora do Servidor Público Municipal</w:t>
                            </w:r>
                          </w:p>
                          <w:p>
                            <w:pPr>
                              <w:pStyle w:val="Style4"/>
                              <w:keepNext w:val="0"/>
                              <w:keepLines w:val="0"/>
                              <w:widowControl w:val="0"/>
                              <w:shd w:val="clear" w:color="auto" w:fill="auto"/>
                              <w:bidi w:val="0"/>
                              <w:spacing w:before="0" w:after="0" w:line="240" w:lineRule="auto"/>
                              <w:ind w:left="3400" w:right="0" w:firstLine="0"/>
                              <w:jc w:val="left"/>
                              <w:rPr>
                                <w:sz w:val="16"/>
                                <w:szCs w:val="16"/>
                              </w:rPr>
                            </w:pPr>
                            <w:r>
                              <w:rPr>
                                <w:b/>
                                <w:bCs/>
                                <w:spacing w:val="0"/>
                                <w:w w:val="100"/>
                                <w:position w:val="0"/>
                                <w:sz w:val="16"/>
                                <w:szCs w:val="16"/>
                                <w:shd w:val="clear" w:color="auto" w:fill="auto"/>
                                <w:lang w:val="pt-BR" w:eastAsia="pt-BR" w:bidi="pt-BR"/>
                              </w:rPr>
                              <w:t>CNPJ: 05.573.777/0001-69</w:t>
                            </w:r>
                          </w:p>
                          <w:p>
                            <w:pPr>
                              <w:pStyle w:val="Style4"/>
                              <w:keepNext w:val="0"/>
                              <w:keepLines w:val="0"/>
                              <w:widowControl w:val="0"/>
                              <w:shd w:val="clear" w:color="auto" w:fill="auto"/>
                              <w:bidi w:val="0"/>
                              <w:spacing w:before="0" w:after="0" w:line="240" w:lineRule="auto"/>
                              <w:ind w:left="2380" w:right="0" w:firstLine="0"/>
                              <w:jc w:val="left"/>
                            </w:pPr>
                            <w:r>
                              <w:rPr>
                                <w:spacing w:val="0"/>
                                <w:w w:val="100"/>
                                <w:position w:val="0"/>
                                <w:shd w:val="clear" w:color="auto" w:fill="auto"/>
                                <w:vertAlign w:val="superscript"/>
                                <w:lang w:val="pt-BR" w:eastAsia="pt-BR" w:bidi="pt-BR"/>
                              </w:rPr>
                              <w:t>Av</w:t>
                            </w:r>
                            <w:r>
                              <w:rPr>
                                <w:spacing w:val="0"/>
                                <w:w w:val="100"/>
                                <w:position w:val="0"/>
                                <w:shd w:val="clear" w:color="auto" w:fill="auto"/>
                                <w:lang w:val="pt-BR" w:eastAsia="pt-BR" w:bidi="pt-BR"/>
                              </w:rPr>
                              <w:t xml:space="preserve">- </w:t>
                            </w:r>
                            <w:r>
                              <w:rPr>
                                <w:spacing w:val="0"/>
                                <w:w w:val="100"/>
                                <w:position w:val="0"/>
                                <w:shd w:val="clear" w:color="auto" w:fill="auto"/>
                                <w:vertAlign w:val="superscript"/>
                                <w:lang w:val="pt-BR" w:eastAsia="pt-BR" w:bidi="pt-BR"/>
                              </w:rPr>
                              <w:t>On&lt;</w:t>
                            </w:r>
                            <w:r>
                              <w:rPr>
                                <w:spacing w:val="0"/>
                                <w:w w:val="100"/>
                                <w:position w:val="0"/>
                                <w:shd w:val="clear" w:color="auto" w:fill="auto"/>
                                <w:lang w:val="pt-BR" w:eastAsia="pt-BR" w:bidi="pt-BR"/>
                              </w:rPr>
                              <w:t>?</w:t>
                            </w:r>
                            <w:r>
                              <w:rPr>
                                <w:spacing w:val="0"/>
                                <w:w w:val="100"/>
                                <w:position w:val="0"/>
                                <w:shd w:val="clear" w:color="auto" w:fill="auto"/>
                                <w:vertAlign w:val="superscript"/>
                                <w:lang w:val="pt-BR" w:eastAsia="pt-BR" w:bidi="pt-BR"/>
                              </w:rPr>
                              <w:t>a</w:t>
                            </w:r>
                            <w:r>
                              <w:rPr>
                                <w:spacing w:val="0"/>
                                <w:w w:val="100"/>
                                <w:position w:val="0"/>
                                <w:shd w:val="clear" w:color="auto" w:fill="auto"/>
                                <w:lang w:val="pt-BR" w:eastAsia="pt-BR" w:bidi="pt-BR"/>
                              </w:rPr>
                              <w:t xml:space="preserve"> Pintada, N</w:t>
                            </w:r>
                            <w:r>
                              <w:rPr>
                                <w:spacing w:val="0"/>
                                <w:w w:val="100"/>
                                <w:position w:val="0"/>
                                <w:shd w:val="clear" w:color="auto" w:fill="auto"/>
                                <w:vertAlign w:val="superscript"/>
                                <w:lang w:val="pt-BR" w:eastAsia="pt-BR" w:bidi="pt-BR"/>
                              </w:rPr>
                              <w:t>0</w:t>
                            </w:r>
                            <w:r>
                              <w:rPr>
                                <w:spacing w:val="0"/>
                                <w:w w:val="100"/>
                                <w:position w:val="0"/>
                                <w:shd w:val="clear" w:color="auto" w:fill="auto"/>
                                <w:lang w:val="pt-BR" w:eastAsia="pt-BR" w:bidi="pt-BR"/>
                              </w:rPr>
                              <w:t>.: 304 - Bairro Galo da Serra</w:t>
                            </w:r>
                          </w:p>
                          <w:p>
                            <w:pPr>
                              <w:pStyle w:val="Style4"/>
                              <w:keepNext w:val="0"/>
                              <w:keepLines w:val="0"/>
                              <w:widowControl w:val="0"/>
                              <w:shd w:val="clear" w:color="auto" w:fill="auto"/>
                              <w:bidi w:val="0"/>
                              <w:spacing w:before="0" w:after="0" w:line="228" w:lineRule="auto"/>
                              <w:ind w:left="0" w:right="0" w:firstLine="0"/>
                              <w:jc w:val="left"/>
                            </w:pPr>
                            <w:r>
                              <w:rPr>
                                <w:spacing w:val="0"/>
                                <w:w w:val="100"/>
                                <w:position w:val="0"/>
                                <w:shd w:val="clear" w:color="auto" w:fill="auto"/>
                                <w:lang w:val="pt-BR" w:eastAsia="pt-BR" w:bidi="pt-BR"/>
                              </w:rPr>
                              <w:t>OJ</w:t>
                            </w:r>
                            <w:r>
                              <w:rPr>
                                <w:color w:val="E87F80"/>
                                <w:spacing w:val="0"/>
                                <w:w w:val="100"/>
                                <w:position w:val="0"/>
                                <w:shd w:val="clear" w:color="auto" w:fill="auto"/>
                                <w:lang w:val="pt-BR" w:eastAsia="pt-BR" w:bidi="pt-BR"/>
                              </w:rPr>
                              <w:t xml:space="preserve">■*&gt; -' Ir </w:t>
                            </w:r>
                            <w:r>
                              <w:rPr>
                                <w:spacing w:val="0"/>
                                <w:w w:val="100"/>
                                <w:position w:val="0"/>
                                <w:shd w:val="clear" w:color="auto" w:fill="auto"/>
                                <w:lang w:val="pt-BR" w:eastAsia="pt-BR" w:bidi="pt-BR"/>
                              </w:rPr>
                              <w:t>Presidente Figueiredo - Amazonas - Brasil - Cep: 69.735-000</w:t>
                            </w:r>
                          </w:p>
                        </w:txbxContent>
                      </wps:txbx>
                      <wps:bodyPr lIns="0" tIns="0" rIns="0" bIns="0">
                        <a:noAutoFit/>
                      </wps:bodyPr>
                    </wps:wsp>
                  </a:graphicData>
                </a:graphic>
              </wp:anchor>
            </w:drawing>
          </mc:Choice>
          <mc:Fallback>
            <w:pict>
              <v:shape id="_x0000_s1037" type="#_x0000_t202" style="position:absolute;margin-left:89.049999999999997pt;margin-top:12.pt;width:344.35000000000002pt;height:41.399999999999999pt;z-index:-125829372;mso-wrap-distance-left:0;mso-wrap-distance-right:0;mso-wrap-distance-bottom:4.pt;mso-position-horizontal-relative:page" filled="f" stroked="f">
                <v:textbox inset="0,0,0,0">
                  <w:txbxContent>
                    <w:p>
                      <w:pPr>
                        <w:pStyle w:val="Style4"/>
                        <w:keepNext w:val="0"/>
                        <w:keepLines w:val="0"/>
                        <w:widowControl w:val="0"/>
                        <w:shd w:val="clear" w:color="auto" w:fill="auto"/>
                        <w:bidi w:val="0"/>
                        <w:spacing w:before="0" w:after="0" w:line="240" w:lineRule="auto"/>
                        <w:ind w:left="2660" w:right="0" w:firstLine="0"/>
                        <w:jc w:val="left"/>
                        <w:rPr>
                          <w:sz w:val="16"/>
                          <w:szCs w:val="16"/>
                        </w:rPr>
                      </w:pPr>
                      <w:r>
                        <w:rPr>
                          <w:b/>
                          <w:bCs/>
                          <w:i/>
                          <w:iCs/>
                          <w:spacing w:val="0"/>
                          <w:w w:val="100"/>
                          <w:position w:val="0"/>
                          <w:sz w:val="16"/>
                          <w:szCs w:val="16"/>
                          <w:shd w:val="clear" w:color="auto" w:fill="auto"/>
                          <w:lang w:val="pt-BR" w:eastAsia="pt-BR" w:bidi="pt-BR"/>
                        </w:rPr>
                        <w:t>A Seguradora do Servidor Público Municipal</w:t>
                      </w:r>
                    </w:p>
                    <w:p>
                      <w:pPr>
                        <w:pStyle w:val="Style4"/>
                        <w:keepNext w:val="0"/>
                        <w:keepLines w:val="0"/>
                        <w:widowControl w:val="0"/>
                        <w:shd w:val="clear" w:color="auto" w:fill="auto"/>
                        <w:bidi w:val="0"/>
                        <w:spacing w:before="0" w:after="0" w:line="240" w:lineRule="auto"/>
                        <w:ind w:left="3400" w:right="0" w:firstLine="0"/>
                        <w:jc w:val="left"/>
                        <w:rPr>
                          <w:sz w:val="16"/>
                          <w:szCs w:val="16"/>
                        </w:rPr>
                      </w:pPr>
                      <w:r>
                        <w:rPr>
                          <w:b/>
                          <w:bCs/>
                          <w:spacing w:val="0"/>
                          <w:w w:val="100"/>
                          <w:position w:val="0"/>
                          <w:sz w:val="16"/>
                          <w:szCs w:val="16"/>
                          <w:shd w:val="clear" w:color="auto" w:fill="auto"/>
                          <w:lang w:val="pt-BR" w:eastAsia="pt-BR" w:bidi="pt-BR"/>
                        </w:rPr>
                        <w:t>CNPJ: 05.573.777/0001-69</w:t>
                      </w:r>
                    </w:p>
                    <w:p>
                      <w:pPr>
                        <w:pStyle w:val="Style4"/>
                        <w:keepNext w:val="0"/>
                        <w:keepLines w:val="0"/>
                        <w:widowControl w:val="0"/>
                        <w:shd w:val="clear" w:color="auto" w:fill="auto"/>
                        <w:bidi w:val="0"/>
                        <w:spacing w:before="0" w:after="0" w:line="240" w:lineRule="auto"/>
                        <w:ind w:left="2380" w:right="0" w:firstLine="0"/>
                        <w:jc w:val="left"/>
                      </w:pPr>
                      <w:r>
                        <w:rPr>
                          <w:spacing w:val="0"/>
                          <w:w w:val="100"/>
                          <w:position w:val="0"/>
                          <w:shd w:val="clear" w:color="auto" w:fill="auto"/>
                          <w:vertAlign w:val="superscript"/>
                          <w:lang w:val="pt-BR" w:eastAsia="pt-BR" w:bidi="pt-BR"/>
                        </w:rPr>
                        <w:t>Av</w:t>
                      </w:r>
                      <w:r>
                        <w:rPr>
                          <w:spacing w:val="0"/>
                          <w:w w:val="100"/>
                          <w:position w:val="0"/>
                          <w:shd w:val="clear" w:color="auto" w:fill="auto"/>
                          <w:lang w:val="pt-BR" w:eastAsia="pt-BR" w:bidi="pt-BR"/>
                        </w:rPr>
                        <w:t xml:space="preserve">- </w:t>
                      </w:r>
                      <w:r>
                        <w:rPr>
                          <w:spacing w:val="0"/>
                          <w:w w:val="100"/>
                          <w:position w:val="0"/>
                          <w:shd w:val="clear" w:color="auto" w:fill="auto"/>
                          <w:vertAlign w:val="superscript"/>
                          <w:lang w:val="pt-BR" w:eastAsia="pt-BR" w:bidi="pt-BR"/>
                        </w:rPr>
                        <w:t>On&lt;</w:t>
                      </w:r>
                      <w:r>
                        <w:rPr>
                          <w:spacing w:val="0"/>
                          <w:w w:val="100"/>
                          <w:position w:val="0"/>
                          <w:shd w:val="clear" w:color="auto" w:fill="auto"/>
                          <w:lang w:val="pt-BR" w:eastAsia="pt-BR" w:bidi="pt-BR"/>
                        </w:rPr>
                        <w:t>?</w:t>
                      </w:r>
                      <w:r>
                        <w:rPr>
                          <w:spacing w:val="0"/>
                          <w:w w:val="100"/>
                          <w:position w:val="0"/>
                          <w:shd w:val="clear" w:color="auto" w:fill="auto"/>
                          <w:vertAlign w:val="superscript"/>
                          <w:lang w:val="pt-BR" w:eastAsia="pt-BR" w:bidi="pt-BR"/>
                        </w:rPr>
                        <w:t>a</w:t>
                      </w:r>
                      <w:r>
                        <w:rPr>
                          <w:spacing w:val="0"/>
                          <w:w w:val="100"/>
                          <w:position w:val="0"/>
                          <w:shd w:val="clear" w:color="auto" w:fill="auto"/>
                          <w:lang w:val="pt-BR" w:eastAsia="pt-BR" w:bidi="pt-BR"/>
                        </w:rPr>
                        <w:t xml:space="preserve"> Pintada, N</w:t>
                      </w:r>
                      <w:r>
                        <w:rPr>
                          <w:spacing w:val="0"/>
                          <w:w w:val="100"/>
                          <w:position w:val="0"/>
                          <w:shd w:val="clear" w:color="auto" w:fill="auto"/>
                          <w:vertAlign w:val="superscript"/>
                          <w:lang w:val="pt-BR" w:eastAsia="pt-BR" w:bidi="pt-BR"/>
                        </w:rPr>
                        <w:t>0</w:t>
                      </w:r>
                      <w:r>
                        <w:rPr>
                          <w:spacing w:val="0"/>
                          <w:w w:val="100"/>
                          <w:position w:val="0"/>
                          <w:shd w:val="clear" w:color="auto" w:fill="auto"/>
                          <w:lang w:val="pt-BR" w:eastAsia="pt-BR" w:bidi="pt-BR"/>
                        </w:rPr>
                        <w:t>.: 304 - Bairro Galo da Serra</w:t>
                      </w:r>
                    </w:p>
                    <w:p>
                      <w:pPr>
                        <w:pStyle w:val="Style4"/>
                        <w:keepNext w:val="0"/>
                        <w:keepLines w:val="0"/>
                        <w:widowControl w:val="0"/>
                        <w:shd w:val="clear" w:color="auto" w:fill="auto"/>
                        <w:bidi w:val="0"/>
                        <w:spacing w:before="0" w:after="0" w:line="228" w:lineRule="auto"/>
                        <w:ind w:left="0" w:right="0" w:firstLine="0"/>
                        <w:jc w:val="left"/>
                      </w:pPr>
                      <w:r>
                        <w:rPr>
                          <w:spacing w:val="0"/>
                          <w:w w:val="100"/>
                          <w:position w:val="0"/>
                          <w:shd w:val="clear" w:color="auto" w:fill="auto"/>
                          <w:lang w:val="pt-BR" w:eastAsia="pt-BR" w:bidi="pt-BR"/>
                        </w:rPr>
                        <w:t>OJ</w:t>
                      </w:r>
                      <w:r>
                        <w:rPr>
                          <w:color w:val="E87F80"/>
                          <w:spacing w:val="0"/>
                          <w:w w:val="100"/>
                          <w:position w:val="0"/>
                          <w:shd w:val="clear" w:color="auto" w:fill="auto"/>
                          <w:lang w:val="pt-BR" w:eastAsia="pt-BR" w:bidi="pt-BR"/>
                        </w:rPr>
                        <w:t xml:space="preserve">■*&gt; -' Ir </w:t>
                      </w:r>
                      <w:r>
                        <w:rPr>
                          <w:spacing w:val="0"/>
                          <w:w w:val="100"/>
                          <w:position w:val="0"/>
                          <w:shd w:val="clear" w:color="auto" w:fill="auto"/>
                          <w:lang w:val="pt-BR" w:eastAsia="pt-BR" w:bidi="pt-BR"/>
                        </w:rPr>
                        <w:t>Presidente Figueiredo - Amazonas - Brasil - Cep: 69.735-000</w:t>
                      </w:r>
                    </w:p>
                  </w:txbxContent>
                </v:textbox>
                <w10:wrap type="topAndBottom" anchorx="page"/>
              </v:shape>
            </w:pict>
          </mc:Fallback>
        </mc:AlternateContent>
      </w:r>
      <w:r>
        <w:rPr>
          <w:b/>
          <w:bCs/>
          <w:i/>
          <w:iCs/>
          <w:color w:val="8388EA"/>
          <w:spacing w:val="0"/>
          <w:w w:val="100"/>
          <w:position w:val="0"/>
          <w:sz w:val="22"/>
          <w:szCs w:val="22"/>
          <w:shd w:val="clear" w:color="auto" w:fill="auto"/>
          <w:lang w:val="pt-BR" w:eastAsia="pt-BR" w:bidi="pt-BR"/>
        </w:rPr>
        <w:t xml:space="preserve">Município de Presidente Figueiredo </w:t>
      </w:r>
      <w:r>
        <w:rPr>
          <w:color w:val="838AB0"/>
          <w:spacing w:val="0"/>
          <w:w w:val="100"/>
          <w:position w:val="0"/>
          <w:sz w:val="8"/>
          <w:szCs w:val="8"/>
          <w:shd w:val="clear" w:color="auto" w:fill="auto"/>
          <w:lang w:val="pt-BR" w:eastAsia="pt-BR" w:bidi="pt-BR"/>
        </w:rPr>
        <w:t>“ ■</w:t>
      </w:r>
    </w:p>
    <w:p>
      <w:pPr>
        <w:pStyle w:val="Style14"/>
        <w:keepNext/>
        <w:keepLines/>
        <w:widowControl w:val="0"/>
        <w:numPr>
          <w:ilvl w:val="0"/>
          <w:numId w:val="1"/>
        </w:numPr>
        <w:shd w:val="clear" w:color="auto" w:fill="auto"/>
        <w:tabs>
          <w:tab w:pos="409" w:val="left"/>
        </w:tabs>
        <w:bidi w:val="0"/>
        <w:spacing w:before="120" w:line="240" w:lineRule="auto"/>
        <w:ind w:left="0" w:right="0" w:firstLine="0"/>
        <w:jc w:val="both"/>
      </w:pPr>
      <w:bookmarkStart w:id="5" w:name="bookmark5"/>
      <w:r>
        <w:rPr>
          <w:rFonts w:ascii="Times New Roman" w:eastAsia="Times New Roman" w:hAnsi="Times New Roman" w:cs="Times New Roman"/>
          <w:spacing w:val="0"/>
          <w:w w:val="100"/>
          <w:position w:val="0"/>
          <w:shd w:val="clear" w:color="auto" w:fill="auto"/>
          <w:lang w:val="pt-BR" w:eastAsia="pt-BR" w:bidi="pt-BR"/>
        </w:rPr>
        <w:t>ENQUADRAMENTO LEGAL</w:t>
      </w:r>
      <w:bookmarkEnd w:id="5"/>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Verificou-se que a carteira de investimentos está: </w:t>
      </w:r>
      <w:r>
        <w:rPr>
          <w:color w:val="000000"/>
          <w:spacing w:val="0"/>
          <w:w w:val="100"/>
          <w:position w:val="0"/>
          <w:shd w:val="clear" w:color="auto" w:fill="auto"/>
          <w:lang w:val="pt-BR" w:eastAsia="pt-BR" w:bidi="pt-BR"/>
        </w:rPr>
        <w:t>( X ) Totalmente enquadrada, de acordo com a Resolução 4963/2021;</w:t>
      </w:r>
    </w:p>
    <w:p>
      <w:pPr>
        <w:pStyle w:val="Style2"/>
        <w:keepNext w:val="0"/>
        <w:keepLines w:val="0"/>
        <w:widowControl w:val="0"/>
        <w:shd w:val="clear" w:color="auto" w:fill="auto"/>
        <w:bidi w:val="0"/>
        <w:spacing w:before="0" w:line="302" w:lineRule="auto"/>
        <w:ind w:left="0" w:right="0" w:firstLine="0"/>
        <w:jc w:val="left"/>
      </w:pPr>
      <w:r>
        <w:rPr>
          <w:color w:val="000000"/>
          <w:spacing w:val="0"/>
          <w:w w:val="100"/>
          <w:position w:val="0"/>
          <w:shd w:val="clear" w:color="auto" w:fill="auto"/>
          <w:lang w:val="pt-BR" w:eastAsia="pt-BR" w:bidi="pt-BR"/>
        </w:rPr>
        <w:t>(X ) e em processo de adequação a nova Resolução CMN n^ 5272/2025.</w:t>
      </w:r>
    </w:p>
    <w:p>
      <w:pPr>
        <w:pStyle w:val="Style14"/>
        <w:keepNext/>
        <w:keepLines/>
        <w:widowControl w:val="0"/>
        <w:numPr>
          <w:ilvl w:val="0"/>
          <w:numId w:val="1"/>
        </w:numPr>
        <w:shd w:val="clear" w:color="auto" w:fill="auto"/>
        <w:tabs>
          <w:tab w:pos="412" w:val="left"/>
        </w:tabs>
        <w:bidi w:val="0"/>
        <w:spacing w:before="0" w:line="240" w:lineRule="auto"/>
        <w:ind w:left="0" w:right="0" w:firstLine="0"/>
        <w:jc w:val="both"/>
      </w:pPr>
      <w:bookmarkStart w:id="6" w:name="bookmark6"/>
      <w:r>
        <w:rPr>
          <w:rFonts w:ascii="Times New Roman" w:eastAsia="Times New Roman" w:hAnsi="Times New Roman" w:cs="Times New Roman"/>
          <w:spacing w:val="0"/>
          <w:w w:val="100"/>
          <w:position w:val="0"/>
          <w:shd w:val="clear" w:color="auto" w:fill="auto"/>
          <w:lang w:val="pt-BR" w:eastAsia="pt-BR" w:bidi="pt-BR"/>
        </w:rPr>
        <w:t>DELIBERAÇÕES</w:t>
      </w:r>
      <w:bookmarkEnd w:id="6"/>
    </w:p>
    <w:p>
      <w:pPr>
        <w:pStyle w:val="Style2"/>
        <w:keepNext w:val="0"/>
        <w:keepLines w:val="0"/>
        <w:widowControl w:val="0"/>
        <w:shd w:val="clear" w:color="auto" w:fill="auto"/>
        <w:bidi w:val="0"/>
        <w:spacing w:before="0" w:line="302" w:lineRule="auto"/>
        <w:ind w:left="0" w:right="460" w:firstLine="0"/>
        <w:jc w:val="both"/>
      </w:pPr>
      <w:r>
        <w:rPr>
          <w:color w:val="000000"/>
          <w:spacing w:val="0"/>
          <w:w w:val="100"/>
          <w:position w:val="0"/>
          <w:shd w:val="clear" w:color="auto" w:fill="auto"/>
          <w:lang w:val="pt-BR" w:eastAsia="pt-BR" w:bidi="pt-BR"/>
        </w:rPr>
        <w:t>Após análise, o Comitê deliberou por: - Manutenção da estratégia atual de investimentos, considerando o cenário econômico apresentado; - Acompanhamento contínuo da rentabilidade da carteira; - Avaliação periódica para eventuais realocações, conforme necessidade. Analisa novos fundos de investimentos para cumprimento da nova Resolução, no momento, os novos investimentos somente poderão ser realizados em fundos de Renda Fixa, vamos acompanhando e ajustando a carteira em novos fundos, sempre observando a rentabilidade, segurança e principalemnte as instituições financeiras.</w:t>
      </w:r>
    </w:p>
    <w:p>
      <w:pPr>
        <w:pStyle w:val="Style2"/>
        <w:keepNext w:val="0"/>
        <w:keepLines w:val="0"/>
        <w:widowControl w:val="0"/>
        <w:shd w:val="clear" w:color="auto" w:fill="auto"/>
        <w:bidi w:val="0"/>
        <w:spacing w:before="0" w:line="302" w:lineRule="auto"/>
        <w:ind w:left="0" w:right="0" w:firstLine="0"/>
        <w:jc w:val="both"/>
      </w:pPr>
      <w:r>
        <w:rPr>
          <w:color w:val="000000"/>
          <w:spacing w:val="0"/>
          <w:w w:val="100"/>
          <w:position w:val="0"/>
          <w:shd w:val="clear" w:color="auto" w:fill="auto"/>
          <w:lang w:val="pt-BR" w:eastAsia="pt-BR" w:bidi="pt-BR"/>
        </w:rPr>
        <w:t>As decisões foram aprovadas por unanimidade.</w:t>
      </w:r>
    </w:p>
    <w:p>
      <w:pPr>
        <w:pStyle w:val="Style14"/>
        <w:keepNext/>
        <w:keepLines/>
        <w:widowControl w:val="0"/>
        <w:numPr>
          <w:ilvl w:val="0"/>
          <w:numId w:val="1"/>
        </w:numPr>
        <w:shd w:val="clear" w:color="auto" w:fill="auto"/>
        <w:tabs>
          <w:tab w:pos="412" w:val="left"/>
        </w:tabs>
        <w:bidi w:val="0"/>
        <w:spacing w:before="0" w:line="240" w:lineRule="auto"/>
        <w:ind w:left="0" w:right="0" w:firstLine="0"/>
        <w:jc w:val="both"/>
      </w:pPr>
      <w:bookmarkStart w:id="7" w:name="bookmark7"/>
      <w:r>
        <w:rPr>
          <w:rFonts w:ascii="Times New Roman" w:eastAsia="Times New Roman" w:hAnsi="Times New Roman" w:cs="Times New Roman"/>
          <w:spacing w:val="0"/>
          <w:w w:val="100"/>
          <w:position w:val="0"/>
          <w:shd w:val="clear" w:color="auto" w:fill="auto"/>
          <w:lang w:val="pt-BR" w:eastAsia="pt-BR" w:bidi="pt-BR"/>
        </w:rPr>
        <w:t>RECOMENDAÇÕES</w:t>
      </w:r>
      <w:bookmarkEnd w:id="7"/>
    </w:p>
    <w:p>
      <w:pPr>
        <w:pStyle w:val="Style2"/>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BR" w:eastAsia="pt-BR" w:bidi="pt-BR"/>
        </w:rPr>
        <w:t>O Comitê recomenda: - Monitoramento contínuo do mercado financeiro; - Cumprimento da Política de Investimentos vigente; - Observância da meta atuarial; - Revisão periódica da estratégia de alocação.</w:t>
      </w:r>
    </w:p>
    <w:p>
      <w:pPr>
        <w:pStyle w:val="Style14"/>
        <w:keepNext/>
        <w:keepLines/>
        <w:widowControl w:val="0"/>
        <w:numPr>
          <w:ilvl w:val="0"/>
          <w:numId w:val="1"/>
        </w:numPr>
        <w:shd w:val="clear" w:color="auto" w:fill="auto"/>
        <w:tabs>
          <w:tab w:pos="412" w:val="left"/>
        </w:tabs>
        <w:bidi w:val="0"/>
        <w:spacing w:before="0" w:line="240" w:lineRule="auto"/>
        <w:ind w:left="0" w:right="0" w:firstLine="0"/>
        <w:jc w:val="both"/>
      </w:pPr>
      <w:bookmarkStart w:id="8" w:name="bookmark8"/>
      <w:r>
        <w:rPr>
          <w:rFonts w:ascii="Times New Roman" w:eastAsia="Times New Roman" w:hAnsi="Times New Roman" w:cs="Times New Roman"/>
          <w:spacing w:val="0"/>
          <w:w w:val="100"/>
          <w:position w:val="0"/>
          <w:shd w:val="clear" w:color="auto" w:fill="auto"/>
          <w:lang w:val="pt-BR" w:eastAsia="pt-BR" w:bidi="pt-BR"/>
        </w:rPr>
        <w:t>ENCERRAMENTO</w:t>
      </w:r>
      <w:bookmarkEnd w:id="8"/>
    </w:p>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 xml:space="preserve">Nada </w:t>
      </w:r>
      <w:r>
        <w:rPr>
          <w:color w:val="000000"/>
          <w:spacing w:val="0"/>
          <w:w w:val="100"/>
          <w:position w:val="0"/>
          <w:u w:val="single"/>
          <w:shd w:val="clear" w:color="auto" w:fill="auto"/>
          <w:lang w:val="pt-BR" w:eastAsia="pt-BR" w:bidi="pt-BR"/>
        </w:rPr>
        <w:t>uri</w:t>
      </w:r>
      <w:r>
        <w:rPr>
          <w:color w:val="000000"/>
          <w:spacing w:val="0"/>
          <w:w w:val="100"/>
          <w:position w:val="0"/>
          <w:shd w:val="clear" w:color="auto" w:fill="auto"/>
          <w:lang w:val="pt-BR" w:eastAsia="pt-BR" w:bidi="pt-BR"/>
        </w:rPr>
        <w:t>ais havendo a tratar, a reunião foi encerrada às 10h30. Eu,</w:t>
      </w:r>
    </w:p>
    <w:p>
      <w:pPr>
        <w:pStyle w:val="Style2"/>
        <w:keepNext w:val="0"/>
        <w:keepLines w:val="0"/>
        <w:widowControl w:val="0"/>
        <w:shd w:val="clear" w:color="auto" w:fill="auto"/>
        <w:tabs>
          <w:tab w:pos="3900" w:val="left"/>
        </w:tabs>
        <w:bidi w:val="0"/>
        <w:spacing w:before="0" w:after="40" w:line="240" w:lineRule="auto"/>
        <w:ind w:left="300" w:right="0" w:firstLine="0"/>
        <w:jc w:val="both"/>
      </w:pPr>
      <w:r>
        <w:rPr>
          <w:color w:val="838AB0"/>
          <w:spacing w:val="0"/>
          <w:w w:val="100"/>
          <w:position w:val="0"/>
          <w:u w:val="single"/>
          <w:shd w:val="clear" w:color="auto" w:fill="auto"/>
          <w:lang w:val="pt-BR" w:eastAsia="pt-BR" w:bidi="pt-BR"/>
        </w:rPr>
        <w:t>i</w:t>
      </w:r>
      <w:r>
        <w:rPr>
          <w:color w:val="838AB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lavrei a presente ata, que após lida e aprovada, será</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assinada pelos presentes.</w:t>
      </w:r>
    </w:p>
    <w:p>
      <w:pPr>
        <w:widowControl w:val="0"/>
        <w:spacing w:line="1" w:lineRule="exact"/>
        <w:sectPr>
          <w:footnotePr>
            <w:pos w:val="pageBottom"/>
            <w:numFmt w:val="decimal"/>
            <w:numRestart w:val="continuous"/>
          </w:footnotePr>
          <w:type w:val="continuous"/>
          <w:pgSz w:w="11900" w:h="16840"/>
          <w:pgMar w:top="685" w:left="1616" w:right="658" w:bottom="222" w:header="0" w:footer="3" w:gutter="0"/>
          <w:cols w:space="720"/>
          <w:noEndnote/>
          <w:rtlGutter w:val="0"/>
          <w:docGrid w:linePitch="360"/>
        </w:sectPr>
      </w:pPr>
      <w:r>
        <w:drawing>
          <wp:anchor distT="266700" distB="1118235" distL="0" distR="0" simplePos="0" relativeHeight="125829383" behindDoc="0" locked="0" layoutInCell="1" allowOverlap="1">
            <wp:simplePos x="0" y="0"/>
            <wp:positionH relativeFrom="page">
              <wp:posOffset>948055</wp:posOffset>
            </wp:positionH>
            <wp:positionV relativeFrom="paragraph">
              <wp:posOffset>266700</wp:posOffset>
            </wp:positionV>
            <wp:extent cx="5821680" cy="63373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5821680" cy="6337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1057910</wp:posOffset>
                </wp:positionH>
                <wp:positionV relativeFrom="paragraph">
                  <wp:posOffset>902335</wp:posOffset>
                </wp:positionV>
                <wp:extent cx="1506220" cy="175895"/>
                <wp:wrapNone/>
                <wp:docPr id="15" name="Shape 15"/>
                <a:graphic xmlns:a="http://schemas.openxmlformats.org/drawingml/2006/main">
                  <a:graphicData uri="http://schemas.microsoft.com/office/word/2010/wordprocessingShape">
                    <wps:wsp>
                      <wps:cNvSpPr txBox="1"/>
                      <wps:spPr>
                        <a:xfrm>
                          <a:ext cx="1506220" cy="1758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Suzana Farias de Araújo</w:t>
                            </w:r>
                          </w:p>
                        </w:txbxContent>
                      </wps:txbx>
                      <wps:bodyPr lIns="0" tIns="0" rIns="0" bIns="0">
                        <a:noAutoFit/>
                      </wps:bodyPr>
                    </wps:wsp>
                  </a:graphicData>
                </a:graphic>
              </wp:anchor>
            </w:drawing>
          </mc:Choice>
          <mc:Fallback>
            <w:pict>
              <v:shape id="_x0000_s1041" type="#_x0000_t202" style="position:absolute;margin-left:83.299999999999997pt;margin-top:71.049999999999997pt;width:118.59999999999999pt;height:13.85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Suzana Farias de Araújo</w:t>
                      </w:r>
                    </w:p>
                  </w:txbxContent>
                </v:textbox>
                <w10:wrap anchorx="page"/>
              </v:shape>
            </w:pict>
          </mc:Fallback>
        </mc:AlternateContent>
      </w:r>
      <w:r>
        <w:drawing>
          <wp:anchor distT="1064260" distB="359410" distL="0" distR="0" simplePos="0" relativeHeight="125829384" behindDoc="0" locked="0" layoutInCell="1" allowOverlap="1">
            <wp:simplePos x="0" y="0"/>
            <wp:positionH relativeFrom="page">
              <wp:posOffset>1035050</wp:posOffset>
            </wp:positionH>
            <wp:positionV relativeFrom="paragraph">
              <wp:posOffset>1064260</wp:posOffset>
            </wp:positionV>
            <wp:extent cx="5730240" cy="59753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5730240" cy="59753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1053465</wp:posOffset>
                </wp:positionH>
                <wp:positionV relativeFrom="paragraph">
                  <wp:posOffset>1661160</wp:posOffset>
                </wp:positionV>
                <wp:extent cx="1522730" cy="356870"/>
                <wp:wrapNone/>
                <wp:docPr id="19" name="Shape 19"/>
                <a:graphic xmlns:a="http://schemas.openxmlformats.org/drawingml/2006/main">
                  <a:graphicData uri="http://schemas.microsoft.com/office/word/2010/wordprocessingShape">
                    <wps:wsp>
                      <wps:cNvSpPr txBox="1"/>
                      <wps:spPr>
                        <a:xfrm>
                          <a:ext cx="1522730" cy="356870"/>
                        </a:xfrm>
                        <a:prstGeom prst="rect"/>
                        <a:noFill/>
                      </wps:spPr>
                      <wps:txbx>
                        <w:txbxContent>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Solange Duarte Moreira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Membro</w:t>
                            </w:r>
                          </w:p>
                        </w:txbxContent>
                      </wps:txbx>
                      <wps:bodyPr lIns="0" tIns="0" rIns="0" bIns="0">
                        <a:noAutoFit/>
                      </wps:bodyPr>
                    </wps:wsp>
                  </a:graphicData>
                </a:graphic>
              </wp:anchor>
            </w:drawing>
          </mc:Choice>
          <mc:Fallback>
            <w:pict>
              <v:shape id="_x0000_s1045" type="#_x0000_t202" style="position:absolute;margin-left:82.950000000000003pt;margin-top:130.80000000000001pt;width:119.90000000000001pt;height:28.100000000000001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Solange Duarte Moreira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Membro</w:t>
                      </w:r>
                    </w:p>
                  </w:txbxContent>
                </v:textbox>
                <w10:wrap anchorx="page"/>
              </v:shape>
            </w:pict>
          </mc:Fallback>
        </mc:AlternateContent>
      </w:r>
    </w:p>
    <w:p>
      <w:pPr>
        <w:widowControl w:val="0"/>
        <w:spacing w:before="114" w:after="11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4" w:left="0" w:right="0" w:bottom="223" w:header="0" w:footer="3" w:gutter="0"/>
          <w:cols w:space="720"/>
          <w:noEndnote/>
          <w:rtlGutter w:val="0"/>
          <w:docGrid w:linePitch="360"/>
        </w:sectPr>
      </w:pPr>
    </w:p>
    <w:p>
      <w:pPr>
        <w:pStyle w:val="Style2"/>
        <w:keepNext w:val="0"/>
        <w:keepLines w:val="0"/>
        <w:widowControl w:val="0"/>
        <w:shd w:val="clear" w:color="auto" w:fill="auto"/>
        <w:bidi w:val="0"/>
        <w:spacing w:before="0" w:after="1280" w:line="300" w:lineRule="auto"/>
        <w:ind w:left="0" w:right="6580" w:firstLine="0"/>
        <w:jc w:val="left"/>
      </w:pPr>
      <w:r>
        <w:rPr>
          <w:color w:val="000000"/>
          <w:spacing w:val="0"/>
          <w:w w:val="100"/>
          <w:position w:val="0"/>
          <w:shd w:val="clear" w:color="auto" w:fill="auto"/>
          <w:lang w:val="pt-BR" w:eastAsia="pt-BR" w:bidi="pt-BR"/>
        </w:rPr>
        <w:t>Ednamar da Silva e Silva Membro</w:t>
      </w:r>
    </w:p>
    <w:p>
      <w:pPr>
        <w:pStyle w:val="Style2"/>
        <w:keepNext w:val="0"/>
        <w:keepLines w:val="0"/>
        <w:widowControl w:val="0"/>
        <w:pBdr>
          <w:top w:val="single" w:sz="4" w:space="0" w:color="auto"/>
        </w:pBdr>
        <w:shd w:val="clear" w:color="auto" w:fill="auto"/>
        <w:bidi w:val="0"/>
        <w:spacing w:before="0" w:after="0" w:line="360" w:lineRule="auto"/>
        <w:ind w:left="2080" w:right="0" w:hanging="1540"/>
        <w:jc w:val="left"/>
        <w:rPr>
          <w:sz w:val="17"/>
          <w:szCs w:val="17"/>
        </w:rPr>
      </w:pPr>
      <w:r>
        <w:rPr>
          <w:i/>
          <w:iCs/>
          <w:color w:val="838AB0"/>
          <w:spacing w:val="0"/>
          <w:w w:val="100"/>
          <w:position w:val="0"/>
          <w:sz w:val="19"/>
          <w:szCs w:val="19"/>
          <w:shd w:val="clear" w:color="auto" w:fill="auto"/>
          <w:lang w:val="pt-BR" w:eastAsia="pt-BR" w:bidi="pt-BR"/>
        </w:rPr>
        <w:t xml:space="preserve">'Reunir-se é um começo, permanecer juntos é um progresso, e trabalhar juntos é sucesso." </w:t>
      </w:r>
      <w:r>
        <w:rPr>
          <w:color w:val="838AB0"/>
          <w:spacing w:val="0"/>
          <w:w w:val="100"/>
          <w:position w:val="0"/>
          <w:sz w:val="17"/>
          <w:szCs w:val="17"/>
          <w:shd w:val="clear" w:color="auto" w:fill="auto"/>
          <w:lang w:val="pt-BR" w:eastAsia="pt-BR" w:bidi="pt-BR"/>
        </w:rPr>
        <w:t>Fone/Fax: (0xx92) 3324-2153E-mail:</w:t>
      </w:r>
      <w:r>
        <w:fldChar w:fldCharType="begin"/>
      </w:r>
      <w:r>
        <w:rPr/>
        <w:instrText> HYPERLINK "mailto:sisprev_pf@hotmail.com" </w:instrText>
      </w:r>
      <w:r>
        <w:fldChar w:fldCharType="separate"/>
      </w:r>
      <w:r>
        <w:rPr>
          <w:color w:val="838AB0"/>
          <w:spacing w:val="0"/>
          <w:w w:val="100"/>
          <w:position w:val="0"/>
          <w:sz w:val="17"/>
          <w:szCs w:val="17"/>
          <w:shd w:val="clear" w:color="auto" w:fill="auto"/>
          <w:lang w:val="pt-BR" w:eastAsia="pt-BR" w:bidi="pt-BR"/>
        </w:rPr>
        <w:t>sisprev_pf@hotmail.com</w:t>
      </w:r>
      <w:r>
        <w:fldChar w:fldCharType="end"/>
      </w:r>
    </w:p>
    <w:sectPr>
      <w:footnotePr>
        <w:pos w:val="pageBottom"/>
        <w:numFmt w:val="decimal"/>
        <w:numRestart w:val="continuous"/>
      </w:footnotePr>
      <w:type w:val="continuous"/>
      <w:pgSz w:w="11900" w:h="16840"/>
      <w:pgMar w:top="684" w:left="1620" w:right="1223" w:bottom="223"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2004695</wp:posOffset>
              </wp:positionH>
              <wp:positionV relativeFrom="page">
                <wp:posOffset>809625</wp:posOffset>
              </wp:positionV>
              <wp:extent cx="48260" cy="91440"/>
              <wp:wrapNone/>
              <wp:docPr id="5" name="Shape 5"/>
              <a:graphic xmlns:a="http://schemas.openxmlformats.org/drawingml/2006/main">
                <a:graphicData uri="http://schemas.microsoft.com/office/word/2010/wordprocessingShape">
                  <wps:wsp>
                    <wps:cNvSpPr txBox="1"/>
                    <wps:spPr>
                      <a:xfrm>
                        <a:ext cx="48260" cy="9144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i/>
                              <w:iCs/>
                              <w:color w:val="8388EA"/>
                              <w:spacing w:val="0"/>
                              <w:w w:val="100"/>
                              <w:position w:val="0"/>
                              <w:sz w:val="19"/>
                              <w:szCs w:val="19"/>
                              <w:shd w:val="clear" w:color="auto" w:fill="auto"/>
                              <w:lang w:val="pt-BR" w:eastAsia="pt-BR" w:bidi="pt-BR"/>
                            </w:rPr>
                            <w:t>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57.84999999999999pt;margin-top:63.75pt;width:3.7999999999999998pt;height:7.2000000000000002pt;z-index:-18874406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i/>
                        <w:iCs/>
                        <w:color w:val="8388EA"/>
                        <w:spacing w:val="0"/>
                        <w:w w:val="100"/>
                        <w:position w:val="0"/>
                        <w:sz w:val="19"/>
                        <w:szCs w:val="19"/>
                        <w:shd w:val="clear" w:color="auto" w:fill="auto"/>
                        <w:lang w:val="pt-BR" w:eastAsia="pt-BR" w:bidi="pt-BR"/>
                      </w:rPr>
                      <w:t>1</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838AB0"/>
        <w:spacing w:val="0"/>
        <w:w w:val="100"/>
        <w:position w:val="0"/>
        <w:sz w:val="28"/>
        <w:szCs w:val="28"/>
        <w:u w:val="none"/>
        <w:shd w:val="clear" w:color="auto" w:fill="auto"/>
        <w:lang w:val="pt-BR" w:eastAsia="pt-BR" w:bidi="pt-BR"/>
      </w:rPr>
    </w:lvl>
  </w:abstractNum>
  <w:abstractNum w:abstractNumId="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1_"/>
    <w:basedOn w:val="DefaultParagraphFont"/>
    <w:link w:val="Style2"/>
    <w:rPr>
      <w:rFonts w:ascii="Arial" w:eastAsia="Arial" w:hAnsi="Arial" w:cs="Arial"/>
      <w:b w:val="0"/>
      <w:bCs w:val="0"/>
      <w:i w:val="0"/>
      <w:iCs w:val="0"/>
      <w:smallCaps w:val="0"/>
      <w:strike w:val="0"/>
      <w:sz w:val="20"/>
      <w:szCs w:val="20"/>
      <w:u w:val="none"/>
    </w:rPr>
  </w:style>
  <w:style w:type="character" w:customStyle="1" w:styleId="CharStyle5">
    <w:name w:val="Body text|2_"/>
    <w:basedOn w:val="DefaultParagraphFont"/>
    <w:link w:val="Style4"/>
    <w:rPr>
      <w:rFonts w:ascii="Arial" w:eastAsia="Arial" w:hAnsi="Arial" w:cs="Arial"/>
      <w:b w:val="0"/>
      <w:bCs w:val="0"/>
      <w:i w:val="0"/>
      <w:iCs w:val="0"/>
      <w:smallCaps w:val="0"/>
      <w:strike w:val="0"/>
      <w:color w:val="838AB0"/>
      <w:sz w:val="17"/>
      <w:szCs w:val="17"/>
      <w:u w:val="none"/>
    </w:rPr>
  </w:style>
  <w:style w:type="character" w:customStyle="1" w:styleId="CharStyle10">
    <w:name w:val="Picture caption|1_"/>
    <w:basedOn w:val="DefaultParagraphFont"/>
    <w:link w:val="Style9"/>
    <w:rPr>
      <w:rFonts w:ascii="Arial" w:eastAsia="Arial" w:hAnsi="Arial" w:cs="Arial"/>
      <w:b w:val="0"/>
      <w:bCs w:val="0"/>
      <w:i w:val="0"/>
      <w:iCs w:val="0"/>
      <w:smallCaps w:val="0"/>
      <w:strike w:val="0"/>
      <w:sz w:val="20"/>
      <w:szCs w:val="20"/>
      <w:u w:val="none"/>
    </w:rPr>
  </w:style>
  <w:style w:type="character" w:customStyle="1" w:styleId="CharStyle12">
    <w:name w:val="Heading #1|1_"/>
    <w:basedOn w:val="DefaultParagraphFont"/>
    <w:link w:val="Style11"/>
    <w:rPr>
      <w:b w:val="0"/>
      <w:bCs w:val="0"/>
      <w:i w:val="0"/>
      <w:iCs w:val="0"/>
      <w:smallCaps w:val="0"/>
      <w:strike w:val="0"/>
      <w:color w:val="838AB0"/>
      <w:sz w:val="36"/>
      <w:szCs w:val="36"/>
      <w:u w:val="none"/>
    </w:rPr>
  </w:style>
  <w:style w:type="character" w:customStyle="1" w:styleId="CharStyle15">
    <w:name w:val="Heading #2|1_"/>
    <w:basedOn w:val="DefaultParagraphFont"/>
    <w:link w:val="Style14"/>
    <w:rPr>
      <w:b w:val="0"/>
      <w:bCs w:val="0"/>
      <w:i w:val="0"/>
      <w:iCs w:val="0"/>
      <w:smallCaps w:val="0"/>
      <w:strike w:val="0"/>
      <w:color w:val="838AB0"/>
      <w:sz w:val="28"/>
      <w:szCs w:val="28"/>
      <w:u w:val="none"/>
    </w:rPr>
  </w:style>
  <w:style w:type="character" w:customStyle="1" w:styleId="CharStyle24">
    <w:name w:val="Header or footer|2_"/>
    <w:basedOn w:val="DefaultParagraphFont"/>
    <w:link w:val="Style23"/>
    <w:rPr>
      <w:b w:val="0"/>
      <w:bCs w:val="0"/>
      <w:i w:val="0"/>
      <w:iCs w:val="0"/>
      <w:smallCaps w:val="0"/>
      <w:strike w:val="0"/>
      <w:sz w:val="20"/>
      <w:szCs w:val="20"/>
      <w:u w:val="none"/>
    </w:rPr>
  </w:style>
  <w:style w:type="paragraph" w:customStyle="1" w:styleId="Style2">
    <w:name w:val="Body text|1"/>
    <w:basedOn w:val="Normal"/>
    <w:link w:val="CharStyle3"/>
    <w:pPr>
      <w:widowControl w:val="0"/>
      <w:shd w:val="clear" w:color="auto" w:fill="FFFFFF"/>
      <w:spacing w:after="160" w:line="298" w:lineRule="auto"/>
    </w:pPr>
    <w:rPr>
      <w:rFonts w:ascii="Arial" w:eastAsia="Arial" w:hAnsi="Arial" w:cs="Arial"/>
      <w:b w:val="0"/>
      <w:bCs w:val="0"/>
      <w:i w:val="0"/>
      <w:iCs w:val="0"/>
      <w:smallCaps w:val="0"/>
      <w:strike w:val="0"/>
      <w:sz w:val="20"/>
      <w:szCs w:val="20"/>
      <w:u w:val="none"/>
    </w:rPr>
  </w:style>
  <w:style w:type="paragraph" w:customStyle="1" w:styleId="Style4">
    <w:name w:val="Body text|2"/>
    <w:basedOn w:val="Normal"/>
    <w:link w:val="CharStyle5"/>
    <w:pPr>
      <w:widowControl w:val="0"/>
      <w:shd w:val="clear" w:color="auto" w:fill="FFFFFF"/>
      <w:ind w:left="2520"/>
    </w:pPr>
    <w:rPr>
      <w:rFonts w:ascii="Arial" w:eastAsia="Arial" w:hAnsi="Arial" w:cs="Arial"/>
      <w:b w:val="0"/>
      <w:bCs w:val="0"/>
      <w:i w:val="0"/>
      <w:iCs w:val="0"/>
      <w:smallCaps w:val="0"/>
      <w:strike w:val="0"/>
      <w:color w:val="838AB0"/>
      <w:sz w:val="17"/>
      <w:szCs w:val="17"/>
      <w:u w:val="none"/>
    </w:rPr>
  </w:style>
  <w:style w:type="paragraph" w:customStyle="1" w:styleId="Style9">
    <w:name w:val="Picture caption|1"/>
    <w:basedOn w:val="Normal"/>
    <w:link w:val="CharStyle10"/>
    <w:pPr>
      <w:widowControl w:val="0"/>
      <w:shd w:val="clear" w:color="auto" w:fill="FFFFFF"/>
      <w:spacing w:after="20"/>
    </w:pPr>
    <w:rPr>
      <w:rFonts w:ascii="Arial" w:eastAsia="Arial" w:hAnsi="Arial" w:cs="Arial"/>
      <w:b w:val="0"/>
      <w:bCs w:val="0"/>
      <w:i w:val="0"/>
      <w:iCs w:val="0"/>
      <w:smallCaps w:val="0"/>
      <w:strike w:val="0"/>
      <w:sz w:val="20"/>
      <w:szCs w:val="20"/>
      <w:u w:val="none"/>
    </w:rPr>
  </w:style>
  <w:style w:type="paragraph" w:customStyle="1" w:styleId="Style11">
    <w:name w:val="Heading #1|1"/>
    <w:basedOn w:val="Normal"/>
    <w:link w:val="CharStyle12"/>
    <w:pPr>
      <w:widowControl w:val="0"/>
      <w:shd w:val="clear" w:color="auto" w:fill="FFFFFF"/>
      <w:spacing w:after="100"/>
      <w:outlineLvl w:val="0"/>
    </w:pPr>
    <w:rPr>
      <w:b w:val="0"/>
      <w:bCs w:val="0"/>
      <w:i w:val="0"/>
      <w:iCs w:val="0"/>
      <w:smallCaps w:val="0"/>
      <w:strike w:val="0"/>
      <w:color w:val="838AB0"/>
      <w:sz w:val="36"/>
      <w:szCs w:val="36"/>
      <w:u w:val="none"/>
    </w:rPr>
  </w:style>
  <w:style w:type="paragraph" w:customStyle="1" w:styleId="Style14">
    <w:name w:val="Heading #2|1"/>
    <w:basedOn w:val="Normal"/>
    <w:link w:val="CharStyle15"/>
    <w:pPr>
      <w:widowControl w:val="0"/>
      <w:shd w:val="clear" w:color="auto" w:fill="FFFFFF"/>
      <w:spacing w:after="220"/>
      <w:outlineLvl w:val="1"/>
    </w:pPr>
    <w:rPr>
      <w:b w:val="0"/>
      <w:bCs w:val="0"/>
      <w:i w:val="0"/>
      <w:iCs w:val="0"/>
      <w:smallCaps w:val="0"/>
      <w:strike w:val="0"/>
      <w:color w:val="838AB0"/>
      <w:sz w:val="28"/>
      <w:szCs w:val="28"/>
      <w:u w:val="none"/>
    </w:rPr>
  </w:style>
  <w:style w:type="paragraph" w:customStyle="1" w:styleId="Style23">
    <w:name w:val="Header or footer|2"/>
    <w:basedOn w:val="Normal"/>
    <w:link w:val="CharStyle24"/>
    <w:pPr>
      <w:widowControl w:val="0"/>
      <w:shd w:val="clear" w:color="auto" w:fill="FFFFFF"/>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
  <dc:subject/>
  <dc:creator>Dir Pres</dc:creator>
  <cp:keywords/>
</cp:coreProperties>
</file>