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39" w:lineRule="exact"/>
        <w:rPr>
          <w:sz w:val="11"/>
          <w:szCs w:val="11"/>
        </w:rPr>
      </w:pPr>
    </w:p>
    <w:p>
      <w:pPr>
        <w:widowControl w:val="0"/>
        <w:spacing w:line="1" w:lineRule="exact"/>
        <w:sectPr>
          <w:headerReference w:type="default" r:id="rId5"/>
          <w:headerReference w:type="even" r:id="rId6"/>
          <w:headerReference w:type="first" r:id="rId7"/>
          <w:footnotePr>
            <w:pos w:val="pageBottom"/>
            <w:numFmt w:val="decimal"/>
            <w:numRestart w:val="continuous"/>
          </w:footnotePr>
          <w:pgSz w:w="11900" w:h="16840"/>
          <w:pgMar w:top="2812" w:left="660" w:right="959" w:bottom="1291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40" w:line="276" w:lineRule="auto"/>
        <w:ind w:left="700" w:right="0" w:firstLine="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PARECER DA COMISSÃO PERMANENTE DE OBRAS, TRANSPORTES, SERVIÇOS PÚBLICOS, AGROINDÚSTRIA, COMERCIO E TURISMO: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46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CÂMARA iv...</w:t>
        <w:tab/>
        <w:t>• . Uu PAUINI - AM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leader="underscore" w:pos="2894" w:val="left"/>
        </w:tabs>
        <w:bidi w:val="0"/>
        <w:spacing w:before="0" w:after="0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2792095</wp:posOffset>
                </wp:positionH>
                <wp:positionV relativeFrom="paragraph">
                  <wp:posOffset>152400</wp:posOffset>
                </wp:positionV>
                <wp:extent cx="2180590" cy="224155"/>
                <wp:wrapSquare wrapText="left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8059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PARECER DO RELATOR: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19.84999999999999pt;margin-top:12.pt;width:171.69999999999999pt;height:17.64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PARECER DO RELATOR: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REQUERIMENTO APROVADO EM SESSÃO ORDI</w:t>
      </w:r>
      <w:r>
        <w:rPr>
          <w:smallCap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NáUwJA: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656FA2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0/</w:t>
      </w:r>
      <w:r>
        <w:rPr>
          <w:color w:val="656FA2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/ </w:t>
      </w:r>
      <w:r>
        <w:rPr>
          <w:color w:val="656FA2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O?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/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20Ír </w:t>
        <w:tab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6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\ Responsável</w:t>
      </w:r>
    </w:p>
    <w:p>
      <w:pPr>
        <w:pStyle w:val="Style1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972" w:val="left"/>
        </w:tabs>
        <w:bidi w:val="0"/>
        <w:spacing w:before="0" w:after="260" w:line="240" w:lineRule="auto"/>
        <w:ind w:right="0" w:firstLine="4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RELATÓRIO: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70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Chega a esta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Comissão Permanente de Obras, Transportes, Serviços Públicos, Agroindústria, Comercio e Turismo;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Projeto de Lei n° 005/2025, que tem por finalidade regulamentar e normatizar a identificação e numeração de logradouros públicos, tais como ruas, bairros, travessas, ramais e residências no âmbito do Município de Pauini-AM, e dá outras providências.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20"/>
        <w:ind w:left="70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objetivo central da proposta legislativa é ordenar o espaço urbano e rural, promovendo a organização dos logradouros, com a fixação de placas de identificação e numeração padronizada dos imóveis, facilitando a prestação dos serviços públicos essenciais e garantindo o direito à moradia formalizada e identificada.</w:t>
      </w:r>
    </w:p>
    <w:p>
      <w:pPr>
        <w:pStyle w:val="Style1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051" w:val="left"/>
        </w:tabs>
        <w:bidi w:val="0"/>
        <w:spacing w:before="0" w:after="260" w:line="259" w:lineRule="auto"/>
        <w:ind w:right="0" w:firstLine="40"/>
        <w:jc w:val="both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FUNDAMENTAÇÃO:</w:t>
      </w:r>
      <w:bookmarkEnd w:id="1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70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projeto encontra respaldo em diversas normas constitucionais e infraconstitucionais, conforme exposto a seguir: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23" w:val="left"/>
        </w:tabs>
        <w:bidi w:val="0"/>
        <w:spacing w:before="0" w:line="259" w:lineRule="auto"/>
        <w:ind w:left="70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Constituição Federal de 1988: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63" w:val="left"/>
        </w:tabs>
        <w:bidi w:val="0"/>
        <w:spacing w:before="0" w:after="0" w:line="259" w:lineRule="auto"/>
        <w:ind w:left="148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30, inciso I - Compete aos Municípios legislar sobre assuntos de interesse local;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63" w:val="left"/>
        </w:tabs>
        <w:bidi w:val="0"/>
        <w:spacing w:before="0" w:after="0" w:line="259" w:lineRule="auto"/>
        <w:ind w:left="148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30, inciso II - Compete ao Município suplementar a legislação federal e estadual no que couber;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63" w:val="left"/>
        </w:tabs>
        <w:bidi w:val="0"/>
        <w:spacing w:before="0" w:after="0" w:line="259" w:lineRule="auto"/>
        <w:ind w:left="1480" w:right="0" w:hanging="3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182 - A política de desenvolvimento urbano executada pelo poder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5656" w:val="left"/>
        </w:tabs>
        <w:bidi w:val="0"/>
        <w:spacing w:before="0" w:line="259" w:lineRule="auto"/>
        <w:ind w:left="148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público municipal tem por objetiyp ordenar o pleno desenvolvimento das funções sociais da cidade.</w:t>
        <w:tab/>
        <w:t xml:space="preserve">&lt; </w:t>
      </w:r>
      <w:r>
        <w:rPr>
          <w:color w:val="656FA2"/>
          <w:spacing w:val="0"/>
          <w:w w:val="100"/>
          <w:position w:val="0"/>
          <w:shd w:val="clear" w:color="auto" w:fill="auto"/>
          <w:lang w:val="pt-BR" w:eastAsia="pt-BR" w:bidi="pt-BR"/>
        </w:rPr>
        <w:t>V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Esses dispositivos asseguram a competência do município para organizar o espaço urbano e rural, inclusive com a devida identificação dos logradouros e imóveis.</w:t>
      </w:r>
    </w:p>
    <w:p>
      <w:pPr>
        <w:pStyle w:val="Style5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80" w:val="left"/>
        </w:tabs>
        <w:bidi w:val="0"/>
        <w:spacing w:before="0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Estatuto da Cidade (Lei Federal n° 10.257/2001)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14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Art. 2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inciso XII - Garante o direito à identificação do lugar de moradia e à segurança jurídica da posse;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14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• Art. 40 - Estabelece o Plano Diretor como instrumento básico da política de desenvolvimento urbano, cuja execução depende da ordenação dos espaços físicos da cidade, inclusive com numeração e identificação dos imóveis.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4" w:lineRule="auto"/>
        <w:ind w:left="700" w:right="0" w:firstLine="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4.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de Endereçamento Postal - Correios (Normas Técnicas dos Correios - NBR 13373 e NBR 15421)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80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Embora não sejam leis, as normas da ABNT (Associação Brasileira de Normas Técnicas) sobre endereçamento postal servem como base técnica para a formatação do sistema de identificação de ruas e imóveis, o que facilita a integração do município aos sistemas de entrega postal, localização por GPS e cadastro nacional de endereços.</w:t>
      </w:r>
    </w:p>
    <w:p>
      <w:pPr>
        <w:pStyle w:val="Style1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095" w:val="left"/>
        </w:tabs>
        <w:bidi w:val="0"/>
        <w:spacing w:before="0" w:after="100" w:line="384" w:lineRule="auto"/>
        <w:ind w:right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MÉRITO:</w:t>
      </w:r>
      <w:bookmarkEnd w:id="2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384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analisar o mérito do projeto, esta Comissão entende que a proposta: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60" w:val="left"/>
        </w:tabs>
        <w:bidi w:val="0"/>
        <w:spacing w:before="0" w:after="0" w:line="384" w:lineRule="auto"/>
        <w:ind w:left="14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Corrige uma lacuna histórica na organização urbana e rural do município;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60" w:val="left"/>
        </w:tabs>
        <w:bidi w:val="0"/>
        <w:spacing w:before="0" w:after="0" w:line="384" w:lineRule="auto"/>
        <w:ind w:left="14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Facilita a localização de residências por serviços públicos (atendimento de urgência Ambulância, Polícia, Bombeiros, Correios, Assistência Social etc.);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84" w:lineRule="auto"/>
        <w:ind w:left="14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Garante maior dignidade à população, especialmente àquelas áreas ainda sem regularização fundiária adequada;</w:t>
      </w:r>
    </w:p>
    <w:p>
      <w:pPr>
        <w:pStyle w:val="Style5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460" w:val="left"/>
        </w:tabs>
        <w:bidi w:val="0"/>
        <w:spacing w:before="0" w:line="384" w:lineRule="auto"/>
        <w:ind w:left="1440" w:right="0" w:hanging="3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Contribui para o planejamento urbano e rural, permitindo melhor distribuição dos serviços municipais;</w:t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386" w:lineRule="auto"/>
        <w:ind w:left="140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 Favorece o cadastro técnico multifinalitário, essencial para arrecadação tributária (IPTU, taxas) e para o planejamento de obras e infraestrutura;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386" w:lineRule="auto"/>
        <w:ind w:left="140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 Estimula a regularização fundiária e o direito à cidade para todos, conforme preconizado pelo Estatuto da Cidade.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0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Além disso, a implantação de placas de identificação de ruas, travessas e ramais, bem como a numeração padronizada dos imóveis, está em consonância com as boas práticas de gestão pública e modernização dos serviços municipais.</w:t>
      </w:r>
    </w:p>
    <w:p>
      <w:pPr>
        <w:pStyle w:val="Style15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1111" w:val="left"/>
        </w:tabs>
        <w:bidi w:val="0"/>
        <w:spacing w:before="0" w:after="260" w:line="240" w:lineRule="auto"/>
        <w:ind w:right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CONCLUSÃO:</w:t>
      </w:r>
      <w:bookmarkEnd w:id="3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 luz dos fundamentos constitucionais, legais e técnicos expostos, 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Comissão Permanente de Obras, Transportes, Serviços Públicos, Agroindústria, Comercio e Turismo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Câmara Municipal de Pauini, manifesta-se favoravelmente à aprovação do Projeto de Lei n° 005/2025, por sua evidente relevância social, urbanística e administrativa.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9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projeto encontra respaldo jurídico e atende ao interesse público, promovendo a organização e a valorização do espaço urbano e rural, e garantindo o direito da população à identificação de seu endereço, à cidadania e ao pleno exercício dos serviços públicos essenciais.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00" w:right="0" w:firstLine="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É o Parecer..</w:t>
      </w:r>
    </w:p>
    <w:p>
      <w:pPr>
        <w:widowControl w:val="0"/>
        <w:spacing w:line="1" w:lineRule="exact"/>
      </w:pPr>
      <w:r>
        <w:drawing>
          <wp:anchor distT="635000" distB="0" distL="0" distR="0" simplePos="0" relativeHeight="125829380" behindDoc="0" locked="0" layoutInCell="1" allowOverlap="1">
            <wp:simplePos x="0" y="0"/>
            <wp:positionH relativeFrom="page">
              <wp:posOffset>2485390</wp:posOffset>
            </wp:positionH>
            <wp:positionV relativeFrom="paragraph">
              <wp:posOffset>635000</wp:posOffset>
            </wp:positionV>
            <wp:extent cx="999490" cy="82931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ext cx="999490" cy="8293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662305" distB="31750" distL="0" distR="0" simplePos="0" relativeHeight="125829381" behindDoc="0" locked="0" layoutInCell="1" allowOverlap="1">
            <wp:simplePos x="0" y="0"/>
            <wp:positionH relativeFrom="page">
              <wp:posOffset>2522220</wp:posOffset>
            </wp:positionH>
            <wp:positionV relativeFrom="paragraph">
              <wp:posOffset>662305</wp:posOffset>
            </wp:positionV>
            <wp:extent cx="926465" cy="768350"/>
            <wp:wrapTopAndBottom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926465" cy="7683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6. RECOMENDAÇÃO E VOTO DO RELATOR:</w:t>
      </w:r>
      <w:bookmarkEnd w:id="4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480" w:line="25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Pelo exposto, recomenda-se o acolhimento do projeto de lei e sua conseqüente APROVAÇÃO, por entender que é de grande relevância para o município.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380" w:line="26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Sala de reuniões da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Comissão Permanente de Obras, Transportes, Serviços Públicos, Agroindústria, Comercio e Turismo,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 Pauini- Amazonas, de agosto de 2025.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12" w:left="660" w:right="959" w:bottom="1291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Vereador/Rélator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580" w:line="266" w:lineRule="auto"/>
        <w:ind w:left="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VOTO DA COMISSÃO DE OBRAS, TRANSPORTES, SERVIÇOS</w:t>
        <w:br/>
        <w:t xml:space="preserve">PÚBLICOS,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 xml:space="preserve">AGROINDÚSTRIA,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COMERCIO E TURISMO:</w:t>
      </w:r>
      <w:bookmarkEnd w:id="5"/>
    </w:p>
    <w:p>
      <w:pPr>
        <w:pStyle w:val="Style5"/>
        <w:keepNext w:val="0"/>
        <w:keepLines w:val="0"/>
        <w:widowControl w:val="0"/>
        <w:shd w:val="clear" w:color="auto" w:fill="auto"/>
        <w:tabs>
          <w:tab w:pos="9022" w:val="left"/>
        </w:tabs>
        <w:bidi w:val="0"/>
        <w:spacing w:before="0" w:after="580" w:line="26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 Comissão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Obras, Transportes, Serviços Públicos,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Agroindústria,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Comercio e Turismo,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reunida em Sessão Ordinária, realizada dia 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agosto de 2025, com o objetivo de analisar, discutir e deliberar sobre o Parecer do Projeto de Lei n° 005/2025, que tem por finalidade regulamentar e normatizar a identificação e numeração de logradouros públicos, tais como ruas, bairros, travessas, ramais e residências no âmbito do Município de Pauini-AM, e dá outras providências, decidimos de forma unânime acatar o relatório, por entender que o presente parecer está de acordo com a legislação em vigor, e atende os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anseios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população, pelo que nos fez acatar e votar de forma unânime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pos="2268" w:val="left"/>
        </w:tabs>
        <w:bidi w:val="0"/>
        <w:spacing w:before="0" w:after="48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SALA DE REUNIÕES DA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COMISSÃO DE OBRAS, TRANSPORTES E SERVIÇOS URBANOS,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DIAS DO MÊS DE AGOSTO DE 2025.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3359150" cy="1840865"/>
            <wp:docPr id="23" name="Picut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359150" cy="184086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4637" w:val="left"/>
        </w:tabs>
        <w:bidi w:val="0"/>
        <w:spacing w:before="0" w:after="0" w:line="240" w:lineRule="auto"/>
        <w:ind w:left="14" w:right="0" w:firstLine="0"/>
        <w:jc w:val="left"/>
        <w:rPr>
          <w:sz w:val="20"/>
          <w:szCs w:val="20"/>
        </w:rPr>
      </w:pPr>
      <w:r>
        <w:rPr>
          <w:i w:val="0"/>
          <w:iCs w:val="0"/>
          <w:sz w:val="24"/>
          <w:szCs w:val="24"/>
          <w:u w:val="single"/>
        </w:rPr>
        <w:t xml:space="preserve"> </w:t>
        <w:tab/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</w:rPr>
        <w:t>Membro</w:t>
      </w:r>
    </w:p>
    <w:sectPr>
      <w:footnotePr>
        <w:pos w:val="pageBottom"/>
        <w:numFmt w:val="decimal"/>
        <w:numRestart w:val="continuous"/>
      </w:footnotePr>
      <w:pgSz w:w="11900" w:h="16840"/>
      <w:pgMar w:top="3600" w:left="1266" w:right="1115" w:bottom="298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2211070</wp:posOffset>
              </wp:positionH>
              <wp:positionV relativeFrom="page">
                <wp:posOffset>1028700</wp:posOffset>
              </wp:positionV>
              <wp:extent cx="3296285" cy="45720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96285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Comissão de Obras, Transportes e Serviços Urbanos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74.09999999999999pt;margin-top:81.pt;width:259.55000000000001pt;height:36.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Câmara Municipal de Pauini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Comissão de Obras, Transportes e Serviços Urbanos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3509645</wp:posOffset>
              </wp:positionH>
              <wp:positionV relativeFrom="page">
                <wp:posOffset>592455</wp:posOffset>
              </wp:positionV>
              <wp:extent cx="488950" cy="50736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0" cy="5073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06095"/>
                                <wp:docPr id="4" name="Picutre 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" name="Picture 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5060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276.35000000000002pt;margin-top:46.649999999999999pt;width:38.5pt;height:39.950000000000003pt;z-index:-1887440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06095"/>
                          <wp:docPr id="6" name="Picutre 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" name="Picture 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5060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2220595</wp:posOffset>
              </wp:positionH>
              <wp:positionV relativeFrom="page">
                <wp:posOffset>1159510</wp:posOffset>
              </wp:positionV>
              <wp:extent cx="3296285" cy="45275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96285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Comissão de Obras, Transportes e Serviços Urbanos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74.84999999999999pt;margin-top:91.299999999999997pt;width:259.55000000000001pt;height:35.64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Câmara Municipal de Pauini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Comissão de Obras, Transportes e Serviços Urbanos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222250</wp:posOffset>
              </wp:positionH>
              <wp:positionV relativeFrom="page">
                <wp:posOffset>189865</wp:posOffset>
              </wp:positionV>
              <wp:extent cx="68580" cy="9144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858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7.5pt;margin-top:14.949999999999999pt;width:5.4000000000000004pt;height:7.2000000000000002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widowControl w:val="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3468370</wp:posOffset>
              </wp:positionH>
              <wp:positionV relativeFrom="page">
                <wp:posOffset>546735</wp:posOffset>
              </wp:positionV>
              <wp:extent cx="488950" cy="50292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06095"/>
                                <wp:docPr id="12" name="Picutre 1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" name="Picture 1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50609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273.10000000000002pt;margin-top:43.049999999999997pt;width:38.5pt;height:39.600000000000001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06095"/>
                          <wp:docPr id="14" name="Picutre 1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50609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2211070</wp:posOffset>
              </wp:positionH>
              <wp:positionV relativeFrom="page">
                <wp:posOffset>1127125</wp:posOffset>
              </wp:positionV>
              <wp:extent cx="3296285" cy="45275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296285" cy="4527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Câmara Municipal de Pauini</w:t>
                          </w:r>
                        </w:p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Comissão de Obras, Transportes e Serviços Urbanos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74.09999999999999pt;margin-top:88.75pt;width:259.55000000000001pt;height:35.64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Câmara Municipal de Pauini</w:t>
                    </w:r>
                  </w:p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Comissão de Obras, Transportes e Serviços Urbanos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abstractNum w:abstractNumId="4">
    <w:multiLevelType w:val="multilevel"/>
    <w:lvl w:ilvl="0">
      <w:start w:val="1"/>
      <w:numFmt w:val="bullet"/>
      <w:lvlText w:val="•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Header or footer|2_"/>
    <w:basedOn w:val="DefaultParagraphFont"/>
    <w:link w:val="Style2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Body text|1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Body text|2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harStyle16">
    <w:name w:val="Heading #1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1">
    <w:name w:val="Picture caption|1_"/>
    <w:basedOn w:val="DefaultParagraphFont"/>
    <w:link w:val="Style20"/>
    <w:rPr>
      <w:rFonts w:ascii="Arial" w:eastAsia="Arial" w:hAnsi="Arial" w:cs="Arial"/>
      <w:b w:val="0"/>
      <w:bCs w:val="0"/>
      <w:i/>
      <w:iCs/>
      <w:smallCaps w:val="0"/>
      <w:strike w:val="0"/>
      <w:u w:val="none"/>
      <w:lang w:val="pt-PT" w:eastAsia="pt-PT" w:bidi="pt-PT"/>
    </w:rPr>
  </w:style>
  <w:style w:type="paragraph" w:customStyle="1" w:styleId="Style2">
    <w:name w:val="Header or footer|2"/>
    <w:basedOn w:val="Normal"/>
    <w:link w:val="CharStyle3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Body text|1"/>
    <w:basedOn w:val="Normal"/>
    <w:link w:val="CharStyle6"/>
    <w:pPr>
      <w:widowControl w:val="0"/>
      <w:shd w:val="clear" w:color="auto" w:fill="FFFFFF"/>
      <w:spacing w:after="260" w:line="257" w:lineRule="auto"/>
      <w:ind w:firstLine="1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Body text|2"/>
    <w:basedOn w:val="Normal"/>
    <w:link w:val="CharStyle10"/>
    <w:pPr>
      <w:widowControl w:val="0"/>
      <w:shd w:val="clear" w:color="auto" w:fill="FFFFFF"/>
      <w:spacing w:line="398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paragraph" w:customStyle="1" w:styleId="Style15">
    <w:name w:val="Heading #1|1"/>
    <w:basedOn w:val="Normal"/>
    <w:link w:val="CharStyle16"/>
    <w:pPr>
      <w:widowControl w:val="0"/>
      <w:shd w:val="clear" w:color="auto" w:fill="FFFFFF"/>
      <w:spacing w:after="420" w:line="262" w:lineRule="auto"/>
      <w:ind w:left="700" w:firstLine="2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20">
    <w:name w:val="Picture caption|1"/>
    <w:basedOn w:val="Normal"/>
    <w:link w:val="CharStyle21"/>
    <w:pPr>
      <w:widowControl w:val="0"/>
      <w:shd w:val="clear" w:color="auto" w:fill="FFFFFF"/>
      <w:spacing w:line="228" w:lineRule="auto"/>
    </w:pPr>
    <w:rPr>
      <w:rFonts w:ascii="Arial" w:eastAsia="Arial" w:hAnsi="Arial" w:cs="Arial"/>
      <w:b w:val="0"/>
      <w:bCs w:val="0"/>
      <w:i/>
      <w:iCs/>
      <w:smallCaps w:val="0"/>
      <w:strike w:val="0"/>
      <w:u w:val="none"/>
      <w:lang w:val="pt-PT" w:eastAsia="pt-PT" w:bidi="pt-PT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image" Target="media/image3.jpeg"/><Relationship Id="rId9" Type="http://schemas.openxmlformats.org/officeDocument/2006/relationships/image" Target="media/image3.jpeg" TargetMode="External"/><Relationship Id="rId10" Type="http://schemas.openxmlformats.org/officeDocument/2006/relationships/image" Target="media/image4.jpeg"/><Relationship Id="rId11" Type="http://schemas.openxmlformats.org/officeDocument/2006/relationships/image" Target="media/image4.jpeg" TargetMode="External"/><Relationship Id="rId12" Type="http://schemas.openxmlformats.org/officeDocument/2006/relationships/image" Target="media/image5.jpeg"/><Relationship Id="rId13" Type="http://schemas.openxmlformats.org/officeDocument/2006/relationships/image" Target="media/image5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image" Target="media/image2.jpeg" TargetMode="External"/></Relationships>
</file>