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/>
        <w:keepLines/>
        <w:widowControl w:val="0"/>
        <w:shd w:val="clear" w:color="auto" w:fill="auto"/>
        <w:tabs>
          <w:tab w:pos="2675" w:val="left"/>
        </w:tabs>
        <w:bidi w:val="0"/>
        <w:spacing w:before="0" w:after="400" w:line="396" w:lineRule="auto"/>
        <w:ind w:left="0" w:right="0" w:firstLine="760"/>
        <w:jc w:val="left"/>
      </w:pPr>
      <w:r>
        <mc:AlternateContent>
          <mc:Choice Requires="wps">
            <w:drawing>
              <wp:anchor distT="0" distB="407035" distL="114300" distR="114300" simplePos="0" relativeHeight="125829378" behindDoc="0" locked="0" layoutInCell="1" allowOverlap="1">
                <wp:simplePos x="0" y="0"/>
                <wp:positionH relativeFrom="page">
                  <wp:posOffset>591820</wp:posOffset>
                </wp:positionH>
                <wp:positionV relativeFrom="paragraph">
                  <wp:posOffset>50800</wp:posOffset>
                </wp:positionV>
                <wp:extent cx="1271270" cy="306070"/>
                <wp:wrapSquare wrapText="bothSides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1270" cy="306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PARECER APROVADO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26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EM: </w:t>
                            </w:r>
                            <w:r>
                              <w:rPr>
                                <w:color w:val="8489B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O,</w:t>
                            </w:r>
                            <w:r>
                              <w:rPr>
                                <w:color w:val="8489B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1</w:t>
                            </w:r>
                            <w:r>
                              <w:rPr>
                                <w:color w:val="8489B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 xml:space="preserve">\l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i/>
                                <w:iCs/>
                                <w:color w:val="8489B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Crf</w:t>
                            </w:r>
                            <w:r>
                              <w:rPr>
                                <w:color w:val="8489B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2025.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6.600000000000001pt;margin-top:4.pt;width:100.09999999999999pt;height:24.100000000000001pt;z-index:-125829375;mso-wrap-distance-left:9.pt;mso-wrap-distance-right:9.pt;mso-wrap-distance-bottom:32.049999999999997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PARECER APROVADO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26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EM: </w:t>
                      </w:r>
                      <w:r>
                        <w:rPr>
                          <w:color w:val="8489B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O,</w:t>
                      </w:r>
                      <w:r>
                        <w:rPr>
                          <w:color w:val="8489B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1</w:t>
                      </w:r>
                      <w:r>
                        <w:rPr>
                          <w:color w:val="8489B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u w:val="single"/>
                          <w:shd w:val="clear" w:color="auto" w:fill="auto"/>
                          <w:lang w:val="pt-PT" w:eastAsia="pt-PT" w:bidi="pt-PT"/>
                        </w:rPr>
                        <w:t xml:space="preserve">\l </w:t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i/>
                          <w:iCs/>
                          <w:color w:val="8489B0"/>
                          <w:spacing w:val="0"/>
                          <w:w w:val="100"/>
                          <w:position w:val="0"/>
                          <w:sz w:val="22"/>
                          <w:szCs w:val="22"/>
                          <w:u w:val="single"/>
                          <w:shd w:val="clear" w:color="auto" w:fill="auto"/>
                          <w:lang w:val="pt-BR" w:eastAsia="pt-BR" w:bidi="pt-BR"/>
                        </w:rPr>
                        <w:t>Crf</w:t>
                      </w:r>
                      <w:r>
                        <w:rPr>
                          <w:color w:val="8489B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PT" w:eastAsia="pt-PT" w:bidi="pt-PT"/>
                        </w:rPr>
                        <w:t>/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2025.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553085" distB="0" distL="471170" distR="288290" simplePos="0" relativeHeight="125829380" behindDoc="0" locked="0" layoutInCell="1" allowOverlap="1">
                <wp:simplePos x="0" y="0"/>
                <wp:positionH relativeFrom="page">
                  <wp:posOffset>948690</wp:posOffset>
                </wp:positionH>
                <wp:positionV relativeFrom="paragraph">
                  <wp:posOffset>603885</wp:posOffset>
                </wp:positionV>
                <wp:extent cx="740410" cy="160020"/>
                <wp:wrapSquare wrapText="bothSides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0410" cy="1600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Responsável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74.700000000000003pt;margin-top:47.549999999999997pt;width:58.299999999999997pt;height:12.6pt;z-index:-125829373;mso-wrap-distance-left:37.100000000000001pt;mso-wrap-distance-top:43.549999999999997pt;mso-wrap-distance-right:22.6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Responsável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PARECER N°</w:t>
      </w:r>
      <w:r>
        <w:rPr>
          <w:u w:val="single"/>
        </w:rPr>
        <w:t xml:space="preserve"> 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/2025.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00" w:line="396" w:lineRule="auto"/>
        <w:ind w:left="0" w:right="0" w:firstLine="7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ASSUNTO: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PROJETO DE LEI N° 010/2025/PMP/GP.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20" w:line="396" w:lineRule="auto"/>
        <w:ind w:left="2040" w:right="180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ORIGEM: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PODER EXECUTIVO MUNICIPAL.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RELATOR: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CRISTIANO RUFINO DE SOUZA.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60" w:line="314" w:lineRule="auto"/>
        <w:ind w:left="488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EMENTA: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ACRESCENTA E ALTERA DISPOSITIVOS DA LEI MUNICIPAL N° 315/2024, E DÁ OUTRAS PROVIDÊNCIAS.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580" w:line="240" w:lineRule="auto"/>
        <w:ind w:left="0" w:right="0" w:firstLine="760"/>
        <w:jc w:val="left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I-RELATÓRIO.</w:t>
      </w:r>
      <w:bookmarkEnd w:id="1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7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Chega para análise desta Comissão de Orçamento, Finanças e Fiscalização Financeira o Projeto de Lei n° 010/2025/PMP/GP, de iniciativa do Poder Executivo Municipal, cuja finalidade é introduzir acréscimos e modificações à Lei Municipal n° 315/2024, diploma normativo que disciplina a concessão do Beneficio Eventual de Auxílio Social no âmbito do Município de Pauini. A proposição pretende promover o aperfeiçoamento da legislação vigente, assegurando maior eficiência administrativa, transparência na execução e rigor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direcionamento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dos recursos públicos destinados à política de assistência social.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760"/>
        <w:jc w:val="left"/>
        <w:sectPr>
          <w:headerReference w:type="default" r:id="rId5"/>
          <w:head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4219" w:left="1752" w:right="1478" w:bottom="2210" w:header="0" w:footer="1782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matéria foi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regularmente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encaminhada a esta Comissão para análise de seus aspectos financeiros,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fiscais, em estrita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Lei Orgânica do Município e da Lei de Responsabilidade Fiscal, notadamente no que tange à adequação das despesas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metas de planejamento municipal e à observância do equilíbrio fiscal.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9" name="Picut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86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Orçamento, Finanças e Fiscalização Financeira.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8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Projeto de Lei em apreço contempla alterações específicas na Lei n° 315/2024, a saber: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8" w:val="left"/>
        </w:tabs>
        <w:bidi w:val="0"/>
        <w:spacing w:before="0" w:after="200"/>
        <w:ind w:left="680" w:right="0" w:firstLine="3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4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inciso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II - disciplinando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titularidade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preferencial do beneficio em favor da mulher/mãe mantenedora do lar, e prevê, em casos em que o homem/ pai tenha a guarda dos filhos, ou seja viúvo, e os filhos estejam em sua responsabilidade, também será concedido os benefícios da presente lei, conforme os seguintes critérios: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8" w:val="left"/>
        </w:tabs>
        <w:bidi w:val="0"/>
        <w:spacing w:before="0" w:after="200"/>
        <w:ind w:left="680" w:right="0" w:firstLine="3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 - A seleção das famílias beneficiarias será realizada com base na renda mensal por pessoa de ate R$150,00 (cento e cinquenta reais).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8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Bem como estabelecendo critérios objetivos de renda per capita como requisito de elegibilidade;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48" w:val="left"/>
        </w:tabs>
        <w:bidi w:val="0"/>
        <w:spacing w:before="0" w:after="200"/>
        <w:ind w:left="680" w:right="0" w:firstLine="3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8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acrescido de inciso V, para vedar expressamente a utilização do beneficio na aquisição de bebidas alcoólicas ou produtos similares, de forma a resguardar a finalidade social do programa.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8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Além das modificações propostas pelo Executivo, foi apresentada 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Emenda Aditiva n° 001/2025,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iniciativa parlamentar, que sugere o acréscimo do art. 6-A à Lei n° 315/2024, com a seguinte redação: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2860" w:right="0" w:firstLine="2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6-A. Poderão se credenciar, para fins de comercialização de produtos e aceitação do cartão do Auxílio Social, todos os estabelecimentos comerciais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regularizados junto aos órgãos competentes e à empresa responsável pela operação do beneficio.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20"/>
        <w:ind w:left="2860" w:right="0" w:firstLine="2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Parágrafo único. O cartão do Auxilio Social será destinado exclusivamente para aquisição de gêneros alimentícios, produtos de higiene pessoal, medicamentos, combustível e gás doméstico.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8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referida emenda tem por escopo ampliar a rede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estabelecimentos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habilitados a operar com o cartão do Auxílio Social, estimulando a competitividade no comércio local, descentralizando o acesso dos beneficiários e facilitando a utilização do beneficio. Ao mesmo tempo, promove maior clareza e rigor na destinação dos recursos, limitando-os expressamente à aquisição de bens essenciais, como alimentos, produtos de higiene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Orçamento, Finanças e Fiscalização Financeira.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12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pessoal, medicamentos, combustível e gás de cozinha, em conformidade com o princípio da seletividade e da efetividade das políticas públicas de assistência social.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33" w:val="left"/>
        </w:tabs>
        <w:bidi w:val="0"/>
        <w:spacing w:before="0" w:after="580" w:line="240" w:lineRule="auto"/>
        <w:ind w:left="0" w:right="0" w:firstLine="8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ANÁLISE TÉCNICA,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FINANCEIRA</w:t>
      </w:r>
    </w:p>
    <w:p>
      <w:pPr>
        <w:pStyle w:val="Style13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11" w:val="left"/>
        </w:tabs>
        <w:bidi w:val="0"/>
        <w:spacing w:before="0" w:after="0" w:line="240" w:lineRule="auto"/>
        <w:ind w:left="0" w:right="0" w:firstLine="82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Competência e Iniciativa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right="0"/>
        <w:jc w:val="left"/>
      </w:pPr>
      <w:bookmarkStart w:id="2" w:name="bookmark2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PT" w:eastAsia="pt-PT" w:bidi="pt-PT"/>
        </w:rPr>
        <w:t>uo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317" w:lineRule="auto"/>
        <w:ind w:left="0" w:right="0" w:firstLine="8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Nos termos do art. 11, inciso XL, da Lei Orgânica do Município de Pauini, compete ao ente municipal a prestação dos serviços de assistência social, seja diretamente ou por intermédio de instituições privadas, sempre em conformidade com os critérios e condições estabelecidos em lei. O Projeto de Lei n° 010/2025/PMP/GP, de iniciativa do Poder Executivo, e a Emenda Aditiva n° 001/2025, de iniciativa parlamentar,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inserem-se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âmbito dessa competência,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encontrando-se,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portanto, adequadamente instruídos quanto à legitimidade formal e material da proposição legislativa.</w:t>
      </w:r>
    </w:p>
    <w:p>
      <w:pPr>
        <w:pStyle w:val="Style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80" w:line="317" w:lineRule="auto"/>
        <w:ind w:left="0" w:right="0" w:firstLine="820"/>
        <w:jc w:val="both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Compatibilidade com o Planejamento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Orçamentário</w:t>
      </w:r>
      <w:bookmarkEnd w:id="3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317" w:lineRule="auto"/>
        <w:ind w:left="0" w:right="0" w:firstLine="8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análise demonstra que tanto o projeto original quanto a emenda não instituem novas despesas obrigatórias nem criam encargos adicionais ao erário,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limitando-se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aperfeiçoar critérios de concessão e a ampliar a rede de estabelecimentos habilitados a operar com o benefício. Por essa razão, não há repercussão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negativa, permanecendo a matéria em consonância com os instrumentos de planejamento municipal, a saber: o Plano Plurianual (PPA), a Lei de Diretrizes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(LDO) e a Lei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Anual (LOA), todos vigentes.</w:t>
      </w:r>
    </w:p>
    <w:p>
      <w:pPr>
        <w:pStyle w:val="Style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118" w:val="left"/>
        </w:tabs>
        <w:bidi w:val="0"/>
        <w:spacing w:before="0" w:after="80" w:line="319" w:lineRule="auto"/>
        <w:ind w:left="0" w:right="0" w:firstLine="820"/>
        <w:jc w:val="both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Impacto Orçamentário-Financeiro e Responsabilidade Fiscal</w:t>
      </w:r>
      <w:bookmarkEnd w:id="4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319" w:lineRule="auto"/>
        <w:ind w:left="0" w:right="0" w:firstLine="8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se verifica aumento de despesa pública ou criação de obrigação nova, razão pela qual não se aplica a exigência prevista no art. 16 da Lei Complementar n° 101/2000 (Lei de Responsabilidade Fiscal - LRF). Ao contrário, tanto o projeto quanto a emenda reforçam a gestão responsável dos recursos públicos, cm estrita observância aos princípios do equilíbrio fiscal, da transparência, da economicidade e da eficiência administrativa.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97535" cy="585470"/>
            <wp:docPr id="10" name="Picut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97535" cy="5854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Orçamento, Finanças e Fiscalização Financeira.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20" w:line="31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assegurando que a execução do benefício ocorra dentro de parâmetros de responsabilidade fiscal.</w:t>
      </w:r>
    </w:p>
    <w:p>
      <w:pPr>
        <w:pStyle w:val="Style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124" w:val="left"/>
        </w:tabs>
        <w:bidi w:val="0"/>
        <w:spacing w:before="0" w:after="80" w:line="314" w:lineRule="auto"/>
        <w:ind w:left="0" w:right="0" w:firstLine="82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 Funcional e Estrutural</w:t>
      </w:r>
      <w:bookmarkEnd w:id="5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314" w:lineRule="auto"/>
        <w:ind w:left="0" w:right="0" w:firstLine="8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 alterações encaminhadas pelo Poder Executivo buscam aprimorar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titularidade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benefício,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priorizando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mãe/mulher mantenedora do lar, estabelecer critério objetivo de renda per capita como requisito de concessão, e prevê, em casos em que o homem/pai tenha a guarda dos filhos, ou seja viúvo, e os filhos estejam em sua responsabilidade, também será concedido os benefícios da presente lei.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314" w:lineRule="auto"/>
        <w:ind w:left="0" w:right="0" w:firstLine="9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e, ainda, vedar a utilização do auxílio para aquisição de bebidas alcoólicas ou similares, resguardando a finalidade social do programa.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00" w:line="317" w:lineRule="auto"/>
        <w:ind w:left="0" w:right="0" w:firstLine="8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sua vez, a Emenda Aditiva n° 001/2025 reforça essa lógica ao consignar, de forma expressa, que o cartão do Auxílio Social se destina exclusivamente à aquisição de gêneros alimentícios, produtos de higiene pessoal, medicamentos, combustível e gás doméstico. Ademais, promove maior justiça distributiva e igualdade de oportunidades ao permitir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credenciamento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todos os estabelecimentos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regularmente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constituídos, o que, em consequência, amplia a concorrência, descentraliza o acesso ao benefício, fortalece o comércio local e dinamiza a economia municipal.</w:t>
      </w:r>
    </w:p>
    <w:p>
      <w:pPr>
        <w:pStyle w:val="Style8"/>
        <w:keepNext/>
        <w:keepLines/>
        <w:widowControl w:val="0"/>
        <w:numPr>
          <w:ilvl w:val="0"/>
          <w:numId w:val="5"/>
        </w:numPr>
        <w:shd w:val="clear" w:color="auto" w:fill="auto"/>
        <w:tabs>
          <w:tab w:pos="1124" w:val="left"/>
        </w:tabs>
        <w:bidi w:val="0"/>
        <w:spacing w:before="0" w:after="80" w:line="319" w:lineRule="auto"/>
        <w:ind w:left="0" w:right="0" w:firstLine="82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Síntese</w:t>
      </w:r>
      <w:bookmarkEnd w:id="6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360" w:line="319" w:lineRule="auto"/>
        <w:ind w:left="0" w:right="0" w:firstLine="8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Conjuntamente, as medidas propostas reafirmam os princípios constitucionais e administrativos da legalidade, moralidade, eficiência e economicidade, conferindo maior robustez e efetividade à política pública de assistência social do Município de Pauini.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232" w:val="left"/>
        </w:tabs>
        <w:bidi w:val="0"/>
        <w:spacing w:before="0" w:after="80" w:line="240" w:lineRule="auto"/>
        <w:ind w:left="0" w:right="0" w:firstLine="820"/>
        <w:jc w:val="both"/>
        <w:sectPr>
          <w:headerReference w:type="default" r:id="rId11"/>
          <w:headerReference w:type="even" r:id="rId12"/>
          <w:footnotePr>
            <w:pos w:val="pageBottom"/>
            <w:numFmt w:val="decimal"/>
            <w:numRestart w:val="continuous"/>
          </w:footnotePr>
          <w:pgSz w:w="11900" w:h="16840"/>
          <w:pgMar w:top="2284" w:left="1757" w:right="1402" w:bottom="1374" w:header="1856" w:footer="946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CONSIDERAÇÕES FINAIS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Comissão de Orçamento, Finanças e Fiscalização Financeira entende que o Projeto de Lei n° 010/2025/PMP/GP, de iniciativa do Poder Executivo Municipal, bem como a Emenda Aditiva n° 001/2025, de iniciativa parlamentar, satisfazem integralmente os pressupostos legais,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administrativos necessários à alteração da Lei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60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n° 315/2024, que regulamenta o Benefício Eventual de Auxílio Social.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/>
        <w:ind w:left="0" w:right="0" w:firstLine="8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Sob a ótica técnica e financeira, nào se identificam óbices à aprovação da matéria,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considerando-se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que: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80"/>
        <w:ind w:left="22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iniciativa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revela-se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legítima e encontra amparo na Lei Orgânica do Município, situando-se no âmbito da competência municipal em matéria de assistência social;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80"/>
        <w:ind w:left="22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proposição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mostra-se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plenamente compatível com os instrumentos de planejamento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vigor - Plano Plurianual (PPA), Lei de Diretrizes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(LDO) e Lei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Anual (LOA);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80"/>
        <w:ind w:left="22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há criação de novas despesas obrigatórias nem ampliação de encargos ao erário, preservando-se o equilíbrio fiscal e a observância da responsabilidade na gestão das finanças públicas, em consonância com os ditames da Lei de Responsabilidade Fiscal;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80"/>
        <w:ind w:left="22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modificações apresentadas pelo Executivo e pela emenda parlamentar reforçam a transparência, a eficiência e o controle social sobre a utilização do benefício, garantindo que os recursos atinjam diretamente sua finalidade;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01" w:val="left"/>
        </w:tabs>
        <w:bidi w:val="0"/>
        <w:spacing w:before="0" w:after="460"/>
        <w:ind w:left="220" w:right="0" w:firstLine="6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medida, além de fortalecer a proteção social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famílias em situação de vulnerabilidade, contribui para dinamizar a economia local, descentralizar o acesso ao programa e assegurar a correta destinação dos recursos públicos a bens de caráter essencial.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60"/>
        <w:ind w:left="0" w:right="0" w:firstLine="820"/>
        <w:jc w:val="both"/>
        <w:sectPr>
          <w:headerReference w:type="default" r:id="rId13"/>
          <w:headerReference w:type="even" r:id="rId14"/>
          <w:footnotePr>
            <w:pos w:val="pageBottom"/>
            <w:numFmt w:val="decimal"/>
            <w:numRestart w:val="continuous"/>
          </w:footnotePr>
          <w:pgSz w:w="11900" w:h="16840"/>
          <w:pgMar w:top="3499" w:left="1846" w:right="1306" w:bottom="3499" w:header="0" w:footer="3071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Assim, a Comissão manifesta sua convicção de que a aprovação da matéria constitui providência oportuna e necessária, alinhada aos princípios da legalidade, moralidade, eficiência e economicidade, consolidando o compromisso da Câmara Municipal de Pauini com a efetividade das políticas públicas de assistência social.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3305" w:val="left"/>
        </w:tabs>
        <w:bidi w:val="0"/>
        <w:spacing w:before="0" w:after="500" w:line="240" w:lineRule="auto"/>
        <w:ind w:left="292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VOTO DO RELATOR.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8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Diante de todo o exposto, e considerando a análise técnica, jurídica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realizada por esta Comissão, manifesto-me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favoravelmente à aprovação do Projeto de Lei n" 010/2025/PMP/GP, de iniciativa do Poder Executivo Municipal, com a incorporação da Emenda Aditiva n° 001/2025.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8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Entendo que tanto o projeto quanto a emenda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encontram-se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plena conformidade com os pressupostos constitucionais e legais, bem como com os requisitos financeiros e administrativos necessários à sua implementação. Ressalta-se que a proposição se insere no âmbito da competência do Município, nos termos da Lei Orgânica, e atende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diretrizes da política de assistência social, sem acarretar aumento de despesa pública, em consonância com o equilíbrio fiscal e a responsabilidade na gestão das contas municipais.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0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aspecto funcional, as alterações introduzidas pelo Executivo aprimoram o marco legal vigente, ao estabelecer critérios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claros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titularidade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benefício.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0" distR="0" simplePos="0" relativeHeight="125829382" behindDoc="0" locked="0" layoutInCell="1" allowOverlap="1">
                <wp:simplePos x="0" y="0"/>
                <wp:positionH relativeFrom="page">
                  <wp:posOffset>1222375</wp:posOffset>
                </wp:positionH>
                <wp:positionV relativeFrom="paragraph">
                  <wp:posOffset>177800</wp:posOffset>
                </wp:positionV>
                <wp:extent cx="5106670" cy="205740"/>
                <wp:wrapSquare wrapText="right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106670" cy="2057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finalidades incompatíveis com a sua natureza, como a compra de bebidas alcoólicas.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96.25pt;margin-top:14.pt;width:402.10000000000002pt;height:16.199999999999999pt;z-index:-12582937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finalidades incompatíveis com a sua natureza, como a compra de bebidas alcoólicas.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0" distB="0" distL="114300" distR="114300" simplePos="0" relativeHeight="125829384" behindDoc="0" locked="0" layoutInCell="1" allowOverlap="1">
            <wp:simplePos x="0" y="0"/>
            <wp:positionH relativeFrom="page">
              <wp:posOffset>7047230</wp:posOffset>
            </wp:positionH>
            <wp:positionV relativeFrom="paragraph">
              <wp:posOffset>165100</wp:posOffset>
            </wp:positionV>
            <wp:extent cx="396240" cy="420370"/>
            <wp:wrapSquare wrapText="bothSides"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9624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reforçar parâmetros de renda per capita e vedar expressamente a utilização do auxílio para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Paralelamente, a emenda de iniciativa parlamentar, ao ampliar a rede de estabelecimentos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0"/>
        <w:jc w:val="left"/>
      </w:pPr>
      <w:r>
        <w:drawing>
          <wp:anchor distT="0" distB="0" distL="101600" distR="101600" simplePos="0" relativeHeight="125829385" behindDoc="0" locked="0" layoutInCell="1" allowOverlap="1">
            <wp:simplePos x="0" y="0"/>
            <wp:positionH relativeFrom="page">
              <wp:posOffset>6882765</wp:posOffset>
            </wp:positionH>
            <wp:positionV relativeFrom="paragraph">
              <wp:posOffset>228600</wp:posOffset>
            </wp:positionV>
            <wp:extent cx="567055" cy="1316990"/>
            <wp:wrapSquare wrapText="bothSides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567055" cy="13169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credenciados e delimitar de forma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precisa a destinação dos recursos do cartão do Auxílio Social, agrega transparência, eficácia e maior alcance social ao programa, além de fomentar a atividade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local.</w:t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19"/>
          <w:head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7621" w:left="1904" w:right="1335" w:bottom="925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597535" cy="572770"/>
            <wp:docPr id="23" name="Picut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597535" cy="5727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Orçamento, Finanças e Fiscalização Financeira.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/>
        <w:ind w:left="0" w:right="0" w:firstLine="7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Ambas as iniciativas, Executivo c Legislativo, demonstram sensibilidade social e compromisso com a boa governança, pois asseguram que os recursos públicos atinjam, de forma justa e eficiente, as famílias em situação de vulnerabilidade, fortalecendo a proteção social e dinamizando a economia municipal. Ademais, a convergência das medidas reforça o princípio da separação e da harmonia entre os Poderes, em que Executivo e Legislativo atuam de maneira complementar para o aperfeiçoamento das políticas públicas.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700"/>
        <w:ind w:left="0" w:right="0" w:firstLine="7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Dessa forma, não vislumbro qualquer óbice jurídico,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ou administrativo que impeça a aprovação da matéria. Pelo contrário, verifico que se trata de proposição oportuna, legítima e necessária, que confere maior efetividade à legislação existente, fortalece a gestão fiscal responsável e atende ao interesse público.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40"/>
        <w:ind w:left="0" w:right="0" w:firstLine="7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Ante o exposto,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voto pela aprovação do Projeto de Lei n° 010/2025/PMP/GP, com a incorporação da Emenda Aditiva n° 001/2025,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recomendando sua tramitação regular e aprovação em plenário, por entender que ambas as proposições estão em plena sintonia com os principios da legalidade, moralidade, eficiência e economicidade, constituindo avanço significativo na política de assistência social do Município de Pauini.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0" w:line="322" w:lineRule="auto"/>
        <w:ind w:left="96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 de reuniões da Comissão de Orçamento, Finanças e Fiscalização Financeira, em 27 de agosto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426335" cy="585470"/>
            <wp:docPr id="24" name="Picut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2426335" cy="5854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19" w:line="1" w:lineRule="exact"/>
      </w:pPr>
    </w:p>
    <w:p>
      <w:pPr>
        <w:pStyle w:val="Style8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60" w:firstLine="0"/>
        <w:jc w:val="center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Cristiano Rufino de Souza</w:t>
      </w:r>
      <w:bookmarkEnd w:id="7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6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2757" w:left="1900" w:right="1295" w:bottom="2312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680" w:line="240" w:lineRule="auto"/>
        <w:ind w:left="0" w:right="0" w:firstLine="0"/>
        <w:jc w:val="center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VI - VOTO DA COMISSÃO.</w:t>
      </w:r>
      <w:bookmarkEnd w:id="8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20" w:line="406" w:lineRule="auto"/>
        <w:ind w:left="0" w:right="0" w:firstLine="7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Após criteriosa análise técnica, jurídica,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 financeira do Projeto de Lei n° 010/2025/PMP/GP, de iniciativa do Poder Executivo Municipal, e da Emenda Aditiva n° 001/2025, de autoria parlamentar, a Comissão de Orçamento, Finanças e Fiscalização Financeira manifesta-se, de forma unânime,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aprovação integral da matéria, com a incorporação da referida emenda.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7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Constatou-se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o projeto e a emenda estão em plena conformidade com 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preceitos da legislação vigente, em especial com a Lei Complementar n° 101/2000 (Lei de Responsabilidade Fiscal), respeitando rigorosamente os limites e condicionamentos nela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previstos. Além disso, as proposições se ajustam integralmente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diretrizes estabelecidas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no Plano Plurianual (PPA), na Lei de Diretrizes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(LDO) e na Lei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40" w:line="403" w:lineRule="auto"/>
        <w:ind w:left="0" w:right="0" w:firstLine="0"/>
        <w:jc w:val="both"/>
      </w:pPr>
      <w:r>
        <w:drawing>
          <wp:anchor distT="0" distB="0" distL="114300" distR="114300" simplePos="0" relativeHeight="125829386" behindDoc="0" locked="0" layoutInCell="1" allowOverlap="1">
            <wp:simplePos x="0" y="0"/>
            <wp:positionH relativeFrom="page">
              <wp:posOffset>7097395</wp:posOffset>
            </wp:positionH>
            <wp:positionV relativeFrom="paragraph">
              <wp:posOffset>165100</wp:posOffset>
            </wp:positionV>
            <wp:extent cx="414655" cy="1743710"/>
            <wp:wrapSquare wrapText="bothSides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414655" cy="174371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Anual (LOA), assegurando compatibilidade com o planejamento financeiro do Município e garantindo o equilíbrio fiscal.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408" w:lineRule="auto"/>
        <w:ind w:left="0" w:right="0" w:firstLine="7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ponto de vista da política pública, a matéria fortalece a governança, reforça os princípios da legalidade, moralidade, eficiência e economicidade, e proporciona maior segurança na execução da política municipal de assistência social. As medidas apresentadas promovem a correta aplicação dos recursos públicos, ampliam o alcance do programa social, asseguram proteção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famílias em situação de vulnerabilidade e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3956" w:left="1925" w:right="1270" w:bottom="2430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63500" distR="63500" simplePos="0" relativeHeight="125829387" behindDoc="0" locked="0" layoutInCell="1" allowOverlap="1">
            <wp:simplePos x="0" y="0"/>
            <wp:positionH relativeFrom="page">
              <wp:posOffset>6878320</wp:posOffset>
            </wp:positionH>
            <wp:positionV relativeFrom="paragraph">
              <wp:posOffset>279400</wp:posOffset>
            </wp:positionV>
            <wp:extent cx="267970" cy="396240"/>
            <wp:wrapSquare wrapText="bothSides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6797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fomentam a dinamização da economia local por meio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credenciamento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novos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estabelecimentos, garantindo que os recursos sejam destinados exclusivamente a bens essenciais, como alimentos, produtos de higiene e gás doméstico.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0225" cy="615950"/>
            <wp:docPr id="29" name="Picutr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53022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CÂMARA MUNICIPAL DE PAUINI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Comissão de Orçamento, Finanças e Fiscalização Financeira.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60" w:line="408" w:lineRule="auto"/>
        <w:ind w:left="0" w:right="0" w:firstLine="7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Diante do exposto,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Comissão recomenda a aprovação integral do Projeto de Lei n° 010/2025/PMP/GP, com a incorporação da Emenda Aditiva n° 001/2025,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entendendo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tratar-se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medida necessária e oportuna ao fortalecimento da política municipal de assistência social e ao desenvolvimento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socioeconômico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local.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Sala de reuniões da Comissão de Finanças, Orçamento e Fiscalização Financeira, aos 20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dias do mês de agosto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700655" cy="524510"/>
            <wp:docPr id="30" name="Picutre 3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700655" cy="5245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Amaury Moura de Oliveira - União Brasil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</w:t>
      </w:r>
    </w:p>
    <w:p>
      <w:pPr>
        <w:widowControl w:val="0"/>
        <w:spacing w:after="57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139950" cy="560705"/>
            <wp:docPr id="31" name="Picutr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139950" cy="56070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Cristiano Rufino de Souza - MDB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Relator</w:t>
      </w:r>
    </w:p>
    <w:p>
      <w:pPr>
        <w:widowControl w:val="0"/>
        <w:spacing w:after="719" w:line="1" w:lineRule="exact"/>
      </w:pP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340610" cy="433070"/>
            <wp:docPr id="32" name="Picutre 3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2340610" cy="4330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16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Nazareno Bezerra de Souza - PL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1753" w:left="1904" w:right="1306" w:bottom="1753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 w:val="0"/>
          <w:bCs w:val="0"/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Membro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487680" cy="609600"/>
            <wp:docPr id="33" name="Picutr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48768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019" w:line="1" w:lineRule="exact"/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16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Pauini - AM, 27 dc agosto de 2025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Senhor Presidente: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60" w:line="271" w:lineRule="auto"/>
        <w:ind w:left="0" w:right="0" w:firstLine="8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Vereador abaixo-firmado, integrante da Comissão de Orçamento, Finanças e Fiscalização Financeira, apresenta, com base no Artigo 103, §4° do Regimento Interno desta casa, para a apreciação do Plenário: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80" w:line="271" w:lineRule="auto"/>
        <w:ind w:left="0" w:right="0" w:firstLine="80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EMENDA ADITIVA N° 001/2025</w:t>
      </w:r>
      <w:bookmarkEnd w:id="9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80" w:line="259" w:lineRule="auto"/>
        <w:ind w:left="3860" w:right="0" w:firstLine="20"/>
        <w:jc w:val="left"/>
      </w:pPr>
      <w:r>
        <w:rPr>
          <w:rFonts w:ascii="Times New Roman" w:eastAsia="Times New Roman" w:hAnsi="Times New Roman" w:cs="Times New Roman"/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Altera a Lei n°315/2024, para dispor sobre o credenciamento de estabelecimentos comerciais e a destinação do cartão do Auxilio Social.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8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Lei n° 315/2024 passa a vigorar acrescida do seguinte artigo: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80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6-A.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Poderão se credenciar, para fins de comercialização de produtos e aceitação do cartão do Auxílio Social, todos os estabelecimentos comerciais regularmente inscritos nos órgãos competentes e habilitados junto à empresa responsável pela operação do benefício.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80" w:line="259" w:lineRule="auto"/>
        <w:ind w:left="0" w:right="24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Parágrafo 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cartão do Auxílio Social destina-se exclusivamente à aquisição dc gêneros alimentícios, produtos de higiene pessoal, medicamentos, combustível e gás doméstico.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 w:line="259" w:lineRule="auto"/>
        <w:ind w:left="780" w:right="0" w:firstLine="2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 demais disposições da Lei n° 315/2024 permanecem inalteradas.</w:t>
      </w:r>
    </w:p>
    <w:p>
      <w:pPr>
        <w:widowControl w:val="0"/>
        <w:jc w:val="center"/>
        <w:rPr>
          <w:sz w:val="2"/>
          <w:szCs w:val="2"/>
        </w:rPr>
        <w:sectPr>
          <w:headerReference w:type="default" r:id="rId39"/>
          <w:headerReference w:type="even" r:id="rId40"/>
          <w:footnotePr>
            <w:pos w:val="pageBottom"/>
            <w:numFmt w:val="decimal"/>
            <w:numRestart w:val="continuous"/>
          </w:footnotePr>
          <w:pgSz w:w="11900" w:h="16840"/>
          <w:pgMar w:top="1760" w:left="1922" w:right="1296" w:bottom="1760" w:header="0" w:footer="1332" w:gutter="0"/>
          <w:cols w:space="720"/>
          <w:noEndnote/>
          <w:rtlGutter w:val="0"/>
          <w:docGrid w:linePitch="360"/>
        </w:sectPr>
      </w:pPr>
      <w:r>
        <w:drawing>
          <wp:inline>
            <wp:extent cx="2797810" cy="652145"/>
            <wp:docPr id="38" name="Picutre 3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2797810" cy="6521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00" w:line="257" w:lineRule="auto"/>
        <w:ind w:left="0" w:right="180" w:firstLine="0"/>
        <w:jc w:val="center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JUSTIFICATIVA</w:t>
      </w:r>
      <w:bookmarkEnd w:id="1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57" w:lineRule="auto"/>
        <w:ind w:left="0" w:right="0" w:firstLine="7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presente emenda tem por finalidade ampliar a rede de estabelecimentos comerciais aptos a aceitar o cartão do Auxílio Social, permitindo que qualquer empresa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regularizada possa se credenciar junto à operadora responsável.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00" w:line="254" w:lineRule="auto"/>
        <w:ind w:left="0" w:right="0" w:firstLine="7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Adicionalmente, estabelece de forma clara a destinaçào do benefício, garantindo que os valores sejam utilizados exclusivamente para aquisição de gêneros alimentícios, produtos de higiene pessoal, medicamentos, combustível e gás doméstico, promovendo maior controle e eficiência na aplicação dos recursos públicos.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360" w:line="257" w:lineRule="auto"/>
        <w:ind w:left="0" w:right="0" w:firstLine="78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 essa medida,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busca-se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assegurar maior competitividade entre os comerciantes locais, otimizar o atendimento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famílias beneficiadas e ampliar o alcance social do programa, fortalecendo sua efetividade e transparência.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444750" cy="530225"/>
            <wp:docPr id="39" name="Picutr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2444750" cy="53022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Vereador Cristiano Rufino de Souza - MDB</w:t>
      </w:r>
    </w:p>
    <w:sectPr>
      <w:footnotePr>
        <w:pos w:val="pageBottom"/>
        <w:numFmt w:val="decimal"/>
        <w:numRestart w:val="continuous"/>
      </w:footnotePr>
      <w:pgSz w:w="11900" w:h="16840"/>
      <w:pgMar w:top="3765" w:left="1918" w:right="1508" w:bottom="3765" w:header="0" w:footer="3337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2150745</wp:posOffset>
              </wp:positionH>
              <wp:positionV relativeFrom="page">
                <wp:posOffset>1746250</wp:posOffset>
              </wp:positionV>
              <wp:extent cx="3378835" cy="4298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7883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Comissão de Orçamento, Finanças e Fiscalização Financeira.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69.34999999999999pt;margin-top:137.5pt;width:266.05000000000001pt;height:33.85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Comissão de Orçamento, Finanças e Fiscalização Financeira.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2150745</wp:posOffset>
              </wp:positionH>
              <wp:positionV relativeFrom="page">
                <wp:posOffset>1746250</wp:posOffset>
              </wp:positionV>
              <wp:extent cx="3378835" cy="4298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78835" cy="4298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Comissão de Orçamento, Finanças e Fiscalização Financeira.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69.34999999999999pt;margin-top:137.5pt;width:266.05000000000001pt;height:33.85000000000000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Comissão de Orçamento, Finanças e Fiscalização Financeira.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1750695</wp:posOffset>
              </wp:positionV>
              <wp:extent cx="3378835" cy="42545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78835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Comissão de Orçamento, Finanças e Fiscalização Financeira.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76.19999999999999pt;margin-top:137.84999999999999pt;width:266.05000000000001pt;height:33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Comissão de Orçamento, Finanças e Fiscalização Financeira.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1750695</wp:posOffset>
              </wp:positionV>
              <wp:extent cx="3378835" cy="42545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78835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Comissão de Orçamento, Finanças e Fiscalização Financeira.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76.19999999999999pt;margin-top:137.84999999999999pt;width:266.05000000000001pt;height:33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Comissão de Orçamento, Finanças e Fiscalização Financeira.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1750695</wp:posOffset>
              </wp:positionV>
              <wp:extent cx="3378835" cy="42545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78835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Comissão de Orçamento, Finanças e Fiscalização Financeira.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76.19999999999999pt;margin-top:137.84999999999999pt;width:266.05000000000001pt;height:33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Comissão de Orçamento, Finanças e Fiscalização Financeira.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1750695</wp:posOffset>
              </wp:positionV>
              <wp:extent cx="3378835" cy="42545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78835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Comissão de Orçamento, Finanças e Fiscalização Financeira.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0" type="#_x0000_t202" style="position:absolute;margin-left:176.19999999999999pt;margin-top:137.84999999999999pt;width:266.05000000000001pt;height:33.5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Comissão de Orçamento, Finanças e Fiscalização Financeira.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2237740</wp:posOffset>
              </wp:positionH>
              <wp:positionV relativeFrom="page">
                <wp:posOffset>1750695</wp:posOffset>
              </wp:positionV>
              <wp:extent cx="3378835" cy="425450"/>
              <wp:wrapNone/>
              <wp:docPr id="36" name="Shape 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378835" cy="4254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Comissão de Orçamento, Finanças e Fiscalização Financeira.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2" type="#_x0000_t202" style="position:absolute;margin-left:176.19999999999999pt;margin-top:137.84999999999999pt;width:266.05000000000001pt;height:33.5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Comissão de Orçamento, Finanças e Fiscalização Financeira.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2"/>
      <w:numFmt w:val="upperRoman"/>
      <w:lvlText w:val="%1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9">
    <w:name w:val="Heading #2|1_"/>
    <w:basedOn w:val="DefaultParagraphFont"/>
    <w:link w:val="Style8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er or footer|2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4">
    <w:name w:val="Body text|1_"/>
    <w:basedOn w:val="DefaultParagraphFont"/>
    <w:link w:val="Style13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8">
    <w:name w:val="Heading #1|1_"/>
    <w:basedOn w:val="DefaultParagraphFont"/>
    <w:link w:val="Style17"/>
    <w:rPr>
      <w:b w:val="0"/>
      <w:bCs w:val="0"/>
      <w:i w:val="0"/>
      <w:iCs w:val="0"/>
      <w:smallCaps w:val="0"/>
      <w:strike w:val="0"/>
      <w:color w:val="8489B0"/>
      <w:sz w:val="28"/>
      <w:szCs w:val="28"/>
      <w:u w:val="none"/>
    </w:rPr>
  </w:style>
  <w:style w:type="character" w:customStyle="1" w:styleId="CharStyle20">
    <w:name w:val="Picture caption|1_"/>
    <w:basedOn w:val="DefaultParagraphFont"/>
    <w:link w:val="Style19"/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140" w:line="293" w:lineRule="auto"/>
      <w:ind w:firstLine="780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er or footer|2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  <w:spacing w:after="220" w:line="276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7">
    <w:name w:val="Heading #1|1"/>
    <w:basedOn w:val="Normal"/>
    <w:link w:val="CharStyle18"/>
    <w:pPr>
      <w:widowControl w:val="0"/>
      <w:shd w:val="clear" w:color="auto" w:fill="FFFFFF"/>
      <w:spacing w:line="180" w:lineRule="auto"/>
      <w:ind w:left="3920" w:firstLine="20"/>
      <w:outlineLvl w:val="0"/>
    </w:pPr>
    <w:rPr>
      <w:b w:val="0"/>
      <w:bCs w:val="0"/>
      <w:i w:val="0"/>
      <w:iCs w:val="0"/>
      <w:smallCaps w:val="0"/>
      <w:strike w:val="0"/>
      <w:color w:val="8489B0"/>
      <w:sz w:val="28"/>
      <w:szCs w:val="28"/>
      <w:u w:val="none"/>
    </w:rPr>
  </w:style>
  <w:style w:type="paragraph" w:customStyle="1" w:styleId="Style19">
    <w:name w:val="Picture caption|1"/>
    <w:basedOn w:val="Normal"/>
    <w:link w:val="CharStyle20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header" Target="header3.xml"/><Relationship Id="rId12" Type="http://schemas.openxmlformats.org/officeDocument/2006/relationships/header" Target="header4.xml"/><Relationship Id="rId13" Type="http://schemas.openxmlformats.org/officeDocument/2006/relationships/header" Target="header5.xml"/><Relationship Id="rId14" Type="http://schemas.openxmlformats.org/officeDocument/2006/relationships/header" Target="header6.xm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Relationship Id="rId19" Type="http://schemas.openxmlformats.org/officeDocument/2006/relationships/header" Target="header7.xml"/><Relationship Id="rId20" Type="http://schemas.openxmlformats.org/officeDocument/2006/relationships/header" Target="header8.xml"/><Relationship Id="rId21" Type="http://schemas.openxmlformats.org/officeDocument/2006/relationships/image" Target="media/image5.jpeg"/><Relationship Id="rId22" Type="http://schemas.openxmlformats.org/officeDocument/2006/relationships/image" Target="media/image5.jpeg" TargetMode="External"/><Relationship Id="rId23" Type="http://schemas.openxmlformats.org/officeDocument/2006/relationships/image" Target="media/image6.jpeg"/><Relationship Id="rId24" Type="http://schemas.openxmlformats.org/officeDocument/2006/relationships/image" Target="media/image6.jpeg" TargetMode="External"/><Relationship Id="rId25" Type="http://schemas.openxmlformats.org/officeDocument/2006/relationships/image" Target="media/image7.jpeg"/><Relationship Id="rId26" Type="http://schemas.openxmlformats.org/officeDocument/2006/relationships/image" Target="media/image7.jpeg" TargetMode="External"/><Relationship Id="rId27" Type="http://schemas.openxmlformats.org/officeDocument/2006/relationships/image" Target="media/image8.jpeg"/><Relationship Id="rId28" Type="http://schemas.openxmlformats.org/officeDocument/2006/relationships/image" Target="media/image8.jpeg" TargetMode="External"/><Relationship Id="rId29" Type="http://schemas.openxmlformats.org/officeDocument/2006/relationships/image" Target="media/image9.jpeg"/><Relationship Id="rId30" Type="http://schemas.openxmlformats.org/officeDocument/2006/relationships/image" Target="media/image9.jpeg" TargetMode="External"/><Relationship Id="rId31" Type="http://schemas.openxmlformats.org/officeDocument/2006/relationships/image" Target="media/image10.jpeg"/><Relationship Id="rId32" Type="http://schemas.openxmlformats.org/officeDocument/2006/relationships/image" Target="media/image10.jpeg" TargetMode="External"/><Relationship Id="rId33" Type="http://schemas.openxmlformats.org/officeDocument/2006/relationships/image" Target="media/image11.jpeg"/><Relationship Id="rId34" Type="http://schemas.openxmlformats.org/officeDocument/2006/relationships/image" Target="media/image11.jpeg" TargetMode="External"/><Relationship Id="rId35" Type="http://schemas.openxmlformats.org/officeDocument/2006/relationships/image" Target="media/image12.jpeg"/><Relationship Id="rId36" Type="http://schemas.openxmlformats.org/officeDocument/2006/relationships/image" Target="media/image12.jpeg" TargetMode="External"/><Relationship Id="rId37" Type="http://schemas.openxmlformats.org/officeDocument/2006/relationships/image" Target="media/image13.jpeg"/><Relationship Id="rId38" Type="http://schemas.openxmlformats.org/officeDocument/2006/relationships/image" Target="media/image13.jpeg" TargetMode="External"/><Relationship Id="rId39" Type="http://schemas.openxmlformats.org/officeDocument/2006/relationships/header" Target="header9.xml"/><Relationship Id="rId40" Type="http://schemas.openxmlformats.org/officeDocument/2006/relationships/header" Target="header10.xml"/><Relationship Id="rId41" Type="http://schemas.openxmlformats.org/officeDocument/2006/relationships/image" Target="media/image14.jpeg"/><Relationship Id="rId42" Type="http://schemas.openxmlformats.org/officeDocument/2006/relationships/image" Target="media/image14.jpeg" TargetMode="External"/><Relationship Id="rId43" Type="http://schemas.openxmlformats.org/officeDocument/2006/relationships/image" Target="media/image15.jpeg"/><Relationship Id="rId44" Type="http://schemas.openxmlformats.org/officeDocument/2006/relationships/image" Target="media/image15.jpeg" TargetMode="External"/></Relationships>
</file>