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DECRETO N° 108 DE 02 DE JULHO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93" w:lineRule="auto"/>
        <w:ind w:left="3920" w:right="0" w:firstLine="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INSTITUI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COMITÊ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MUNICIPAL ESTRATÉGICO DO COMPROMISSO NACIONAL CRIANÇA ALFABETIZADA QUE INTEGRA A REDE NACIONAL DE ARTICULAÇÃO DE GESTÃO, FORMAÇÃO E MOBILIZAÇÃO (RENALFA)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PREFEITO MUNICIPAL DE NOVO ARIPUANÃ.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que lhe sào conferidas por Lei;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adesão do Município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COMPROMISSO NACIONAL CRIANÇA ALFABETIZADA,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instituído pelo Ministério da Educação;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necessidade de articular ações intersetoriais para garantir a alfabetização de todas as crianças até o final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importância da gestão colaborativa entre União. Estado e Município para o fortalecimento das políticas públicas de alfabetização;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920" w:right="0" w:firstLine="6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DECRETA: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0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instituído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COMITÊ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MUNICIPAL ESTRATÉGICO DO COMPROMISSO CRIANÇA ALFABETIZADA (CME-CCA).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a finalidade de planejar, coordenar, acompanhar e avaliar as ações do programa no âmbito municipal. 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Constituem diretrizes para basilar a atuação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estratégico Municipal da Renalfa;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5" w:val="left"/>
        </w:tabs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Reconhecimento da autonomia do município e das unidades escolares que integram o sistema municipal de ensino na execução das políticas públicas de educação básica, em atenção ao papel indutor, articulador e coordenador do Ministério da Educação;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760" w:line="37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Reconhecimento do protagonismo do município e das instituições educacionais que ofertam a Educação Infantil e a primeira etapa do Ensino Fundamental nos processos de alfabetização;</w:t>
      </w:r>
    </w:p>
    <w:p>
      <w:pPr>
        <w:widowControl w:val="0"/>
        <w:jc w:val="right"/>
        <w:rPr>
          <w:sz w:val="2"/>
          <w:szCs w:val="2"/>
        </w:rPr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534" w:left="1436" w:right="1357" w:bottom="410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inline>
            <wp:extent cx="426720" cy="475615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26720" cy="4756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2" w:val="left"/>
        </w:tabs>
        <w:bidi w:val="0"/>
        <w:spacing w:before="0" w:after="480" w:line="4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Assistência técnica e financeira da União ao município e deste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escolas que integram o sistema municipal de ensino;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0" w:val="left"/>
        </w:tabs>
        <w:bidi w:val="0"/>
        <w:spacing w:before="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Enfrentamento das desigualdades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socioeconômicas,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étnico-raciais para a promoção da equidade educacional nas unidades escolares da rede municipal;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44" w:val="left"/>
        </w:tabs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Central idade dos processos de ensino-aprendizagem e das necessidades das escolas;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30" w:val="left"/>
        </w:tabs>
        <w:bidi w:val="0"/>
        <w:spacing w:before="0" w:line="4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Garantia do direito à formação continuada a professores, gestores educacionais e técnicos da secretaria municipal de educação;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33" w:val="left"/>
        </w:tabs>
        <w:bidi w:val="0"/>
        <w:spacing w:before="0" w:line="4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acompanhamento e avaliação contínua da política do CNCA no município;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39" w:val="left"/>
        </w:tabs>
        <w:bidi w:val="0"/>
        <w:spacing w:before="0" w:line="40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Reconhecimento do papel importante que a Educação Infantil cumpre no processo de apropriação da linguagem escrita pelas crianças;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74" w:val="left"/>
        </w:tabs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Reconhecimento da secretaria de educação como órgão executivo da política do CNCA;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23" w:val="left"/>
        </w:tabs>
        <w:bidi w:val="0"/>
        <w:spacing w:before="0" w:line="38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Reconhecimento do conselho municipal de educação com órgão colegiado normativo, consultivo, propositivo e fiscalizador das políticas educacionais.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45" w:val="left"/>
        </w:tabs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Valorização dos profissionais da educação infantil e dos anos iniciais do Ensino Fundamental.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3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3° Compete ao CME-CCA: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43" w:val="left"/>
        </w:tabs>
        <w:bidi w:val="0"/>
        <w:spacing w:before="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Elaborar e monitorar o plano municipal de implementação do Compromisso;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15" w:val="left"/>
        </w:tabs>
        <w:bidi w:val="0"/>
        <w:spacing w:before="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Articular parcerias com órgãos e entidades públicas e privadas;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94" w:val="left"/>
        </w:tabs>
        <w:bidi w:val="0"/>
        <w:spacing w:before="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propor estratégias para formação de professores e gestores;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23" w:val="left"/>
        </w:tabs>
        <w:bidi w:val="0"/>
        <w:spacing w:before="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indicadores de alfabetização e propor ajustes nas ações;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58" w:val="left"/>
        </w:tabs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Elaborar relatórios periódicos de acompanhamento;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23" w:val="left"/>
        </w:tabs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Planejar, coordenar e acompanhar as ações do programa no Município;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Art. 4°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O CME-CCA será composto por representantes dos seguintes segmentos:</w:t>
      </w:r>
    </w:p>
    <w:p>
      <w:pPr>
        <w:pStyle w:val="Style10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358" w:val="left"/>
        </w:tabs>
        <w:bidi w:val="0"/>
        <w:spacing w:before="0" w:after="200" w:line="240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Núcleo Político-Diretivo</w:t>
      </w:r>
      <w:bookmarkEnd w:id="0"/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36" w:val="left"/>
        </w:tabs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Educação (coordenação):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22" w:val="left"/>
        </w:tabs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Diretor (a) do Departamento Pedagógico: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02" w:val="left"/>
        </w:tabs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Representante do Gabinete do Prefeito (a):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 - Representante da rede estadual de ensino no município:</w:t>
      </w:r>
    </w:p>
    <w:p>
      <w:pPr>
        <w:pStyle w:val="Style10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373" w:val="left"/>
        </w:tabs>
        <w:bidi w:val="0"/>
        <w:spacing w:before="0" w:after="220" w:line="240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Núcleo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Técnico-Pedagógico</w:t>
      </w:r>
      <w:bookmarkEnd w:id="1"/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50" w:val="left"/>
        </w:tabs>
        <w:bidi w:val="0"/>
        <w:spacing w:before="0" w:after="12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Coordenador (a) Municipal de Alfabetização: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51" w:val="left"/>
        </w:tabs>
        <w:bidi w:val="0"/>
        <w:spacing w:before="0" w:after="8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Técnico (a) de Avaliação e Indicadores: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45" w:val="left"/>
        </w:tabs>
        <w:bidi w:val="0"/>
        <w:spacing w:before="0" w:after="120" w:line="33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Representante de Formação Continuada:</w:t>
      </w:r>
    </w:p>
    <w:p>
      <w:pPr>
        <w:pStyle w:val="Style10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387" w:val="left"/>
        </w:tabs>
        <w:bidi w:val="0"/>
        <w:spacing w:before="0" w:after="200" w:line="240" w:lineRule="auto"/>
        <w:ind w:left="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Núcleo de Representação e Base</w:t>
      </w:r>
      <w:bookmarkEnd w:id="2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50" w:val="left"/>
        </w:tabs>
        <w:bidi w:val="0"/>
        <w:spacing w:before="0" w:after="8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- 1 Representante de Diretores de Escola: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44" w:val="left"/>
        </w:tabs>
        <w:bidi w:val="0"/>
        <w:spacing w:before="0" w:after="10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- 1 Representante do Conselho Municipal de Educação (CME):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09" w:val="left"/>
        </w:tabs>
        <w:bidi w:val="0"/>
        <w:spacing w:before="0" w:line="444" w:lineRule="auto"/>
        <w:ind w:left="0" w:right="180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- 1 Representante de instituições de ensino superior ou organizações da sociedade civil ligadas à educação: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2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§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membros titulares e suplentes serão designados por portaria do (a) Prefeito (a)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1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§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coordenação do Comitê será exercida por representante da Secretaria Municipal de Educação.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40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5°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Comitê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reunir-se-á,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ordinariamente, a cada dois meses e extraordinariamente, sempre que convocado por seu coordenador.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437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Art. 6°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Decreto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12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487" w:left="1369" w:right="1437" w:bottom="1573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margin">
              <wp:posOffset>4489450</wp:posOffset>
            </wp:positionH>
            <wp:positionV relativeFrom="margin">
              <wp:posOffset>7667625</wp:posOffset>
            </wp:positionV>
            <wp:extent cx="969010" cy="353695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6901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Amazonas, aos dois dias do mês de julho do ano de dois mil e vinte e seis.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35" w:left="0" w:right="0" w:bottom="113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026" w:h="547" w:wrap="none" w:vAnchor="text" w:hAnchor="page" w:x="1500" w:y="1009"/>
        <w:widowControl w:val="0"/>
        <w:shd w:val="clear" w:color="auto" w:fill="auto"/>
        <w:tabs>
          <w:tab w:pos="3780" w:val="left"/>
        </w:tabs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RAYMUNDO LOPE</w:t>
        <w:tab/>
        <w:t>ERQUE SOBRINHO</w:t>
      </w:r>
    </w:p>
    <w:p>
      <w:pPr>
        <w:pStyle w:val="Style2"/>
        <w:keepNext w:val="0"/>
        <w:keepLines w:val="0"/>
        <w:framePr w:w="6026" w:h="547" w:wrap="none" w:vAnchor="text" w:hAnchor="page" w:x="1500" w:y="1009"/>
        <w:widowControl w:val="0"/>
        <w:shd w:val="clear" w:color="auto" w:fill="auto"/>
        <w:bidi w:val="0"/>
        <w:spacing w:before="0" w:after="0" w:line="240" w:lineRule="auto"/>
        <w:ind w:left="18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</w:t>
      </w:r>
    </w:p>
    <w:p>
      <w:pPr>
        <w:pStyle w:val="Style13"/>
        <w:keepNext w:val="0"/>
        <w:keepLines w:val="0"/>
        <w:framePr w:w="1282" w:h="266" w:wrap="none" w:vAnchor="text" w:hAnchor="page" w:x="7663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PUBLICAÇÃO:</w:t>
      </w:r>
    </w:p>
    <w:p>
      <w:pPr>
        <w:pStyle w:val="Style15"/>
        <w:keepNext w:val="0"/>
        <w:keepLines w:val="0"/>
        <w:framePr w:w="3074" w:h="763" w:wrap="none" w:vAnchor="text" w:hAnchor="page" w:x="7648" w:y="483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 xml:space="preserve">Atesto para os fins e efeitos legais que este Decreto foi publicado de acordo com a Lei Orgânica do Município de Novo Aripuanã.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em 02 de julho de 2026</w:t>
      </w:r>
    </w:p>
    <w:p>
      <w:pPr>
        <w:pStyle w:val="Style15"/>
        <w:keepNext w:val="0"/>
        <w:keepLines w:val="0"/>
        <w:framePr w:w="1130" w:h="367" w:wrap="none" w:vAnchor="text" w:hAnchor="page" w:x="7656" w:y="1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 xml:space="preserve">MARIA OLIMPI.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</w:rPr>
        <w:t>SecretáriaM</w:t>
      </w:r>
    </w:p>
    <w:p>
      <w:pPr>
        <w:pStyle w:val="Style19"/>
        <w:keepNext w:val="0"/>
        <w:keepLines w:val="0"/>
        <w:framePr w:w="1843" w:h="374" w:wrap="none" w:vAnchor="text" w:hAnchor="page" w:x="8851" w:y="1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 xml:space="preserve">&gt; DOS §ÀHTOS PASSOS </w:t>
      </w:r>
      <w:r>
        <w:rPr>
          <w:color w:val="000000"/>
          <w:spacing w:val="0"/>
          <w:w w:val="100"/>
          <w:position w:val="0"/>
          <w:shd w:val="clear" w:color="auto" w:fill="auto"/>
        </w:rPr>
        <w:t>inicipal de Administração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2336800</wp:posOffset>
            </wp:positionH>
            <wp:positionV relativeFrom="paragraph">
              <wp:posOffset>12700</wp:posOffset>
            </wp:positionV>
            <wp:extent cx="1042670" cy="1249680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42670" cy="1249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335" w:left="1371" w:right="1177" w:bottom="113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1729740</wp:posOffset>
              </wp:positionH>
              <wp:positionV relativeFrom="page">
                <wp:posOffset>10037445</wp:posOffset>
              </wp:positionV>
              <wp:extent cx="4123690" cy="2603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CNP.I 04.278.818/0001-21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Fevereiro.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36.19999999999999pt;margin-top:790.35000000000002pt;width:324.69999999999999pt;height:20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CNP.I 04.278.818/0001-21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Avenida 16 de Fevereiro.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3545205</wp:posOffset>
              </wp:positionH>
              <wp:positionV relativeFrom="page">
                <wp:posOffset>333375</wp:posOffset>
              </wp:positionV>
              <wp:extent cx="494030" cy="56261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62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60705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607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9.14999999999998pt;margin-top:26.25pt;width:38.899999999999999pt;height:44.299999999999997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60705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607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966470</wp:posOffset>
              </wp:positionH>
              <wp:positionV relativeFrom="page">
                <wp:posOffset>347345</wp:posOffset>
              </wp:positionV>
              <wp:extent cx="471170" cy="47561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1170" cy="475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475615"/>
                                <wp:docPr id="6" name="Picutre 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69265" cy="47561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76.099999999999994pt;margin-top:27.350000000000001pt;width:37.100000000000001pt;height:37.450000000000003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475615"/>
                          <wp:docPr id="8" name="Picutre 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69265" cy="47561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2415540</wp:posOffset>
              </wp:positionH>
              <wp:positionV relativeFrom="page">
                <wp:posOffset>1010285</wp:posOffset>
              </wp:positionV>
              <wp:extent cx="2761615" cy="3886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1615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ARIPUANÀ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90.19999999999999pt;margin-top:79.549999999999997pt;width:217.44999999999999pt;height:30.6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NOVO ARIPUANÀ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6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bullet"/>
      <w:lvlText w:val="V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6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|4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  <w:lang w:val="pt-BR" w:eastAsia="pt-BR" w:bidi="pt-BR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20">
    <w:name w:val="Body text|3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 w:line="396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21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  <w:lang w:val="pt-BR" w:eastAsia="pt-BR" w:bidi="pt-BR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jpeg"/><Relationship Id="rId8" Type="http://schemas.openxmlformats.org/officeDocument/2006/relationships/image" Target="media/image3.jpeg" TargetMode="External"/><Relationship Id="rId9" Type="http://schemas.openxmlformats.org/officeDocument/2006/relationships/image" Target="media/image4.jpeg"/><Relationship Id="rId10" Type="http://schemas.openxmlformats.org/officeDocument/2006/relationships/image" Target="media/image4.jpeg" TargetMode="External"/><Relationship Id="rId11" Type="http://schemas.openxmlformats.org/officeDocument/2006/relationships/image" Target="media/image5.jpeg"/><Relationship Id="rId12" Type="http://schemas.openxmlformats.org/officeDocument/2006/relationships/image" Target="media/image5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Relationship Id="rId3" Type="http://schemas.openxmlformats.org/officeDocument/2006/relationships/image" Target="media/image2.jpeg"/><Relationship Id="rId4" Type="http://schemas.openxmlformats.org/officeDocument/2006/relationships/image" Target="media/image2.jpeg" TargetMode="External"/></Relationships>
</file>