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DECRETO N“ 107 DE 02 DE JULHO DE 2026.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20" w:line="302" w:lineRule="auto"/>
        <w:ind w:left="344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INSTITUI A POLÍTICA MUNICIPAL DE ALFABETIZAÇÃO NO MUNICÍPIO DE NOVO ARIPUANÂ/AM, EM CONFORMIDADE COM AS DIRETRIZES NACIONAL E EM OBSERVÂNCIA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ESPECIFICIDADES LOCAIS, VISANDO ASSEGURAR O DIREITO À ALFABETIZAÇÃO DE TODAS AS CRIANÇAS ATÉ O FINAL DO 2° ANO DO ENSINO FUNDAMENTAL, E DÁ OUTRAS PROVIDÊNCIAS.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59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PREFEITO MUNICIPAL DE NOVO ARIPUANÃ,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Estado do Amazonas,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Sr. RAYMUNDO LOPES DE ALBUQUERQUE SOBRINHO,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no uso de suas atribuições que lhe são conferidas por Lei;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 na Constituição Federal de 1988, que estabelece, em seu art. 205. que a educação é direito de todos e dever do Estado e da família, visando o pleno desenvolvimento da pessoa e o preparo para o exercício da cidadania;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o disposto na Lei Federal n° 9.394, de 20 de dezembro de 1996. que estabelecem Diretrizes e Base da Educação Nacional, em seus arts. 22, 23 e 32, para o ensino fundamental, destacando a alfabetização como uma das principais metas educacionais;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 na Lei Federal n°. 15. 388 de 14 de abril de 2026, que aprova o Plano Nacional de Educação especialmente sua Meta 3 que prevê a alfabetização de todas as crianças, no máximo, até o final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 na Lei Municipal n.° 008. 24 de junho de 2015, que institui o Plano Municipal de Educação - PME do Município de Novo Aripuanã;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 na Resolução CNE/CP n° 2, de 22 de dezembro de 2017. que institui e orienta a implantação da Base Nacional Comum Curricular;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384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CONSIDERANDO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o disposto no Decreto Federal n°l 1.556. de 12 de junho de 2023, que institui o Compromisso Nacional Criança Alfabetizada, incentiva ações intergovernamentais para o fortalecimento da alfabetização; A necessidade de garantir a equidade, qualidade e eficácia no processo de alfabetização das crianças matriculadas nas escolas públicas municipais;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DECRETA:</w:t>
      </w:r>
      <w:bookmarkEnd w:id="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DISPOSIÇÕES GERAIS</w:t>
      </w:r>
      <w:bookmarkEnd w:id="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1°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Fica instituída a Política Municipal de Alfabetização, instrumento essencial para assegurar o direito de cada criança à alfabetização plena e significativa, desde a educação infantil até o final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 (Anos Iniciais), promovendo ações articuladas e sustentadas nas legislações nacional e diretrizes pedagógicas atualizada.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31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Paragrafo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Esta política Municipal de Alfabetização, reconhecida 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especificidades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socioculturais e territoriais locais, visa promover ações articuladas objetivando superar desafios locais, como o acesso à escola e a participação ativa das famílias no processo educacional.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2°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Para fins do disposto neste Decreto considera-se: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96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6972A1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alfabetização - desenvolvimento das habilidades de leitura, compreensão e produção autônoma da escrita em um sistema alfabético;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20" w:val="left"/>
        </w:tabs>
        <w:bidi w:val="0"/>
        <w:spacing w:before="0" w:after="24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consciência fonêmica - conhecimento consciente das menores unidades fonológicas da fala e a habilidade de manipulá-las intencionalmente;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399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consciência fonológica - conhecimento consciente dos sons das palavras, dissociando-as do seu significado e de segmentar as palavras nos sons que as constituem, no caso, as sílabas;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13" w:val="left"/>
        </w:tabs>
        <w:bidi w:val="0"/>
        <w:spacing w:before="0" w:after="24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fluência em leitura oral - capacidade de ler com precisão, velocidade e prosódia;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0" w:val="left"/>
        </w:tabs>
        <w:bidi w:val="0"/>
        <w:spacing w:before="0" w:after="32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literacia - conjunto de conhecimentos, habilidades e atitudes relacionadas com a prática social da leitura, da escrita e da oralidade (letramento);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28" w:val="left"/>
        </w:tabs>
        <w:bidi w:val="0"/>
        <w:spacing w:before="0" w:after="320" w:line="27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literacia familiar - conjunto de práticas e experiências de letramento manifestadas no ambiente familiar;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492" w:val="left"/>
        </w:tabs>
        <w:bidi w:val="0"/>
        <w:spacing w:before="0" w:after="300" w:line="295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literacia emergente - conjunto de práticas e experiências de letramento que se manifestam naturalmente antes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escolarização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formal;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300" w:line="28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VIII- numeracia - conjunto de conhecimentos, habilidades e atitudes relacionadas com a matemática que trabalham, estimulam e estruturam o raciocínio lógico;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35" w:val="left"/>
        </w:tabs>
        <w:bidi w:val="0"/>
        <w:spacing w:before="0" w:after="260" w:line="295" w:lineRule="auto"/>
        <w:ind w:left="0" w:right="0" w:firstLine="0"/>
        <w:jc w:val="both"/>
        <w:sectPr>
          <w:headerReference w:type="default" r:id="rId5"/>
          <w:footerReference w:type="default" r:id="rId6"/>
          <w:footnotePr>
            <w:pos w:val="pageBottom"/>
            <w:numFmt w:val="decimal"/>
            <w:numRestart w:val="continuous"/>
          </w:footnotePr>
          <w:pgSz w:w="11900" w:h="16840"/>
          <w:pgMar w:top="2485" w:left="1371" w:right="1371" w:bottom="1869" w:header="0" w:footer="3" w:gutter="0"/>
          <w:pgNumType w:start="1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multiletramento - prática de leitura e produção de textos construídos a partir de diferentes linguagens (sonoras, visuais, escritas, corporais e digitais) e que. por isso, exigem letramentos diversificados.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>V PREFEITURA DE ~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220" w:line="262" w:lineRule="auto"/>
        <w:ind w:left="220" w:right="0" w:firstLine="0"/>
        <w:jc w:val="left"/>
      </w:pPr>
      <w:bookmarkStart w:id="2" w:name="bookmark2"/>
      <w:r>
        <w:rPr>
          <w:spacing w:val="0"/>
          <w:position w:val="0"/>
          <w:shd w:val="clear" w:color="auto" w:fill="auto"/>
        </w:rPr>
        <w:t>««f NOVO ARIPUAHA</w:t>
      </w:r>
      <w:bookmarkEnd w:id="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II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3" w:name="bookmark3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DOS PRINCÍPIOS E OBJETIVOS</w:t>
      </w:r>
      <w:bookmarkEnd w:id="3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Art. 3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princípios da Política Municipal de Alfabetização: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70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Integração e cooperação entre os entes federativos, respeitado o disposto no §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do art. 211 da Constituição da República Federativa do Brasil, promovendo a colaboração entre União. Estados e Municípios para a melhoria contínua do processo de alfabetização;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282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Adesão voluntária a programas e ações do Ministério da Educação que corroborem o Currículo da Rede Municipal de Ensino, assegurando que as iniciativas nacionais complementem e fortaleçam as diretrizes locais;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68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Implantação de programas e ações voltadas à alfabetização no âmbito da Rede Municipal de Ensino, com foco na promoção de práticas pedagógicas inovadoras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inclusivas: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0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Valorização e desenvolvimento de programas de formação continuada de professores alfabetizadores. coordenadores e gestores, assegurando que os profissionais estejam constantemente atualizados com as práticas de ensino de alfabetização e letramento nas áreas de Língua Portuguesa e Matemática.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0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ênfase no ensino de seis componentes essenciais para a alfabetização: consciência fonêmica e fonológica; fluência em leitura oral; desenvolvimento de vocabulário: compreensão de texto; produção autônoma de texto; prática social da leitura e da escrita: e aquisição da estrutura ortográfica e das notações léxicas.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83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Adoção da concepção interacionista de linguagem, em que a língua é o recurso para realizar ações linguísticas, o meio para a interação social, o diálogo, a produção e construção de sentidos, em situações de leitura, escrita e oralidade;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476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Aquisição da língua escrita com função social, como instrumento de oportunidades, superação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vulnerabilidades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sociais e condição para o exercício pleno da cidadania, sendo seu ensino por meio da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sistematização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 escrita alfabética e dos diferentes gêneros textuais;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41" w:val="left"/>
        </w:tabs>
        <w:bidi w:val="0"/>
        <w:spacing w:before="0" w:after="0" w:line="298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Valorização do letramento e das práticas sociais letradas desde a Educação Infantil ao Ensino Fundamental: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541" w:val="left"/>
        </w:tabs>
        <w:bidi w:val="0"/>
        <w:spacing w:before="0" w:after="0" w:line="29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Valorização de uma metodologia dialógica e reflexiva na alfabetização e no letramento matemático, que possibilite aos estudantes a construção e a compreensão dos conceitos matemáticos por meio da resolução de problemas:</w:t>
      </w:r>
    </w:p>
    <w:p>
      <w:pPr>
        <w:pStyle w:val="Style2"/>
        <w:keepNext w:val="0"/>
        <w:keepLines w:val="0"/>
        <w:widowControl w:val="0"/>
        <w:numPr>
          <w:ilvl w:val="0"/>
          <w:numId w:val="5"/>
        </w:numPr>
        <w:shd w:val="clear" w:color="auto" w:fill="auto"/>
        <w:tabs>
          <w:tab w:pos="39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adoção de referenciais de políticas públicas exitosas voltadas á alfabetização e ao letramento. nacional e internacionais, baseadas em evidências científicas;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Art.4°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objetivos da Política Municipal de Alfabetização: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70" w:val="left"/>
        </w:tabs>
        <w:bidi w:val="0"/>
        <w:spacing w:before="0" w:after="200" w:line="28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Assegurar que as crianças desde 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pré-escola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(turmas de pré I. pré II) tenham garantidos o acesso a criação de uma cultura de leitura, escrita e oralidade em suas rotinas, e a ampliação das suas experiências com a linguagem escrita com promoção de reflexões sobre o significado da infância e sobre como aproximar as crianças de experiências que façam sentido em suas vidas;</w:t>
      </w:r>
    </w:p>
    <w:p>
      <w:pPr>
        <w:widowControl w:val="0"/>
        <w:jc w:val="right"/>
        <w:rPr>
          <w:sz w:val="2"/>
          <w:szCs w:val="2"/>
        </w:rPr>
        <w:sectPr>
          <w:headerReference w:type="default" r:id="rId7"/>
          <w:footerReference w:type="default" r:id="rId8"/>
          <w:footnotePr>
            <w:pos w:val="pageBottom"/>
            <w:numFmt w:val="decimal"/>
            <w:numRestart w:val="continuous"/>
          </w:footnotePr>
          <w:pgSz w:w="11900" w:h="16840"/>
          <w:pgMar w:top="1671" w:left="1378" w:right="1378" w:bottom="1189" w:header="0" w:footer="3" w:gutter="0"/>
          <w:cols w:space="720"/>
          <w:noEndnote/>
          <w:rtlGutter w:val="0"/>
          <w:docGrid w:linePitch="360"/>
        </w:sectPr>
      </w:pPr>
      <w:r>
        <w:drawing>
          <wp:inline>
            <wp:extent cx="5297170" cy="816610"/>
            <wp:docPr id="29" name="Picutre 29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5297170" cy="81661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290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Promover uma transformação significativa na qualidade do ensino e da aprendizagem nos primeiros anos do Ensino Fundamental, assegurando que cada criança desenvolva plenamente suas habilidades de leitura, escrita e raciocínio lógico-matemático, por meio da implementação de práticas pedagógicas fundamentadas em evidências científicas, que respeitem as particularidades socioculturais do município e garantam a equidade no acesso ao conhecimento.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5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Assegurar que todos os estudantes sejam alfabetizados até o final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 garantindo o direito à alfabetização como elemento estruturante para a construção de trajetórias escolares bem-sucedidas;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Implementar programas e ações voltadas à alfabetização no âmbito da Rede Municipal de Ensino;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Fomentar pesquisas voltadas ao desenvolvimento de adequações pedagógicas, materiais didáticos, equipamentos e recursos de tecnologia assistiva. com o objetivo de promover o ensino e a aprendizagem de estudantes público-alvo da educação inclusiva, assegurando condições de acessibilidade plena: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37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Selecionar e ampliar a aquisição de tecnologias educacionais para a alfabetização de estudantes, assegurada a diversidade de recursos e propostas pedagógicas, bem como o acompanhamento dos resultados no processo de ensino-aprendizagem;</w:t>
      </w:r>
    </w:p>
    <w:p>
      <w:pPr>
        <w:pStyle w:val="Style2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457" w:val="left"/>
        </w:tabs>
        <w:bidi w:val="0"/>
        <w:spacing w:before="0" w:after="30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Participar, anualmente, de avaliações de larga escala da alfabetização dos estudantes, bem como estimular as escolas a criarem 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respectivos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instrumentos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avaliação, considerando a realidade de cada comunidade escolar, implementando medidas pedagógicas para alfabetizar todos os estudantes até o final do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III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00" w:line="300" w:lineRule="auto"/>
        <w:ind w:left="0" w:right="0" w:firstLine="0"/>
        <w:jc w:val="center"/>
      </w:pPr>
      <w:bookmarkStart w:id="4" w:name="bookmark4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DAS DIRETRIZES</w:t>
      </w:r>
      <w:bookmarkEnd w:id="4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Art. 5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Constituem diretrizes para a implementação da Política Municipal de Alfabetização: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713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Promoção de estratégias específicas de busca ativa escolar, para mobilização comunitária e sensibilização das famílias para garantir o ingresso de todas as crianças na idade certa, sobretudo na zona rural ou em contexto de vulnerabilidade.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290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Priorização da alfabetização até os dois primeiros anos do Ensino Fundamental;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57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Estabelecimento de fluxos de busca ativa, em parceria com agentes comunitários, unidades de saúde, assistência social e escolas, com registros formais das ações.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4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Participação das famílias no processo de alfabetização por meio de ações de cooperação e integração entre a comunidade escolar;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364" w:val="left"/>
        </w:tabs>
        <w:bidi w:val="0"/>
        <w:spacing w:before="0" w:after="0" w:line="293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Incentivo à identificação precoce de dificuldades de aprendizagem de leitura, de escrita e de matemática, inclusive dos transtornos específicos de aprendizagem;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140" w:line="293" w:lineRule="auto"/>
        <w:ind w:left="0" w:right="0" w:firstLine="0"/>
        <w:jc w:val="both"/>
        <w:sectPr>
          <w:headerReference w:type="default" r:id="rId11"/>
          <w:footerReference w:type="default" r:id="rId12"/>
          <w:footnotePr>
            <w:pos w:val="pageBottom"/>
            <w:numFmt w:val="decimal"/>
            <w:numRestart w:val="continuous"/>
          </w:footnotePr>
          <w:pgSz w:w="11900" w:h="16840"/>
          <w:pgMar w:top="2552" w:left="1374" w:right="1396" w:bottom="1746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Incentivo a práticas de ensino para o desenvolvimento da linguagem oral, leitura e formação leitora a partir da Educação Infantil, sendo as ações intensificadas nas turmas de Pré I. Pré II e mantidas nos demais anos escolares;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0" distR="0" simplePos="0" relativeHeight="125829378" behindDoc="0" locked="0" layoutInCell="1" allowOverlap="1">
                <wp:simplePos x="0" y="0"/>
                <wp:positionH relativeFrom="page">
                  <wp:posOffset>1659255</wp:posOffset>
                </wp:positionH>
                <wp:positionV relativeFrom="paragraph">
                  <wp:posOffset>12700</wp:posOffset>
                </wp:positionV>
                <wp:extent cx="676910" cy="118745"/>
                <wp:wrapSquare wrapText="bothSides"/>
                <wp:docPr id="46" name="Shape 4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676910" cy="11874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1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BR" w:eastAsia="pt-BR" w:bidi="pt-BR"/>
                              </w:rPr>
                              <w:t>PREFEITURA DE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72" type="#_x0000_t202" style="position:absolute;margin-left:130.65000000000001pt;margin-top:1.pt;width:53.299999999999997pt;height:9.3499999999999996pt;z-index:-125829375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11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pt-BR" w:eastAsia="pt-BR" w:bidi="pt-BR"/>
                        </w:rPr>
                        <w:t>PREFEITURA DE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tabs>
          <w:tab w:pos="2102" w:val="left"/>
        </w:tabs>
        <w:bidi w:val="0"/>
        <w:spacing w:before="0" w:after="0" w:line="240" w:lineRule="auto"/>
        <w:ind w:right="0" w:firstLine="0"/>
        <w:jc w:val="both"/>
      </w:pPr>
      <w:r>
        <w:rPr>
          <w:spacing w:val="0"/>
          <w:w w:val="100"/>
          <w:position w:val="0"/>
          <w:shd w:val="clear" w:color="auto" w:fill="auto"/>
        </w:rPr>
        <w:t>rrvcrti i</w:t>
        <w:tab/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hd w:val="clear" w:color="auto" w:fill="auto"/>
        </w:rPr>
        <w:t>l/u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280" w:line="185" w:lineRule="auto"/>
        <w:ind w:left="0" w:right="0" w:firstLine="0"/>
        <w:jc w:val="left"/>
      </w:pPr>
      <w:bookmarkStart w:id="5" w:name="bookmark5"/>
      <w:r>
        <w:rPr>
          <w:spacing w:val="0"/>
          <w:position w:val="0"/>
          <w:shd w:val="clear" w:color="auto" w:fill="auto"/>
        </w:rPr>
        <w:t>«tf NOVO ARIPUANA</w:t>
      </w:r>
      <w:bookmarkEnd w:id="5"/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Estímulo aos hábitos de leitura e escrita de diferentes gêneros textuais e à apreciação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literária por meio de ações que os integrem a prática cotidiana das famílias e/ou responsáveis.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escolas, bibliotecas e de outras instituições educacionais: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10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Valorização do professor alfabetizador. reconhecendo seu papel fundamental no processo de ensino - aprendizagem;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8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Promoção de estudos nas unidades educacionais aos professores alfabetizadores, realizadas pelas equipes pedagógicas das unidades escolares e dos formadores das equipes de orientadores pedagógicos ou formadores da Secretaria Municipal de Educação: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59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Fortalecimento das equipes gestoras das unidades escolares por meio de estudo/mentorias e ações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formativas;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38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Fortalecimento das equipes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técnico-pedagógicas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(orientadores pedagógicos, formadores) com a participação em palestras, congressos, simpósios e afins, relacionados à alfabetização e ao letramento;</w:t>
      </w:r>
    </w:p>
    <w:p>
      <w:pPr>
        <w:pStyle w:val="Style2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430" w:val="left"/>
        </w:tabs>
        <w:bidi w:val="0"/>
        <w:spacing w:before="0" w:after="30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fundamentação nos estudos e encaminhamentos orientados pela BNCC, pelo Currículo da Educação Infantil e do Ensino Fundamental Anos Iniciais e pelas Diretrizes Curriculares Nacionais para a Educação Básica.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80" w:line="312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CAPÍTULO IV</w:t>
        <w:br/>
        <w:t xml:space="preserve">DO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PÚBLICO-ALVO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E</w:t>
        <w:br/>
        <w:t>AGENTES ENVOLVIDOS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6°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 Política Municipal de Alfabetização tem por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público-alvo: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236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Crianças matriculadas na Educação Infantil nas turmas de pré I. pré II.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315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Estudantes das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Fundamental, prioritariamente;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16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Estudantes dos anos subsequentes do Ensino Fundamental que apresentam níveis aquém do esperado na alfabetização;</w:t>
      </w:r>
    </w:p>
    <w:p>
      <w:pPr>
        <w:pStyle w:val="Style2"/>
        <w:keepNext w:val="0"/>
        <w:keepLines w:val="0"/>
        <w:widowControl w:val="0"/>
        <w:numPr>
          <w:ilvl w:val="0"/>
          <w:numId w:val="11"/>
        </w:numPr>
        <w:shd w:val="clear" w:color="auto" w:fill="auto"/>
        <w:tabs>
          <w:tab w:pos="438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- Estudantes da Educação de Jovens e Adultos (EJA) do primeiro e segundo segmento;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Parágrafo único.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São beneficiários prioritários da Política Municipal de Alfabetização os grupos a que se referem os incisos I e II 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caput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deste artigo.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Art. 7"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São agentes envolvidos na Política Municipal de Alfabetização: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243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Professores da Educação Infantil atuantes nas turmas de Pré I e Pré II: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22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Professores atuantes nas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394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Professores das comunidades escolar indígenas e quilombola. se houver;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16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Pedagogos escolares que atuam com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16" w:val="left"/>
        </w:tabs>
        <w:bidi w:val="0"/>
        <w:spacing w:before="0" w:after="0" w:line="286" w:lineRule="auto"/>
        <w:ind w:left="0" w:right="0" w:firstLine="0"/>
        <w:jc w:val="lef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Diretores escolares de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423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Demais profissionais que atuam nas unidades educacionais (turmas de 1 °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BR" w:eastAsia="pt-BR" w:bidi="pt-BR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 ano do Ensino Fundamental):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10" w:val="left"/>
        </w:tabs>
        <w:bidi w:val="0"/>
        <w:spacing w:before="0" w:after="0" w:line="286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Equipe técnica pedagógica atuante principalmente nas coordenações da Educação Infantil. Ensino Fundamental Anos Iniciais e ensino fundamental Anos Finais da Secretaria Municipal da Educação;</w:t>
      </w:r>
    </w:p>
    <w:p>
      <w:pPr>
        <w:pStyle w:val="Style2"/>
        <w:keepNext w:val="0"/>
        <w:keepLines w:val="0"/>
        <w:widowControl w:val="0"/>
        <w:numPr>
          <w:ilvl w:val="0"/>
          <w:numId w:val="13"/>
        </w:numPr>
        <w:shd w:val="clear" w:color="auto" w:fill="auto"/>
        <w:tabs>
          <w:tab w:pos="582" w:val="left"/>
        </w:tabs>
        <w:bidi w:val="0"/>
        <w:spacing w:before="0" w:after="0" w:line="286" w:lineRule="auto"/>
        <w:ind w:left="0" w:right="0" w:firstLine="0"/>
        <w:jc w:val="left"/>
        <w:sectPr>
          <w:headerReference w:type="default" r:id="rId13"/>
          <w:footerReference w:type="default" r:id="rId14"/>
          <w:footnotePr>
            <w:pos w:val="pageBottom"/>
            <w:numFmt w:val="decimal"/>
            <w:numRestart w:val="continuous"/>
          </w:footnotePr>
          <w:pgSz w:w="11900" w:h="16840"/>
          <w:pgMar w:top="1671" w:left="1367" w:right="1403" w:bottom="1260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- Comunidade escolar.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62" w:lineRule="auto"/>
        <w:ind w:left="66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V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PREFEITURA DE ~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1560" w:line="262" w:lineRule="auto"/>
        <w:ind w:left="220" w:right="0" w:firstLine="0"/>
        <w:jc w:val="left"/>
      </w:pPr>
      <w:bookmarkStart w:id="6" w:name="bookmark6"/>
      <w:r>
        <w:rPr>
          <w:spacing w:val="0"/>
          <w:position w:val="0"/>
          <w:shd w:val="clear" w:color="auto" w:fill="auto"/>
          <w:lang w:val="pt-PT" w:eastAsia="pt-PT" w:bidi="pt-PT"/>
        </w:rPr>
        <w:t>^NOVOARIPUANA</w:t>
      </w:r>
      <w:bookmarkEnd w:id="6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60" w:line="240" w:lineRule="auto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V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60" w:line="240" w:lineRule="auto"/>
        <w:ind w:left="0" w:right="0" w:firstLine="0"/>
        <w:jc w:val="center"/>
      </w:pPr>
      <w:bookmarkStart w:id="7" w:name="bookmark7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IMPLEMENTAÇÃO</w:t>
      </w:r>
      <w:bookmarkEnd w:id="7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8°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Política Municipal de Alfabetização será implementada por meio de programas e ações que incluam: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2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Orientações curriculares e estabelecimento de metas objetivas, propostas a partir dos documentos legais, para a Educação Infantil (turmas de Pré I. Pré II) e para as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 xml:space="preserve">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Ano do Ensino fundamental: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331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Formação de professores de Educação Infantil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(atuantes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 turmas de Pré I, Pré II). e de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 voltada para a alfabetização e letramento;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Ênfase no ensino de conhecimentos linguísticos e matemáticos e de metodologia de ensino de Língua Portuguesa e Matemática em programas de formação continuada de professores da Educação Infantil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atuantes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nas turmas de Pré I. Pré II. e de professores de turmas de I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Promoção de mecanismos de certificação de professores alfabetizadores;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Formação de gestores educacionais para dar suporte pedagógico aos professores da Educação Infantil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atuantes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nas turmas de Pré I e Pré II. aos professores alfabetizadores do Ensino Fundamental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às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crianças e aos estudantes;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Seleção e/ou produção de materiais didático-pedagógicos destinados à alfabetização, com promoção de formação de professores para o uso desses materiais;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97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Produção e disseminação de materiais com pesquisas de fundamentação teórica e encaminhamentos metodológicos, e de boas práticas de alfabetização e letramento em Língua Portuguesa e Matemática;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83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Difusão de recursos educacionais para ensino e aprendizagem de leitura, de escrita e de matemática;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90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Recomposição de aprendizagens para estudantes que não tenham sido plenamente alfabetizados até o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 ou que apresentem dificuldades nesse processo;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Documentação das ações planejadas para recompor as aprendizagens dos estudantes em processo de alfabetização, por meio de um plano de apoio pedagógico;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418" w:val="left"/>
        </w:tabs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Incentivo à elaboração e à validação de instrumentos de avaliação e diagnóstico interno;</w:t>
      </w:r>
    </w:p>
    <w:p>
      <w:pPr>
        <w:pStyle w:val="Style2"/>
        <w:keepNext w:val="0"/>
        <w:keepLines w:val="0"/>
        <w:widowControl w:val="0"/>
        <w:numPr>
          <w:ilvl w:val="0"/>
          <w:numId w:val="15"/>
        </w:numPr>
        <w:shd w:val="clear" w:color="auto" w:fill="auto"/>
        <w:tabs>
          <w:tab w:pos="504" w:val="left"/>
        </w:tabs>
        <w:bidi w:val="0"/>
        <w:spacing w:before="0" w:after="280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Elaboração, organização e aplicação de avaliação interna e externa de larga escala nas turmas de 2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 ano do Ensino Fundamental em unidades municipais de ensino.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VI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280" w:line="300" w:lineRule="auto"/>
        <w:ind w:left="0" w:right="0" w:firstLine="0"/>
        <w:jc w:val="center"/>
      </w:pPr>
      <w:bookmarkStart w:id="8" w:name="bookmark8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DO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AVALIAÇÃO</w:t>
      </w:r>
      <w:bookmarkEnd w:id="8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both"/>
        <w:sectPr>
          <w:footnotePr>
            <w:pos w:val="pageBottom"/>
            <w:numFmt w:val="decimal"/>
            <w:numRestart w:val="continuous"/>
          </w:footnotePr>
          <w:pgSz w:w="11900" w:h="16840"/>
          <w:pgMar w:top="1671" w:left="1382" w:right="1375" w:bottom="1189" w:header="0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9"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Constituem mecanismos de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avaliação da Política Municipal de Alfabetização:</w:t>
      </w:r>
    </w:p>
    <w:p>
      <w:pPr>
        <w:widowControl w:val="0"/>
        <w:spacing w:line="1" w:lineRule="exact"/>
      </w:pPr>
      <w:r>
        <w:drawing>
          <wp:anchor distT="0" distB="0" distL="0" distR="0" simplePos="0" relativeHeight="125829380" behindDoc="0" locked="0" layoutInCell="1" allowOverlap="1">
            <wp:simplePos x="0" y="0"/>
            <wp:positionH relativeFrom="page">
              <wp:posOffset>963930</wp:posOffset>
            </wp:positionH>
            <wp:positionV relativeFrom="paragraph">
              <wp:posOffset>12700</wp:posOffset>
            </wp:positionV>
            <wp:extent cx="457200" cy="487680"/>
            <wp:wrapSquare wrapText="right"/>
            <wp:docPr id="60" name="Shape 60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Picture box 61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ext cx="457200" cy="48768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114300" distR="114300" simplePos="0" relativeHeight="125829381" behindDoc="0" locked="0" layoutInCell="1" allowOverlap="1">
            <wp:simplePos x="0" y="0"/>
            <wp:positionH relativeFrom="page">
              <wp:posOffset>3542665</wp:posOffset>
            </wp:positionH>
            <wp:positionV relativeFrom="paragraph">
              <wp:posOffset>12700</wp:posOffset>
            </wp:positionV>
            <wp:extent cx="487680" cy="554990"/>
            <wp:wrapSquare wrapText="left"/>
            <wp:docPr id="62" name="Shape 6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" name="Picture box 63"/>
                    <pic:cNvPicPr/>
                  </pic:nvPicPr>
                  <pic:blipFill>
                    <a:blip r:embed="rId17"/>
                    <a:stretch/>
                  </pic:blipFill>
                  <pic:spPr>
                    <a:xfrm>
                      <a:ext cx="487680" cy="554990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400"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PREFEITURA </w:t>
      </w:r>
      <w:r>
        <w:rPr>
          <w:spacing w:val="0"/>
          <w:w w:val="100"/>
          <w:position w:val="0"/>
          <w:shd w:val="clear" w:color="auto" w:fill="auto"/>
          <w:lang w:val="pt-BR" w:eastAsia="pt-BR" w:bidi="pt-BR"/>
        </w:rPr>
        <w:t xml:space="preserve">DE </w:t>
      </w:r>
      <w:r>
        <w:rPr>
          <w:spacing w:val="0"/>
          <w:w w:val="100"/>
          <w:position w:val="0"/>
          <w:shd w:val="clear" w:color="auto" w:fill="auto"/>
          <w:lang w:val="pt-PT" w:eastAsia="pt-PT" w:bidi="pt-PT"/>
        </w:rPr>
        <w:t>~</w:t>
      </w:r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left"/>
      </w:pPr>
      <w:bookmarkStart w:id="9" w:name="bookmark9"/>
      <w:r>
        <w:rPr>
          <w:spacing w:val="0"/>
          <w:position w:val="0"/>
          <w:shd w:val="clear" w:color="auto" w:fill="auto"/>
          <w:lang w:val="pt-PT" w:eastAsia="pt-PT" w:bidi="pt-PT"/>
        </w:rPr>
        <w:t>NOVOARIPUANA</w:t>
      </w:r>
      <w:bookmarkEnd w:id="9"/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  <w:rPr>
          <w:sz w:val="8"/>
          <w:szCs w:val="8"/>
        </w:rPr>
      </w:pPr>
      <w:r>
        <w:rPr>
          <w:spacing w:val="0"/>
          <w:w w:val="100"/>
          <w:position w:val="0"/>
          <w:sz w:val="9"/>
          <w:szCs w:val="9"/>
          <w:shd w:val="clear" w:color="auto" w:fill="auto"/>
          <w:lang w:val="pt-PT" w:eastAsia="pt-PT" w:bidi="pt-PT"/>
        </w:rPr>
        <w:t xml:space="preserve">o r*oc*t«ao a o </w:t>
      </w:r>
      <w:r>
        <w:rPr>
          <w:rFonts w:ascii="Times New Roman" w:eastAsia="Times New Roman" w:hAnsi="Times New Roman" w:cs="Times New Roman"/>
          <w:smallCaps/>
          <w:spacing w:val="0"/>
          <w:w w:val="100"/>
          <w:position w:val="0"/>
          <w:sz w:val="8"/>
          <w:szCs w:val="8"/>
          <w:shd w:val="clear" w:color="auto" w:fill="auto"/>
          <w:lang w:val="pt-PT" w:eastAsia="pt-PT" w:bidi="pt-PT"/>
        </w:rPr>
        <w:t>hujw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3" w:lineRule="auto"/>
        <w:ind w:left="20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ESTADO DO AMAZONAS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33" w:lineRule="auto"/>
        <w:ind w:left="100" w:right="0" w:firstLine="0"/>
        <w:jc w:val="center"/>
        <w:rPr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pt-PT" w:eastAsia="pt-PT" w:bidi="pt-PT"/>
        </w:rPr>
        <w:t>PREFEITURA MUNICIPAL DE NOVO ARIPUANÀ</w:t>
        <w:br/>
        <w:t>GABINETE DO PREFEITO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26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 avaliação da qualidade, eficiência, eficácia e efetividade de programas e ações implementadas por meio da Secretaria Municipal da Educação;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16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aprendizagem dos estudantes em processo de alfabetização, avaliado pelos instrumentos de acompanhamento pedagógico realizado pelos professores, coordenadores, gestores das unidades educacionais, com acompanhamento da equipe técnico- pedagógica da Secretaria Municipal da Educação: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395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Acompanhamento dos registros das ações planejadas para recompor as aprendizagens dos estudantes em processo de alfabetização;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0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Análise de resultados de avaliações internas e externas e incentivo ao uso deles nos processos de ensino — aprendizagem;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02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- Desenvolvimento de indicadores municipais para avaliar a eficácia escolar na alfabetização, que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priorizem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fluência em leitura oral, a competência leitora, a proficiência em escrita e em matemática;</w:t>
      </w:r>
    </w:p>
    <w:p>
      <w:pPr>
        <w:pStyle w:val="Style2"/>
        <w:keepNext w:val="0"/>
        <w:keepLines w:val="0"/>
        <w:widowControl w:val="0"/>
        <w:numPr>
          <w:ilvl w:val="0"/>
          <w:numId w:val="17"/>
        </w:numPr>
        <w:shd w:val="clear" w:color="auto" w:fill="auto"/>
        <w:tabs>
          <w:tab w:pos="409" w:val="left"/>
        </w:tabs>
        <w:bidi w:val="0"/>
        <w:spacing w:before="0" w:after="0" w:line="302" w:lineRule="auto"/>
        <w:ind w:left="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- Incentivo ao desenvolvimento de pesquisas acadêmicas para avaliar programas e ações desta Política.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302" w:lineRule="auto"/>
        <w:ind w:left="200" w:right="0" w:firstLine="0"/>
        <w:jc w:val="center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CAPÍTULO VII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00" w:line="302" w:lineRule="auto"/>
        <w:ind w:left="200" w:right="0" w:firstLine="0"/>
        <w:jc w:val="center"/>
      </w:pPr>
      <w:bookmarkStart w:id="10" w:name="bookmark1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DISPOSIÇÕES FINAIS</w:t>
      </w:r>
      <w:bookmarkEnd w:id="10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Compete à Secretaria Municipal da Educação, conforme a Política Municipal de Alfabetização, a elaboração do Plano de Trabalho Anual de Alfabetização.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11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Compete à Secretaria Municipal de Educação a coordenação estratégica dos programas e das ações decorrentes da Política Municipal de Alfabetização, bem como, em conjunto com o Conselho Municipal de Educação, o acompanhamento e 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 xml:space="preserve">monitoramento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da execução dessa política.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480"/>
        <w:ind w:left="0" w:right="0" w:firstLine="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Art. 12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Este Decreto entra em vigor na data de sua publicação.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80" w:line="240" w:lineRule="auto"/>
        <w:ind w:left="100" w:right="0" w:firstLine="0"/>
        <w:jc w:val="center"/>
      </w:pPr>
      <w:bookmarkStart w:id="11" w:name="bookmark1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PUBLIQUE-SE, CIENTIFIQUE-SE E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BR" w:eastAsia="pt-BR" w:bidi="pt-BR"/>
        </w:rPr>
        <w:t>CUMPRA-SE.</w:t>
      </w:r>
      <w:bookmarkEnd w:id="11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860"/>
        <w:jc w:val="both"/>
        <w:sectPr>
          <w:headerReference w:type="default" r:id="rId19"/>
          <w:footerReference w:type="default" r:id="rId20"/>
          <w:footnotePr>
            <w:pos w:val="pageBottom"/>
            <w:numFmt w:val="decimal"/>
            <w:numRestart w:val="continuous"/>
          </w:footnotePr>
          <w:pgSz w:w="11900" w:h="16840"/>
          <w:pgMar w:top="550" w:left="1403" w:right="1144" w:bottom="2020" w:header="122" w:footer="3" w:gutter="0"/>
          <w:cols w:space="720"/>
          <w:noEndnote/>
          <w:rtlGutter w:val="0"/>
          <w:docGrid w:linePitch="360"/>
        </w:sectPr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GABINETE DO PREFEITO MUNICIPAL DE NOVO ARIPUANÀ,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Estado do Amazonas, aos dois dias do mês de julho do ano de dois mil e vinte e seis.</w:t>
      </w:r>
    </w:p>
    <w:p>
      <w:pPr>
        <w:widowControl w:val="0"/>
        <w:spacing w:line="89" w:lineRule="exact"/>
        <w:rPr>
          <w:sz w:val="7"/>
          <w:szCs w:val="7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550" w:left="0" w:right="0" w:bottom="104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w:drawing>
          <wp:anchor distT="73025" distB="0" distL="0" distR="0" simplePos="0" relativeHeight="125829382" behindDoc="0" locked="0" layoutInCell="1" allowOverlap="1">
            <wp:simplePos x="0" y="0"/>
            <wp:positionH relativeFrom="page">
              <wp:posOffset>2509520</wp:posOffset>
            </wp:positionH>
            <wp:positionV relativeFrom="paragraph">
              <wp:posOffset>85725</wp:posOffset>
            </wp:positionV>
            <wp:extent cx="1121410" cy="1414145"/>
            <wp:wrapTight wrapText="bothSides">
              <wp:wrapPolygon>
                <wp:start x="3350" y="0"/>
                <wp:lineTo x="21600" y="0"/>
                <wp:lineTo x="21600" y="9717"/>
                <wp:lineTo x="12607" y="9717"/>
                <wp:lineTo x="12607" y="11953"/>
                <wp:lineTo x="15252" y="11953"/>
                <wp:lineTo x="15252" y="21600"/>
                <wp:lineTo x="0" y="21600"/>
                <wp:lineTo x="0" y="14050"/>
                <wp:lineTo x="2380" y="14050"/>
                <wp:lineTo x="2380" y="11953"/>
                <wp:lineTo x="3350" y="11953"/>
                <wp:lineTo x="3350" y="0"/>
              </wp:wrapPolygon>
            </wp:wrapTight>
            <wp:docPr id="66" name="Shape 6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" name="Picture box 67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ext cx="1121410" cy="141414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3515360</wp:posOffset>
                </wp:positionH>
                <wp:positionV relativeFrom="paragraph">
                  <wp:posOffset>12700</wp:posOffset>
                </wp:positionV>
                <wp:extent cx="109855" cy="100330"/>
                <wp:wrapNone/>
                <wp:docPr id="68" name="Shape 68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9855" cy="1003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10"/>
                                <w:szCs w:val="10"/>
                              </w:rPr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 w:val="0"/>
                                <w:bCs w:val="0"/>
                                <w:color w:val="000000"/>
                                <w:spacing w:val="0"/>
                                <w:w w:val="100"/>
                                <w:position w:val="0"/>
                                <w:sz w:val="10"/>
                                <w:szCs w:val="10"/>
                                <w:shd w:val="clear" w:color="auto" w:fill="auto"/>
                                <w:lang w:val="pt-PT" w:eastAsia="pt-PT" w:bidi="pt-PT"/>
                              </w:rPr>
                              <w:t>v*.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4" type="#_x0000_t202" style="position:absolute;margin-left:276.80000000000001pt;margin-top:1.pt;width:8.6500000000000004pt;height:7.9000000000000004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10"/>
                          <w:szCs w:val="10"/>
                        </w:rPr>
                      </w:pPr>
                      <w:r>
                        <w:rPr>
                          <w:rFonts w:ascii="Times New Roman" w:eastAsia="Times New Roman" w:hAnsi="Times New Roman" w:cs="Times New Roman"/>
                          <w:b w:val="0"/>
                          <w:bCs w:val="0"/>
                          <w:color w:val="000000"/>
                          <w:spacing w:val="0"/>
                          <w:w w:val="100"/>
                          <w:position w:val="0"/>
                          <w:sz w:val="10"/>
                          <w:szCs w:val="10"/>
                          <w:shd w:val="clear" w:color="auto" w:fill="auto"/>
                          <w:lang w:val="pt-PT" w:eastAsia="pt-PT" w:bidi="pt-PT"/>
                        </w:rPr>
                        <w:t>v*.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38100" distR="38100" simplePos="0" relativeHeight="125829383" behindDoc="0" locked="0" layoutInCell="1" allowOverlap="1">
                <wp:simplePos x="0" y="0"/>
                <wp:positionH relativeFrom="page">
                  <wp:posOffset>3140710</wp:posOffset>
                </wp:positionH>
                <wp:positionV relativeFrom="paragraph">
                  <wp:posOffset>685800</wp:posOffset>
                </wp:positionV>
                <wp:extent cx="1618615" cy="196850"/>
                <wp:wrapSquare wrapText="bothSides"/>
                <wp:docPr id="70" name="Shape 70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18615" cy="1968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Fonts w:ascii="Times New Roman" w:eastAsia="Times New Roman" w:hAnsi="Times New Roman" w:cs="Times New Roman"/>
                                <w:b/>
                                <w:b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QUERQUE SOBRINHO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96" type="#_x0000_t202" style="position:absolute;margin-left:247.30000000000001pt;margin-top:54.pt;width:127.45pt;height:15.5pt;z-index:-125829370;mso-wrap-distance-left:3.pt;mso-wrap-distance-right:3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Fonts w:ascii="Times New Roman" w:eastAsia="Times New Roman" w:hAnsi="Times New Roman" w:cs="Times New Roman"/>
                          <w:b/>
                          <w:b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QUERQUE SOBRINHO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bookmarkStart w:id="12" w:name="bookmark12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RAYMUNDO LOPES DE</w:t>
      </w:r>
      <w:bookmarkEnd w:id="12"/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30" w:lineRule="auto"/>
        <w:ind w:left="0" w:right="0" w:firstLine="0"/>
        <w:jc w:val="right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Prefeito</w:t>
      </w:r>
    </w:p>
    <w:p>
      <w:pPr>
        <w:spacing w:lineRule="exact" w:line="1"/>
        <w:rPr>
          <w:sz w:val="2"/>
          <w:szCs w:val="2"/>
        </w:rPr>
      </w:pPr>
      <w:r>
        <w:br w:type="column"/>
      </w:r>
    </w:p>
    <w:p>
      <w:pPr>
        <w:pStyle w:val="Style2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PUBLICAÇÃO:</w:t>
      </w:r>
    </w:p>
    <w:p>
      <w:pPr>
        <w:pStyle w:val="Style27"/>
        <w:keepNext w:val="0"/>
        <w:keepLines w:val="0"/>
        <w:widowControl w:val="0"/>
        <w:shd w:val="clear" w:color="auto" w:fill="auto"/>
        <w:bidi w:val="0"/>
        <w:spacing w:before="0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Atesto para os fins e efeitos legais que este Decreto foi publicado de acordo com a Lei Orgânica do Município de Novo Aripuanã. em 02 de julho de 2026</w:t>
      </w:r>
    </w:p>
    <w:p>
      <w:pPr>
        <w:pStyle w:val="Style11"/>
        <w:keepNext w:val="0"/>
        <w:keepLines w:val="0"/>
        <w:widowControl w:val="0"/>
        <w:shd w:val="clear" w:color="auto" w:fill="auto"/>
        <w:bidi w:val="0"/>
        <w:spacing w:before="0" w:after="340" w:line="226" w:lineRule="auto"/>
        <w:ind w:left="0" w:right="0" w:firstLine="0"/>
        <w:jc w:val="center"/>
        <w:rPr>
          <w:sz w:val="13"/>
          <w:szCs w:val="13"/>
        </w:rPr>
      </w:pPr>
      <w:r>
        <w:rPr>
          <w:b w:val="0"/>
          <w:bCs w:val="0"/>
          <w:color w:val="000000"/>
          <w:spacing w:val="0"/>
          <w:w w:val="100"/>
          <w:position w:val="0"/>
          <w:sz w:val="15"/>
          <w:szCs w:val="15"/>
          <w:shd w:val="clear" w:color="auto" w:fill="auto"/>
          <w:lang w:val="pt-PT" w:eastAsia="pt-PT" w:bidi="pt-PT"/>
        </w:rPr>
        <w:t>MARIA OLÍMPIA DOS SANTOS PASSOS</w:t>
        <w:br/>
      </w:r>
      <w:r>
        <w:rPr>
          <w:b w:val="0"/>
          <w:bCs w:val="0"/>
          <w:color w:val="000000"/>
          <w:spacing w:val="0"/>
          <w:w w:val="100"/>
          <w:position w:val="0"/>
          <w:sz w:val="13"/>
          <w:szCs w:val="13"/>
          <w:shd w:val="clear" w:color="auto" w:fill="auto"/>
          <w:lang w:val="pt-PT" w:eastAsia="pt-PT" w:bidi="pt-PT"/>
        </w:rPr>
        <w:t>Secretária-Municipal de Administração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550" w:left="1533" w:right="1144" w:bottom="1047" w:header="0" w:footer="3" w:gutter="0"/>
      <w:cols w:num="2" w:space="720" w:equalWidth="0">
        <w:col w:w="2722" w:space="3413"/>
        <w:col w:w="3089"/>
      </w:cols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6" behindDoc="1" locked="0" layoutInCell="1" allowOverlap="1">
              <wp:simplePos x="0" y="0"/>
              <wp:positionH relativeFrom="page">
                <wp:posOffset>1702435</wp:posOffset>
              </wp:positionH>
              <wp:positionV relativeFrom="page">
                <wp:posOffset>10022840</wp:posOffset>
              </wp:positionV>
              <wp:extent cx="4123690" cy="265430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134.05000000000001pt;margin-top:789.20000000000005pt;width:324.69999999999999pt;height:20.899999999999999pt;z-index:-18874405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8" behindDoc="1" locked="0" layoutInCell="1" allowOverlap="1">
              <wp:simplePos x="0" y="0"/>
              <wp:positionH relativeFrom="page">
                <wp:posOffset>5954395</wp:posOffset>
              </wp:positionH>
              <wp:positionV relativeFrom="page">
                <wp:posOffset>10041255</wp:posOffset>
              </wp:positionV>
              <wp:extent cx="484505" cy="43434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4343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33070"/>
                                <wp:docPr id="14" name="Picutre 1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4" name="Picture 1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330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0" type="#_x0000_t202" style="position:absolute;margin-left:468.85000000000002pt;margin-top:790.64999999999998pt;width:38.149999999999999pt;height:34.200000000000003pt;z-index:-18874405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33070"/>
                          <wp:docPr id="16" name="Picutre 1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6" name="Picture 1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330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4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9733280</wp:posOffset>
              </wp:positionV>
              <wp:extent cx="1092835" cy="68580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90930" cy="688975"/>
                                <wp:docPr id="24" name="Picutre 24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4" name="Picture 24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9093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0" type="#_x0000_t202" style="position:absolute;margin-left:459.5pt;margin-top:766.39999999999998pt;width:86.049999999999997pt;height:54.pt;z-index:-188744049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90930" cy="688975"/>
                          <wp:docPr id="26" name="Picutre 26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6" name="Picture 26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9093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6" behindDoc="1" locked="0" layoutInCell="1" allowOverlap="1">
              <wp:simplePos x="0" y="0"/>
              <wp:positionH relativeFrom="page">
                <wp:posOffset>1684020</wp:posOffset>
              </wp:positionH>
              <wp:positionV relativeFrom="page">
                <wp:posOffset>10222865</wp:posOffset>
              </wp:positionV>
              <wp:extent cx="4123690" cy="265430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132.59999999999999pt;margin-top:804.95000000000005pt;width:324.69999999999999pt;height:20.899999999999999pt;z-index:-18874404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4" behindDoc="1" locked="0" layoutInCell="1" allowOverlap="1">
              <wp:simplePos x="0" y="0"/>
              <wp:positionH relativeFrom="page">
                <wp:posOffset>1702435</wp:posOffset>
              </wp:positionH>
              <wp:positionV relativeFrom="page">
                <wp:posOffset>10022840</wp:posOffset>
              </wp:positionV>
              <wp:extent cx="4123690" cy="265430"/>
              <wp:wrapNone/>
              <wp:docPr id="40" name="Shape 4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6" type="#_x0000_t202" style="position:absolute;margin-left:134.05000000000001pt;margin-top:789.20000000000005pt;width:324.69999999999999pt;height:20.899999999999999pt;z-index:-18874403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CNPJ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6" behindDoc="1" locked="0" layoutInCell="1" allowOverlap="1">
              <wp:simplePos x="0" y="0"/>
              <wp:positionH relativeFrom="page">
                <wp:posOffset>5954395</wp:posOffset>
              </wp:positionH>
              <wp:positionV relativeFrom="page">
                <wp:posOffset>10041255</wp:posOffset>
              </wp:positionV>
              <wp:extent cx="484505" cy="434340"/>
              <wp:wrapNone/>
              <wp:docPr id="42" name="Shape 4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4505" cy="43434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433070"/>
                                <wp:docPr id="43" name="Picutre 43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3" name="Picture 43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87680" cy="43307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468.85000000000002pt;margin-top:790.64999999999998pt;width:38.149999999999999pt;height:34.200000000000003pt;z-index:-188744037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433070"/>
                          <wp:docPr id="45" name="Picutre 45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5" name="Picture 45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87680" cy="43307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2" behindDoc="1" locked="0" layoutInCell="1" allowOverlap="1">
              <wp:simplePos x="0" y="0"/>
              <wp:positionH relativeFrom="page">
                <wp:posOffset>5835650</wp:posOffset>
              </wp:positionH>
              <wp:positionV relativeFrom="page">
                <wp:posOffset>9733280</wp:posOffset>
              </wp:positionV>
              <wp:extent cx="1092835" cy="685800"/>
              <wp:wrapNone/>
              <wp:docPr id="54" name="Shape 5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092835" cy="6858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1090930" cy="688975"/>
                                <wp:docPr id="55" name="Picutre 5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5" name="Picture 55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1090930" cy="68897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459.5pt;margin-top:766.39999999999998pt;width:86.049999999999997pt;height:54.pt;z-index:-18874403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1090930" cy="688975"/>
                          <wp:docPr id="57" name="Picutre 5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7" name="Picture 57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1090930" cy="68897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4" behindDoc="1" locked="0" layoutInCell="1" allowOverlap="1">
              <wp:simplePos x="0" y="0"/>
              <wp:positionH relativeFrom="page">
                <wp:posOffset>1684020</wp:posOffset>
              </wp:positionH>
              <wp:positionV relativeFrom="page">
                <wp:posOffset>10222865</wp:posOffset>
              </wp:positionV>
              <wp:extent cx="4123690" cy="265430"/>
              <wp:wrapNone/>
              <wp:docPr id="58" name="Shape 5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CNPJ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Avenida 16 de Fevereiro. n° 73 - Centro - Novo Aripuanã/AM - CEP 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4" type="#_x0000_t202" style="position:absolute;margin-left:132.59999999999999pt;margin-top:804.95000000000005pt;width:324.69999999999999pt;height:20.899999999999999pt;z-index:-18874402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CNPJ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Avenida 16 de Fevereiro. n° 73 - Centro - Novo Aripuanã/AM - CEP 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6" behindDoc="1" locked="0" layoutInCell="1" allowOverlap="1">
              <wp:simplePos x="0" y="0"/>
              <wp:positionH relativeFrom="page">
                <wp:posOffset>1686560</wp:posOffset>
              </wp:positionH>
              <wp:positionV relativeFrom="page">
                <wp:posOffset>10028555</wp:posOffset>
              </wp:positionV>
              <wp:extent cx="4123690" cy="265430"/>
              <wp:wrapNone/>
              <wp:docPr id="64" name="Shape 6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123690" cy="2654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CNP.I 04.278.818/0001-21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 xml:space="preserve">Avenida 16 de Fevereiro. n° 73 - Centro - Novo Aripuanã/AM -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 xml:space="preserve">CEP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69.260-000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90" type="#_x0000_t202" style="position:absolute;margin-left:132.80000000000001pt;margin-top:789.64999999999998pt;width:324.69999999999999pt;height:20.899999999999999pt;z-index:-188744027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CNP.I 04.278.818/0001-21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 xml:space="preserve">Avenida 16 de Fevereiro. n° 73 - Centro - Novo Aripuanã/AM -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 xml:space="preserve">CEP </w:t>
                    </w: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69.260-000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1035050</wp:posOffset>
              </wp:positionH>
              <wp:positionV relativeFrom="page">
                <wp:posOffset>349250</wp:posOffset>
              </wp:positionV>
              <wp:extent cx="397510" cy="457200"/>
              <wp:wrapNone/>
              <wp:docPr id="1" name="Shape 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751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96240" cy="457200"/>
                                <wp:docPr id="2" name="Picutre 2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96240" cy="457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81.5pt;margin-top:27.5pt;width:31.300000000000001pt;height:36.pt;z-index:-18874406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96240" cy="457200"/>
                          <wp:docPr id="4" name="Picutre 4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4" name="Picture 4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96240" cy="457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3549650</wp:posOffset>
              </wp:positionH>
              <wp:positionV relativeFrom="page">
                <wp:posOffset>349250</wp:posOffset>
              </wp:positionV>
              <wp:extent cx="488950" cy="516890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18160"/>
                                <wp:docPr id="6" name="Picutre 6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6" name="Picture 6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768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32" type="#_x0000_t202" style="position:absolute;margin-left:279.5pt;margin-top:27.5pt;width:38.5pt;height:40.700000000000003pt;z-index:-188744061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18160"/>
                          <wp:docPr id="8" name="Picutre 8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8" name="Picture 8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768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2411095</wp:posOffset>
              </wp:positionH>
              <wp:positionV relativeFrom="page">
                <wp:posOffset>998855</wp:posOffset>
              </wp:positionV>
              <wp:extent cx="2766060" cy="3797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79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189.84999999999999pt;margin-top:78.650000000000006pt;width:217.80000000000001pt;height:29.899999999999999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ARIPUANÀ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0" behindDoc="1" locked="0" layoutInCell="1" allowOverlap="1">
              <wp:simplePos x="0" y="0"/>
              <wp:positionH relativeFrom="page">
                <wp:posOffset>3535680</wp:posOffset>
              </wp:positionH>
              <wp:positionV relativeFrom="page">
                <wp:posOffset>344805</wp:posOffset>
              </wp:positionV>
              <wp:extent cx="494030" cy="562610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62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60705"/>
                                <wp:docPr id="18" name="Picutre 18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Picture 18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607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44" type="#_x0000_t202" style="position:absolute;margin-left:278.39999999999998pt;margin-top:27.149999999999999pt;width:38.899999999999999pt;height:44.299999999999997pt;z-index:-18874405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60705"/>
                          <wp:docPr id="20" name="Picutre 20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607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2" behindDoc="1" locked="0" layoutInCell="1" allowOverlap="1">
              <wp:simplePos x="0" y="0"/>
              <wp:positionH relativeFrom="page">
                <wp:posOffset>2402205</wp:posOffset>
              </wp:positionH>
              <wp:positionV relativeFrom="page">
                <wp:posOffset>1017270</wp:posOffset>
              </wp:positionV>
              <wp:extent cx="2766060" cy="388620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189.15000000000001pt;margin-top:80.099999999999994pt;width:217.80000000000001pt;height:30.600000000000001pt;z-index:-18874405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ARIPUANÀ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8" behindDoc="1" locked="0" layoutInCell="1" allowOverlap="1">
              <wp:simplePos x="0" y="0"/>
              <wp:positionH relativeFrom="page">
                <wp:posOffset>1035050</wp:posOffset>
              </wp:positionH>
              <wp:positionV relativeFrom="page">
                <wp:posOffset>349250</wp:posOffset>
              </wp:positionV>
              <wp:extent cx="397510" cy="457200"/>
              <wp:wrapNone/>
              <wp:docPr id="30" name="Shape 3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397510" cy="4572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396240" cy="457200"/>
                                <wp:docPr id="31" name="Picutre 31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1" name="Picture 31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396240" cy="45720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81.5pt;margin-top:27.5pt;width:31.300000000000001pt;height:36.pt;z-index:-18874404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396240" cy="457200"/>
                          <wp:docPr id="33" name="Picutre 33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3" name="Picture 33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396240" cy="45720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0" behindDoc="1" locked="0" layoutInCell="1" allowOverlap="1">
              <wp:simplePos x="0" y="0"/>
              <wp:positionH relativeFrom="page">
                <wp:posOffset>3549650</wp:posOffset>
              </wp:positionH>
              <wp:positionV relativeFrom="page">
                <wp:posOffset>349250</wp:posOffset>
              </wp:positionV>
              <wp:extent cx="488950" cy="516890"/>
              <wp:wrapNone/>
              <wp:docPr id="34" name="Shape 3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88950" cy="51689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87680" cy="518160"/>
                                <wp:docPr id="35" name="Picutre 35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5" name="Picture 35"/>
                                        <pic:cNvPicPr/>
                                      </pic:nvPicPr>
                                      <pic:blipFill>
                                        <a:blip r:embed="rId3"/>
                                        <a:stretch/>
                                      </pic:blipFill>
                                      <pic:spPr>
                                        <a:xfrm>
                                          <a:ext cx="487680" cy="518160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279.5pt;margin-top:27.5pt;width:38.5pt;height:40.700000000000003pt;z-index:-188744043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87680" cy="518160"/>
                          <wp:docPr id="37" name="Picutre 37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7" name="Picture 37"/>
                                  <pic:cNvPicPr/>
                                </pic:nvPicPr>
                                <pic:blipFill>
                                  <a:blip r:embed="rId3"/>
                                  <a:stretch/>
                                </pic:blipFill>
                                <pic:spPr>
                                  <a:xfrm>
                                    <a:ext cx="487680" cy="518160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2" behindDoc="1" locked="0" layoutInCell="1" allowOverlap="1">
              <wp:simplePos x="0" y="0"/>
              <wp:positionH relativeFrom="page">
                <wp:posOffset>2411095</wp:posOffset>
              </wp:positionH>
              <wp:positionV relativeFrom="page">
                <wp:posOffset>998855</wp:posOffset>
              </wp:positionV>
              <wp:extent cx="2766060" cy="379730"/>
              <wp:wrapNone/>
              <wp:docPr id="38" name="Shape 3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797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PT" w:eastAsia="pt-PT" w:bidi="pt-PT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4" type="#_x0000_t202" style="position:absolute;margin-left:189.84999999999999pt;margin-top:78.650000000000006pt;width:217.80000000000001pt;height:29.899999999999999pt;z-index:-18874404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PREFEITURA MUNICIPAL DE NOVO ARIPUANÀ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PT" w:eastAsia="pt-PT" w:bidi="pt-PT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8" behindDoc="1" locked="0" layoutInCell="1" allowOverlap="1">
              <wp:simplePos x="0" y="0"/>
              <wp:positionH relativeFrom="page">
                <wp:posOffset>3535680</wp:posOffset>
              </wp:positionH>
              <wp:positionV relativeFrom="page">
                <wp:posOffset>344805</wp:posOffset>
              </wp:positionV>
              <wp:extent cx="494030" cy="562610"/>
              <wp:wrapNone/>
              <wp:docPr id="48" name="Shape 48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494030" cy="56261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widowControl w:val="0"/>
                            <w:rPr>
                              <w:sz w:val="2"/>
                              <w:szCs w:val="2"/>
                            </w:rPr>
                          </w:pPr>
                          <w:r>
                            <w:drawing>
                              <wp:inline>
                                <wp:extent cx="494030" cy="560705"/>
                                <wp:docPr id="49" name="Picutre 49"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49" name="Picture 49"/>
                                        <pic:cNvPicPr/>
                                      </pic:nvPicPr>
                                      <pic:blipFill>
                                        <a:blip r:embed="rId1"/>
                                        <a:stretch/>
                                      </pic:blipFill>
                                      <pic:spPr>
                                        <a:xfrm>
                                          <a:ext cx="494030" cy="560705"/>
                                        </a:xfrm>
                                        <a:prstGeom prst="rect"/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278.39999999999998pt;margin-top:27.149999999999999pt;width:38.899999999999999pt;height:44.299999999999997pt;z-index:-188744035;mso-wrap-distance-left:0;mso-wrap-distance-right:0;mso-position-horizontal-relative:page;mso-position-vertical-relative:page" wrapcoords="0 0" filled="f" stroked="f">
              <v:textbox inset="0,0,0,0">
                <w:txbxContent>
                  <w:p>
                    <w:pPr>
                      <w:widowControl w:val="0"/>
                      <w:rPr>
                        <w:sz w:val="2"/>
                        <w:szCs w:val="2"/>
                      </w:rPr>
                    </w:pPr>
                    <w:r>
                      <w:drawing>
                        <wp:inline>
                          <wp:extent cx="494030" cy="560705"/>
                          <wp:docPr id="51" name="Picutre 51"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1" name="Picture 51"/>
                                  <pic:cNvPicPr/>
                                </pic:nvPicPr>
                                <pic:blipFill>
                                  <a:blip r:embed="rId1"/>
                                  <a:stretch/>
                                </pic:blipFill>
                                <pic:spPr>
                                  <a:xfrm>
                                    <a:ext cx="494030" cy="560705"/>
                                  </a:xfrm>
                                  <a:prstGeom prst="rect"/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0" behindDoc="1" locked="0" layoutInCell="1" allowOverlap="1">
              <wp:simplePos x="0" y="0"/>
              <wp:positionH relativeFrom="page">
                <wp:posOffset>2402205</wp:posOffset>
              </wp:positionH>
              <wp:positionV relativeFrom="page">
                <wp:posOffset>1017270</wp:posOffset>
              </wp:positionV>
              <wp:extent cx="2766060" cy="388620"/>
              <wp:wrapNone/>
              <wp:docPr id="52" name="Shape 5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766060" cy="38862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ESTADO DO AMAZONAS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PREFEITURA MUNICIPAL DE NOVO ARIPUANÀ</w:t>
                          </w:r>
                        </w:p>
                        <w:p>
                          <w:pPr>
                            <w:pStyle w:val="Style5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pacing w:val="0"/>
                              <w:w w:val="100"/>
                              <w:position w:val="0"/>
                              <w:shd w:val="clear" w:color="auto" w:fill="auto"/>
                              <w:lang w:val="pt-BR" w:eastAsia="pt-BR" w:bidi="pt-BR"/>
                            </w:rPr>
                            <w:t>GABINETE DO PREFEITO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8" type="#_x0000_t202" style="position:absolute;margin-left:189.15000000000001pt;margin-top:80.099999999999994pt;width:217.80000000000001pt;height:30.600000000000001pt;z-index:-18874403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ESTADO DO AMAZONAS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PREFEITURA MUNICIPAL DE NOVO ARIPUANÀ</w:t>
                    </w:r>
                  </w:p>
                  <w:p>
                    <w:pPr>
                      <w:pStyle w:val="Style5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pacing w:val="0"/>
                        <w:w w:val="100"/>
                        <w:position w:val="0"/>
                        <w:shd w:val="clear" w:color="auto" w:fill="auto"/>
                        <w:lang w:val="pt-BR" w:eastAsia="pt-BR" w:bidi="pt-BR"/>
                      </w:rPr>
                      <w:t>GABINETE DO PREFEITO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2">
    <w:multiLevelType w:val="multilevel"/>
    <w:lvl w:ilvl="0">
      <w:start w:val="9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8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0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2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BR" w:eastAsia="pt-BR" w:bidi="pt-BR"/>
      </w:rPr>
    </w:lvl>
  </w:abstractNum>
  <w:abstractNum w:abstractNumId="14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abstractNum w:abstractNumId="16">
    <w:multiLevelType w:val="multilevel"/>
    <w:lvl w:ilvl="0">
      <w:start w:val="1"/>
      <w:numFmt w:val="upperRoman"/>
      <w:lvlText w:val="%1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t-PT" w:eastAsia="pt-PT" w:bidi="pt-PT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  <w:num w:numId="15">
    <w:abstractNumId w:val="14"/>
  </w:num>
  <w:num w:numId="17">
    <w:abstractNumId w:val="16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1_"/>
    <w:basedOn w:val="DefaultParagraphFont"/>
    <w:link w:val="Style2"/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6">
    <w:name w:val="Header or footer|2_"/>
    <w:basedOn w:val="DefaultParagraphFont"/>
    <w:link w:val="Style5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9">
    <w:name w:val="Heading #2|1_"/>
    <w:basedOn w:val="DefaultParagraphFont"/>
    <w:link w:val="Style8"/>
    <w:rPr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12">
    <w:name w:val="Body text|3_"/>
    <w:basedOn w:val="DefaultParagraphFont"/>
    <w:link w:val="Style11"/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12"/>
      <w:szCs w:val="12"/>
      <w:u w:val="none"/>
    </w:rPr>
  </w:style>
  <w:style w:type="character" w:customStyle="1" w:styleId="CharStyle14">
    <w:name w:val="Heading #1|1_"/>
    <w:basedOn w:val="DefaultParagraphFont"/>
    <w:link w:val="Style13"/>
    <w:rPr>
      <w:rFonts w:ascii="Arial" w:eastAsia="Arial" w:hAnsi="Arial" w:cs="Arial"/>
      <w:b/>
      <w:bCs/>
      <w:i w:val="0"/>
      <w:iCs w:val="0"/>
      <w:smallCaps w:val="0"/>
      <w:strike w:val="0"/>
      <w:color w:val="6972A1"/>
      <w:w w:val="60"/>
      <w:sz w:val="34"/>
      <w:szCs w:val="34"/>
      <w:u w:val="none"/>
      <w:lang w:val="pt-BR" w:eastAsia="pt-BR" w:bidi="pt-BR"/>
    </w:rPr>
  </w:style>
  <w:style w:type="character" w:customStyle="1" w:styleId="CharStyle16">
    <w:name w:val="Body text|5_"/>
    <w:basedOn w:val="DefaultParagraphFont"/>
    <w:link w:val="Style15"/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8"/>
      <w:szCs w:val="8"/>
      <w:u w:val="none"/>
      <w:lang w:val="pt-BR" w:eastAsia="pt-BR" w:bidi="pt-BR"/>
    </w:rPr>
  </w:style>
  <w:style w:type="character" w:customStyle="1" w:styleId="CharStyle19">
    <w:name w:val="Body text|4_"/>
    <w:basedOn w:val="DefaultParagraphFont"/>
    <w:link w:val="Style18"/>
    <w:rPr>
      <w:rFonts w:ascii="Arial" w:eastAsia="Arial" w:hAnsi="Arial" w:cs="Arial"/>
      <w:b/>
      <w:bCs/>
      <w:i w:val="0"/>
      <w:iCs w:val="0"/>
      <w:smallCaps w:val="0"/>
      <w:strike w:val="0"/>
      <w:color w:val="E5B397"/>
      <w:sz w:val="9"/>
      <w:szCs w:val="9"/>
      <w:u w:val="none"/>
    </w:rPr>
  </w:style>
  <w:style w:type="character" w:customStyle="1" w:styleId="CharStyle23">
    <w:name w:val="Picture caption|1_"/>
    <w:basedOn w:val="DefaultParagraphFont"/>
    <w:link w:val="Style22"/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12"/>
      <w:szCs w:val="12"/>
      <w:u w:val="none"/>
    </w:rPr>
  </w:style>
  <w:style w:type="character" w:customStyle="1" w:styleId="CharStyle26">
    <w:name w:val="Body text|6_"/>
    <w:basedOn w:val="DefaultParagraphFont"/>
    <w:link w:val="Style25"/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character" w:customStyle="1" w:styleId="CharStyle28">
    <w:name w:val="Body text|2_"/>
    <w:basedOn w:val="DefaultParagraphFont"/>
    <w:link w:val="Style27"/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  <w:style w:type="paragraph" w:customStyle="1" w:styleId="Style2">
    <w:name w:val="Body text|1"/>
    <w:basedOn w:val="Normal"/>
    <w:link w:val="CharStyle3"/>
    <w:pPr>
      <w:widowControl w:val="0"/>
      <w:shd w:val="clear" w:color="auto" w:fill="FFFFFF"/>
      <w:spacing w:line="300" w:lineRule="auto"/>
    </w:pPr>
    <w:rPr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5">
    <w:name w:val="Header or footer|2"/>
    <w:basedOn w:val="Normal"/>
    <w:link w:val="CharStyle6"/>
    <w:pPr>
      <w:widowControl w:val="0"/>
      <w:shd w:val="clear" w:color="auto" w:fill="FFFFFF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8">
    <w:name w:val="Heading #2|1"/>
    <w:basedOn w:val="Normal"/>
    <w:link w:val="CharStyle9"/>
    <w:pPr>
      <w:widowControl w:val="0"/>
      <w:shd w:val="clear" w:color="auto" w:fill="FFFFFF"/>
      <w:spacing w:after="340"/>
      <w:jc w:val="center"/>
      <w:outlineLvl w:val="1"/>
    </w:pPr>
    <w:rPr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11">
    <w:name w:val="Body text|3"/>
    <w:basedOn w:val="Normal"/>
    <w:link w:val="CharStyle12"/>
    <w:pPr>
      <w:widowControl w:val="0"/>
      <w:shd w:val="clear" w:color="auto" w:fill="FFFFFF"/>
      <w:ind w:left="200"/>
    </w:pPr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12"/>
      <w:szCs w:val="12"/>
      <w:u w:val="none"/>
    </w:rPr>
  </w:style>
  <w:style w:type="paragraph" w:customStyle="1" w:styleId="Style13">
    <w:name w:val="Heading #1|1"/>
    <w:basedOn w:val="Normal"/>
    <w:link w:val="CharStyle14"/>
    <w:pPr>
      <w:widowControl w:val="0"/>
      <w:shd w:val="clear" w:color="auto" w:fill="FFFFFF"/>
      <w:spacing w:after="1250" w:line="223" w:lineRule="auto"/>
      <w:ind w:left="110"/>
      <w:outlineLvl w:val="0"/>
    </w:pPr>
    <w:rPr>
      <w:rFonts w:ascii="Arial" w:eastAsia="Arial" w:hAnsi="Arial" w:cs="Arial"/>
      <w:b/>
      <w:bCs/>
      <w:i w:val="0"/>
      <w:iCs w:val="0"/>
      <w:smallCaps w:val="0"/>
      <w:strike w:val="0"/>
      <w:color w:val="6972A1"/>
      <w:w w:val="60"/>
      <w:sz w:val="34"/>
      <w:szCs w:val="34"/>
      <w:u w:val="none"/>
      <w:lang w:val="pt-BR" w:eastAsia="pt-BR" w:bidi="pt-BR"/>
    </w:rPr>
  </w:style>
  <w:style w:type="paragraph" w:customStyle="1" w:styleId="Style15">
    <w:name w:val="Body text|5"/>
    <w:basedOn w:val="Normal"/>
    <w:link w:val="CharStyle16"/>
    <w:pPr>
      <w:widowControl w:val="0"/>
      <w:shd w:val="clear" w:color="auto" w:fill="FFFFFF"/>
      <w:ind w:left="1260"/>
    </w:pPr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8"/>
      <w:szCs w:val="8"/>
      <w:u w:val="none"/>
      <w:lang w:val="pt-BR" w:eastAsia="pt-BR" w:bidi="pt-BR"/>
    </w:rPr>
  </w:style>
  <w:style w:type="paragraph" w:customStyle="1" w:styleId="Style18">
    <w:name w:val="Body text|4"/>
    <w:basedOn w:val="Normal"/>
    <w:link w:val="CharStyle19"/>
    <w:pPr>
      <w:widowControl w:val="0"/>
      <w:shd w:val="clear" w:color="auto" w:fill="FFFFFF"/>
      <w:spacing w:after="300" w:line="216" w:lineRule="auto"/>
      <w:ind w:left="200"/>
    </w:pPr>
    <w:rPr>
      <w:rFonts w:ascii="Arial" w:eastAsia="Arial" w:hAnsi="Arial" w:cs="Arial"/>
      <w:b/>
      <w:bCs/>
      <w:i w:val="0"/>
      <w:iCs w:val="0"/>
      <w:smallCaps w:val="0"/>
      <w:strike w:val="0"/>
      <w:color w:val="E5B397"/>
      <w:sz w:val="9"/>
      <w:szCs w:val="9"/>
      <w:u w:val="none"/>
    </w:rPr>
  </w:style>
  <w:style w:type="paragraph" w:customStyle="1" w:styleId="Style22">
    <w:name w:val="Picture caption|1"/>
    <w:basedOn w:val="Normal"/>
    <w:link w:val="CharStyle23"/>
    <w:pPr>
      <w:widowControl w:val="0"/>
      <w:shd w:val="clear" w:color="auto" w:fill="FFFFFF"/>
    </w:pPr>
    <w:rPr>
      <w:rFonts w:ascii="Arial" w:eastAsia="Arial" w:hAnsi="Arial" w:cs="Arial"/>
      <w:b/>
      <w:bCs/>
      <w:i w:val="0"/>
      <w:iCs w:val="0"/>
      <w:smallCaps w:val="0"/>
      <w:strike w:val="0"/>
      <w:color w:val="6972A1"/>
      <w:sz w:val="12"/>
      <w:szCs w:val="12"/>
      <w:u w:val="none"/>
    </w:rPr>
  </w:style>
  <w:style w:type="paragraph" w:customStyle="1" w:styleId="Style25">
    <w:name w:val="Body text|6"/>
    <w:basedOn w:val="Normal"/>
    <w:link w:val="CharStyle26"/>
    <w:pPr>
      <w:widowControl w:val="0"/>
      <w:shd w:val="clear" w:color="auto" w:fill="FFFFFF"/>
      <w:spacing w:after="24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8"/>
      <w:szCs w:val="18"/>
      <w:u w:val="single"/>
    </w:rPr>
  </w:style>
  <w:style w:type="paragraph" w:customStyle="1" w:styleId="Style27">
    <w:name w:val="Body text|2"/>
    <w:basedOn w:val="Normal"/>
    <w:link w:val="CharStyle28"/>
    <w:pPr>
      <w:widowControl w:val="0"/>
      <w:shd w:val="clear" w:color="auto" w:fill="FFFFFF"/>
      <w:spacing w:after="440" w:line="257" w:lineRule="auto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5"/>
      <w:szCs w:val="15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header" Target="header2.xml"/><Relationship Id="rId8" Type="http://schemas.openxmlformats.org/officeDocument/2006/relationships/footer" Target="footer2.xml"/><Relationship Id="rId9" Type="http://schemas.openxmlformats.org/officeDocument/2006/relationships/image" Target="media/image6.jpeg"/><Relationship Id="rId10" Type="http://schemas.openxmlformats.org/officeDocument/2006/relationships/image" Target="media/image6.jpeg" TargetMode="External"/><Relationship Id="rId11" Type="http://schemas.openxmlformats.org/officeDocument/2006/relationships/header" Target="header3.xml"/><Relationship Id="rId12" Type="http://schemas.openxmlformats.org/officeDocument/2006/relationships/footer" Target="footer3.xml"/><Relationship Id="rId13" Type="http://schemas.openxmlformats.org/officeDocument/2006/relationships/header" Target="header4.xml"/><Relationship Id="rId14" Type="http://schemas.openxmlformats.org/officeDocument/2006/relationships/footer" Target="footer4.xml"/><Relationship Id="rId15" Type="http://schemas.openxmlformats.org/officeDocument/2006/relationships/image" Target="media/image7.jpeg"/><Relationship Id="rId16" Type="http://schemas.openxmlformats.org/officeDocument/2006/relationships/image" Target="media/image7.jpeg" TargetMode="External"/><Relationship Id="rId17" Type="http://schemas.openxmlformats.org/officeDocument/2006/relationships/image" Target="media/image8.jpeg"/><Relationship Id="rId18" Type="http://schemas.openxmlformats.org/officeDocument/2006/relationships/image" Target="media/image8.jpeg" TargetMode="External"/><Relationship Id="rId19" Type="http://schemas.openxmlformats.org/officeDocument/2006/relationships/header" Target="header5.xml"/><Relationship Id="rId20" Type="http://schemas.openxmlformats.org/officeDocument/2006/relationships/footer" Target="footer5.xml"/><Relationship Id="rId21" Type="http://schemas.openxmlformats.org/officeDocument/2006/relationships/image" Target="media/image9.png"/><Relationship Id="rId22" Type="http://schemas.openxmlformats.org/officeDocument/2006/relationships/image" Target="media/image9.png" TargetMode=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foot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3.jpeg"/><Relationship Id="rId2" Type="http://schemas.openxmlformats.org/officeDocument/2006/relationships/image" Target="media/image3.jpeg" TargetMode="External"/></Relationships>
</file>

<file path=word/_rels/foot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5.jpeg"/><Relationship Id="rId2" Type="http://schemas.openxmlformats.org/officeDocument/2006/relationships/image" Target="media/image5.jpeg" TargetMode=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Relationship Id="rId3" Type="http://schemas.openxmlformats.org/officeDocument/2006/relationships/image" Target="media/image2.jpeg"/><Relationship Id="rId4" Type="http://schemas.openxmlformats.org/officeDocument/2006/relationships/image" Target="media/image2.jpeg" TargetMode=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

<file path=word/_rels/header3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1.jpeg"/><Relationship Id="rId2" Type="http://schemas.openxmlformats.org/officeDocument/2006/relationships/image" Target="media/image1.jpeg" TargetMode="External"/><Relationship Id="rId3" Type="http://schemas.openxmlformats.org/officeDocument/2006/relationships/image" Target="media/image2.jpeg"/><Relationship Id="rId4" Type="http://schemas.openxmlformats.org/officeDocument/2006/relationships/image" Target="media/image2.jpeg" TargetMode="External"/></Relationships>
</file>

<file path=word/_rels/header4.xml.rels>&#65279;<?xml version="1.0" encoding="UTF-8" standalone="yes"?>
<Relationships xmlns="http://schemas.openxmlformats.org/package/2006/relationships"><Relationship Id="rId1" Type="http://schemas.openxmlformats.org/officeDocument/2006/relationships/image" Target="media/image4.jpeg"/><Relationship Id="rId2" Type="http://schemas.openxmlformats.org/officeDocument/2006/relationships/image" Target="media/image4.jpeg" TargetMode="External"/></Relationships>
</file>