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64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LEI MUNICIPAL N</w:t>
      </w:r>
      <w:r>
        <w:rPr>
          <w:rFonts w:ascii="Times New Roman" w:eastAsia="Times New Roman" w:hAnsi="Times New Roman" w:cs="Times New Roman"/>
          <w:color w:val="000000"/>
          <w:spacing w:val="0"/>
          <w:w w:val="100"/>
          <w:position w:val="0"/>
          <w:shd w:val="clear" w:color="auto" w:fill="auto"/>
          <w:vertAlign w:val="superscript"/>
          <w:lang w:val="pt-PT" w:eastAsia="pt-PT" w:bidi="pt-PT"/>
        </w:rPr>
        <w:t>9</w:t>
      </w:r>
      <w:r>
        <w:rPr>
          <w:rFonts w:ascii="Times New Roman" w:eastAsia="Times New Roman" w:hAnsi="Times New Roman" w:cs="Times New Roman"/>
          <w:color w:val="000000"/>
          <w:spacing w:val="0"/>
          <w:w w:val="100"/>
          <w:position w:val="0"/>
          <w:shd w:val="clear" w:color="auto" w:fill="auto"/>
          <w:lang w:val="pt-PT" w:eastAsia="pt-PT" w:bidi="pt-PT"/>
        </w:rPr>
        <w:t xml:space="preserve"> 478, DE 21 DE JULHO DE 2025.</w:t>
      </w:r>
    </w:p>
    <w:p>
      <w:pPr>
        <w:pStyle w:val="Style2"/>
        <w:keepNext w:val="0"/>
        <w:keepLines w:val="0"/>
        <w:widowControl w:val="0"/>
        <w:shd w:val="clear" w:color="auto" w:fill="auto"/>
        <w:bidi w:val="0"/>
        <w:spacing w:before="0" w:after="0" w:line="264" w:lineRule="auto"/>
        <w:ind w:left="498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DISPÕE SOBRE AS DIRETRIZES PARA A ELABORAÇÃO DA LEI </w:t>
      </w:r>
      <w:r>
        <w:rPr>
          <w:rFonts w:ascii="Times New Roman" w:eastAsia="Times New Roman" w:hAnsi="Times New Roman" w:cs="Times New Roman"/>
          <w:color w:val="000000"/>
          <w:spacing w:val="0"/>
          <w:w w:val="100"/>
          <w:position w:val="0"/>
          <w:shd w:val="clear" w:color="auto" w:fill="auto"/>
          <w:lang w:val="pt-BR" w:eastAsia="pt-BR" w:bidi="pt-BR"/>
        </w:rPr>
        <w:t>ORÇAMENTÁRIA</w:t>
      </w:r>
    </w:p>
    <w:p>
      <w:pPr>
        <w:pStyle w:val="Style2"/>
        <w:keepNext w:val="0"/>
        <w:keepLines w:val="0"/>
        <w:widowControl w:val="0"/>
        <w:shd w:val="clear" w:color="auto" w:fill="auto"/>
        <w:bidi w:val="0"/>
        <w:spacing w:before="0" w:after="0" w:line="264" w:lineRule="auto"/>
        <w:ind w:left="498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PARA O EXERCÍCIO DE 2026, E DÁ OUTRAS</w:t>
      </w:r>
    </w:p>
    <w:p>
      <w:pPr>
        <w:pStyle w:val="Style2"/>
        <w:keepNext w:val="0"/>
        <w:keepLines w:val="0"/>
        <w:widowControl w:val="0"/>
        <w:shd w:val="clear" w:color="auto" w:fill="auto"/>
        <w:bidi w:val="0"/>
        <w:spacing w:before="0" w:line="264" w:lineRule="auto"/>
        <w:ind w:left="498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PROVIDÊNCIAS.</w:t>
      </w:r>
    </w:p>
    <w:p>
      <w:pPr>
        <w:pStyle w:val="Style8"/>
        <w:keepNext w:val="0"/>
        <w:keepLines w:val="0"/>
        <w:widowControl w:val="0"/>
        <w:shd w:val="clear" w:color="auto" w:fill="auto"/>
        <w:bidi w:val="0"/>
        <w:spacing w:before="0" w:after="580" w:line="288"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 </w:t>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PREFEITA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MUNICIPAL DE MAUÉS, </w:t>
      </w:r>
      <w:r>
        <w:rPr>
          <w:color w:val="000000"/>
          <w:spacing w:val="0"/>
          <w:w w:val="100"/>
          <w:position w:val="0"/>
          <w:shd w:val="clear" w:color="auto" w:fill="auto"/>
          <w:lang w:val="pt-PT" w:eastAsia="pt-PT" w:bidi="pt-PT"/>
        </w:rPr>
        <w:t>Estado Amazonas, faz saber a todos os habitantes do Município, que encaminhou para análise e aprovação na Câmara Municipal a seguinte:</w:t>
      </w:r>
    </w:p>
    <w:p>
      <w:pPr>
        <w:pStyle w:val="Style2"/>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LEI:</w:t>
      </w:r>
    </w:p>
    <w:p>
      <w:pPr>
        <w:pStyle w:val="Style8"/>
        <w:keepNext w:val="0"/>
        <w:keepLines w:val="0"/>
        <w:widowControl w:val="0"/>
        <w:shd w:val="clear" w:color="auto" w:fill="auto"/>
        <w:bidi w:val="0"/>
        <w:spacing w:before="0" w:line="28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Art l</w:t>
      </w:r>
      <w:r>
        <w:rPr>
          <w:rFonts w:ascii="Times New Roman" w:eastAsia="Times New Roman" w:hAnsi="Times New Roman" w:cs="Times New Roman"/>
          <w:b/>
          <w:bCs/>
          <w:color w:val="000000"/>
          <w:spacing w:val="0"/>
          <w:w w:val="100"/>
          <w:position w:val="0"/>
          <w:sz w:val="22"/>
          <w:szCs w:val="22"/>
          <w:shd w:val="clear" w:color="auto" w:fill="auto"/>
          <w:vertAlign w:val="superscript"/>
          <w:lang w:val="pt-PT" w:eastAsia="pt-PT" w:bidi="pt-PT"/>
        </w:rPr>
        <w:t>9</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 - </w:t>
      </w:r>
      <w:r>
        <w:rPr>
          <w:color w:val="000000"/>
          <w:spacing w:val="0"/>
          <w:w w:val="100"/>
          <w:position w:val="0"/>
          <w:shd w:val="clear" w:color="auto" w:fill="auto"/>
          <w:lang w:val="pt-PT" w:eastAsia="pt-PT" w:bidi="pt-PT"/>
        </w:rPr>
        <w:t>O Orçamento do Município de MAUÉS, Estado Amazonas, para o exercício de 2026 será elaborado e executado observando as diretrizes, objetivos, prioridades e metas estabelecidas nesta lei, compreendendo:</w:t>
      </w:r>
    </w:p>
    <w:p>
      <w:pPr>
        <w:pStyle w:val="Style8"/>
        <w:keepNext w:val="0"/>
        <w:keepLines w:val="0"/>
        <w:widowControl w:val="0"/>
        <w:numPr>
          <w:ilvl w:val="0"/>
          <w:numId w:val="1"/>
        </w:numPr>
        <w:shd w:val="clear" w:color="auto" w:fill="auto"/>
        <w:tabs>
          <w:tab w:pos="245" w:val="left"/>
        </w:tabs>
        <w:bidi w:val="0"/>
        <w:spacing w:before="0" w:after="0" w:line="295" w:lineRule="auto"/>
        <w:ind w:left="0" w:right="0" w:firstLine="0"/>
        <w:jc w:val="both"/>
      </w:pPr>
      <w:r>
        <w:rPr>
          <w:color w:val="000000"/>
          <w:spacing w:val="0"/>
          <w:w w:val="100"/>
          <w:position w:val="0"/>
          <w:shd w:val="clear" w:color="auto" w:fill="auto"/>
          <w:lang w:val="pt-PT" w:eastAsia="pt-PT" w:bidi="pt-PT"/>
        </w:rPr>
        <w:t>- as Metas Fiscais;</w:t>
      </w:r>
    </w:p>
    <w:p>
      <w:pPr>
        <w:pStyle w:val="Style8"/>
        <w:keepNext w:val="0"/>
        <w:keepLines w:val="0"/>
        <w:widowControl w:val="0"/>
        <w:numPr>
          <w:ilvl w:val="0"/>
          <w:numId w:val="1"/>
        </w:numPr>
        <w:shd w:val="clear" w:color="auto" w:fill="auto"/>
        <w:tabs>
          <w:tab w:pos="306" w:val="left"/>
        </w:tabs>
        <w:bidi w:val="0"/>
        <w:spacing w:before="0" w:after="0" w:line="295" w:lineRule="auto"/>
        <w:ind w:left="0" w:right="0" w:firstLine="0"/>
        <w:jc w:val="both"/>
      </w:pPr>
      <w:r>
        <w:rPr>
          <w:color w:val="000000"/>
          <w:spacing w:val="0"/>
          <w:w w:val="100"/>
          <w:position w:val="0"/>
          <w:shd w:val="clear" w:color="auto" w:fill="auto"/>
          <w:lang w:val="pt-PT" w:eastAsia="pt-PT" w:bidi="pt-PT"/>
        </w:rPr>
        <w:t>- as Prioridades da Administração Municipal;</w:t>
      </w:r>
    </w:p>
    <w:p>
      <w:pPr>
        <w:pStyle w:val="Style8"/>
        <w:keepNext w:val="0"/>
        <w:keepLines w:val="0"/>
        <w:widowControl w:val="0"/>
        <w:numPr>
          <w:ilvl w:val="0"/>
          <w:numId w:val="1"/>
        </w:numPr>
        <w:shd w:val="clear" w:color="auto" w:fill="auto"/>
        <w:tabs>
          <w:tab w:pos="373" w:val="left"/>
        </w:tabs>
        <w:bidi w:val="0"/>
        <w:spacing w:before="0" w:after="0" w:line="295" w:lineRule="auto"/>
        <w:ind w:left="0" w:right="0" w:firstLine="0"/>
        <w:jc w:val="both"/>
      </w:pPr>
      <w:r>
        <w:rPr>
          <w:color w:val="000000"/>
          <w:spacing w:val="0"/>
          <w:w w:val="100"/>
          <w:position w:val="0"/>
          <w:shd w:val="clear" w:color="auto" w:fill="auto"/>
          <w:lang w:val="pt-PT" w:eastAsia="pt-PT" w:bidi="pt-PT"/>
        </w:rPr>
        <w:t>- a Estrutura dos Orçamentos;</w:t>
      </w:r>
    </w:p>
    <w:p>
      <w:pPr>
        <w:pStyle w:val="Style8"/>
        <w:keepNext w:val="0"/>
        <w:keepLines w:val="0"/>
        <w:widowControl w:val="0"/>
        <w:numPr>
          <w:ilvl w:val="0"/>
          <w:numId w:val="1"/>
        </w:numPr>
        <w:shd w:val="clear" w:color="auto" w:fill="auto"/>
        <w:tabs>
          <w:tab w:pos="373" w:val="left"/>
        </w:tabs>
        <w:bidi w:val="0"/>
        <w:spacing w:before="0" w:after="0" w:line="295" w:lineRule="auto"/>
        <w:ind w:left="0" w:right="0" w:firstLine="0"/>
        <w:jc w:val="both"/>
      </w:pPr>
      <w:r>
        <w:rPr>
          <w:color w:val="000000"/>
          <w:spacing w:val="0"/>
          <w:w w:val="100"/>
          <w:position w:val="0"/>
          <w:shd w:val="clear" w:color="auto" w:fill="auto"/>
          <w:lang w:val="pt-PT" w:eastAsia="pt-PT" w:bidi="pt-PT"/>
        </w:rPr>
        <w:t>- as Diretrizes para a Elaboração do Orçamento do Município;</w:t>
      </w:r>
    </w:p>
    <w:p>
      <w:pPr>
        <w:pStyle w:val="Style8"/>
        <w:keepNext w:val="0"/>
        <w:keepLines w:val="0"/>
        <w:widowControl w:val="0"/>
        <w:numPr>
          <w:ilvl w:val="0"/>
          <w:numId w:val="1"/>
        </w:numPr>
        <w:shd w:val="clear" w:color="auto" w:fill="auto"/>
        <w:tabs>
          <w:tab w:pos="373" w:val="left"/>
        </w:tabs>
        <w:bidi w:val="0"/>
        <w:spacing w:before="0" w:after="0" w:line="295" w:lineRule="auto"/>
        <w:ind w:left="0" w:right="0" w:firstLine="0"/>
        <w:jc w:val="both"/>
      </w:pPr>
      <w:r>
        <w:rPr>
          <w:color w:val="000000"/>
          <w:spacing w:val="0"/>
          <w:w w:val="100"/>
          <w:position w:val="0"/>
          <w:shd w:val="clear" w:color="auto" w:fill="auto"/>
          <w:lang w:val="pt-PT" w:eastAsia="pt-PT" w:bidi="pt-PT"/>
        </w:rPr>
        <w:t>- as Disposições sobre a Dívida Pública Municipal;</w:t>
      </w:r>
    </w:p>
    <w:p>
      <w:pPr>
        <w:pStyle w:val="Style8"/>
        <w:keepNext w:val="0"/>
        <w:keepLines w:val="0"/>
        <w:widowControl w:val="0"/>
        <w:numPr>
          <w:ilvl w:val="0"/>
          <w:numId w:val="1"/>
        </w:numPr>
        <w:shd w:val="clear" w:color="auto" w:fill="auto"/>
        <w:tabs>
          <w:tab w:pos="373" w:val="left"/>
        </w:tabs>
        <w:bidi w:val="0"/>
        <w:spacing w:before="0" w:after="0" w:line="295" w:lineRule="auto"/>
        <w:ind w:left="0" w:right="0" w:firstLine="0"/>
        <w:jc w:val="both"/>
      </w:pPr>
      <w:r>
        <w:rPr>
          <w:color w:val="000000"/>
          <w:spacing w:val="0"/>
          <w:w w:val="100"/>
          <w:position w:val="0"/>
          <w:shd w:val="clear" w:color="auto" w:fill="auto"/>
          <w:lang w:val="pt-PT" w:eastAsia="pt-PT" w:bidi="pt-PT"/>
        </w:rPr>
        <w:t>- as Disposições sobre Despesas com Pessoal;</w:t>
      </w:r>
    </w:p>
    <w:p>
      <w:pPr>
        <w:pStyle w:val="Style8"/>
        <w:keepNext w:val="0"/>
        <w:keepLines w:val="0"/>
        <w:widowControl w:val="0"/>
        <w:numPr>
          <w:ilvl w:val="0"/>
          <w:numId w:val="1"/>
        </w:numPr>
        <w:shd w:val="clear" w:color="auto" w:fill="auto"/>
        <w:tabs>
          <w:tab w:pos="440" w:val="left"/>
        </w:tabs>
        <w:bidi w:val="0"/>
        <w:spacing w:before="0" w:after="0" w:line="295" w:lineRule="auto"/>
        <w:ind w:left="0" w:right="0" w:firstLine="0"/>
        <w:jc w:val="both"/>
      </w:pPr>
      <w:r>
        <w:rPr>
          <w:color w:val="000000"/>
          <w:spacing w:val="0"/>
          <w:w w:val="100"/>
          <w:position w:val="0"/>
          <w:shd w:val="clear" w:color="auto" w:fill="auto"/>
          <w:lang w:val="pt-PT" w:eastAsia="pt-PT" w:bidi="pt-PT"/>
        </w:rPr>
        <w:t>- as Disposições sobre Alterações na Legislação Tributária; e</w:t>
      </w:r>
    </w:p>
    <w:p>
      <w:pPr>
        <w:pStyle w:val="Style8"/>
        <w:keepNext w:val="0"/>
        <w:keepLines w:val="0"/>
        <w:widowControl w:val="0"/>
        <w:numPr>
          <w:ilvl w:val="0"/>
          <w:numId w:val="1"/>
        </w:numPr>
        <w:shd w:val="clear" w:color="auto" w:fill="auto"/>
        <w:tabs>
          <w:tab w:pos="526" w:val="left"/>
        </w:tabs>
        <w:bidi w:val="0"/>
        <w:spacing w:before="0" w:after="540" w:line="295" w:lineRule="auto"/>
        <w:ind w:left="0" w:right="0" w:firstLine="0"/>
        <w:jc w:val="both"/>
      </w:pPr>
      <w:r>
        <w:rPr>
          <w:color w:val="000000"/>
          <w:spacing w:val="0"/>
          <w:w w:val="100"/>
          <w:position w:val="0"/>
          <w:shd w:val="clear" w:color="auto" w:fill="auto"/>
          <w:lang w:val="pt-PT" w:eastAsia="pt-PT" w:bidi="pt-PT"/>
        </w:rPr>
        <w:t>- as Disposições Gerais.</w:t>
      </w:r>
    </w:p>
    <w:p>
      <w:pPr>
        <w:pStyle w:val="Style2"/>
        <w:keepNext w:val="0"/>
        <w:keepLines w:val="0"/>
        <w:widowControl w:val="0"/>
        <w:numPr>
          <w:ilvl w:val="0"/>
          <w:numId w:val="3"/>
        </w:numPr>
        <w:shd w:val="clear" w:color="auto" w:fill="auto"/>
        <w:tabs>
          <w:tab w:pos="3837" w:val="left"/>
        </w:tabs>
        <w:bidi w:val="0"/>
        <w:spacing w:before="0" w:line="240" w:lineRule="auto"/>
        <w:ind w:left="35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DAS METAS FISCAIS</w:t>
      </w:r>
    </w:p>
    <w:p>
      <w:pPr>
        <w:pStyle w:val="Style8"/>
        <w:keepNext w:val="0"/>
        <w:keepLines w:val="0"/>
        <w:widowControl w:val="0"/>
        <w:shd w:val="clear" w:color="auto" w:fill="auto"/>
        <w:bidi w:val="0"/>
        <w:spacing w:before="0" w:line="29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w:t>
      </w:r>
      <w:r>
        <w:rPr>
          <w:color w:val="000000"/>
          <w:spacing w:val="0"/>
          <w:w w:val="100"/>
          <w:position w:val="0"/>
          <w:shd w:val="clear" w:color="auto" w:fill="auto"/>
          <w:lang w:val="pt-PT" w:eastAsia="pt-PT" w:bidi="pt-PT"/>
        </w:rPr>
        <w:t>2</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 Em cumprimento ao estabelecido no artigo 4</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da Lei Complementar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101, de 4 de maio de 2000, as metas fiscais de receitas, despesas, resultado primário, nominal e montante da dívida pública para o exercício de 2026, estão identificados nos Demonstrativos desta Lei, em conformidade com a Portaria STN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1.447, de 14 de junho de 2022.</w:t>
      </w:r>
    </w:p>
    <w:p>
      <w:pPr>
        <w:pStyle w:val="Style8"/>
        <w:keepNext w:val="0"/>
        <w:keepLines w:val="0"/>
        <w:widowControl w:val="0"/>
        <w:shd w:val="clear" w:color="auto" w:fill="auto"/>
        <w:bidi w:val="0"/>
        <w:spacing w:before="0" w:line="29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w:t>
      </w:r>
      <w:r>
        <w:rPr>
          <w:color w:val="000000"/>
          <w:spacing w:val="0"/>
          <w:w w:val="100"/>
          <w:position w:val="0"/>
          <w:shd w:val="clear" w:color="auto" w:fill="auto"/>
          <w:lang w:val="pt-PT" w:eastAsia="pt-PT" w:bidi="pt-PT"/>
        </w:rPr>
        <w:t>3</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 A Lei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Anual abrangerá as Entidades da Administração Direta, Indireta constituídas pelas Autarquias, Fundações, Fundos, Empresas Públicas e Sociedades de Economia Mista que recebem recursos do Orçamento Fiscal e da Seguridade Social.</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Art. 4</w:t>
      </w:r>
      <w:r>
        <w:rPr>
          <w:rFonts w:ascii="Times New Roman" w:eastAsia="Times New Roman" w:hAnsi="Times New Roman" w:cs="Times New Roman"/>
          <w:b/>
          <w:bCs/>
          <w:color w:val="000000"/>
          <w:spacing w:val="0"/>
          <w:w w:val="100"/>
          <w:position w:val="0"/>
          <w:sz w:val="22"/>
          <w:szCs w:val="22"/>
          <w:shd w:val="clear" w:color="auto" w:fill="auto"/>
          <w:vertAlign w:val="superscript"/>
          <w:lang w:val="pt-PT" w:eastAsia="pt-PT" w:bidi="pt-PT"/>
        </w:rPr>
        <w:t>e</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 - </w:t>
      </w:r>
      <w:r>
        <w:rPr>
          <w:color w:val="000000"/>
          <w:spacing w:val="0"/>
          <w:w w:val="100"/>
          <w:position w:val="0"/>
          <w:shd w:val="clear" w:color="auto" w:fill="auto"/>
          <w:lang w:val="pt-PT" w:eastAsia="pt-PT" w:bidi="pt-PT"/>
        </w:rPr>
        <w:t>O Anexo de Riscos Fiscais, § 3</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do art. 4</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da LRF, obedece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determinações do MANUAL DE</w:t>
      </w:r>
    </w:p>
    <w:p>
      <w:pPr>
        <w:widowControl w:val="0"/>
        <w:jc w:val="left"/>
        <w:rPr>
          <w:sz w:val="2"/>
          <w:szCs w:val="2"/>
        </w:rPr>
        <w:sectPr>
          <w:headerReference w:type="default" r:id="rId5"/>
          <w:footerReference w:type="default" r:id="rId6"/>
          <w:footnotePr>
            <w:pos w:val="pageBottom"/>
            <w:numFmt w:val="decimal"/>
            <w:numRestart w:val="continuous"/>
          </w:footnotePr>
          <w:pgSz w:w="11900" w:h="16840"/>
          <w:pgMar w:top="2703" w:left="1260" w:right="1222" w:bottom="629" w:header="0" w:footer="3" w:gutter="0"/>
          <w:pgNumType w:start="1"/>
          <w:cols w:space="720"/>
          <w:noEndnote/>
          <w:rtlGutter w:val="0"/>
          <w:docGrid w:linePitch="360"/>
        </w:sectPr>
      </w:pPr>
      <w:r>
        <w:drawing>
          <wp:inline>
            <wp:extent cx="6431280" cy="725170"/>
            <wp:docPr id="7" name="Picutre 7"/>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a:stretch/>
                  </pic:blipFill>
                  <pic:spPr>
                    <a:xfrm>
                      <a:ext cx="6431280" cy="725170"/>
                    </a:xfrm>
                    <a:prstGeom prst="rect"/>
                  </pic:spPr>
                </pic:pic>
              </a:graphicData>
            </a:graphic>
          </wp:inline>
        </w:drawing>
      </w:r>
    </w:p>
    <w:p>
      <w:pPr>
        <w:pStyle w:val="Style8"/>
        <w:keepNext w:val="0"/>
        <w:keepLines w:val="0"/>
        <w:widowControl w:val="0"/>
        <w:shd w:val="clear" w:color="auto" w:fill="auto"/>
        <w:bidi w:val="0"/>
        <w:spacing w:before="0" w:after="260" w:line="295" w:lineRule="auto"/>
        <w:ind w:left="0" w:right="0" w:firstLine="0"/>
        <w:jc w:val="both"/>
      </w:pPr>
      <w:r>
        <w:drawing>
          <wp:anchor distT="0" distB="0" distL="0" distR="0" simplePos="0" relativeHeight="62914694" behindDoc="1" locked="0" layoutInCell="1" allowOverlap="1">
            <wp:simplePos x="0" y="0"/>
            <wp:positionH relativeFrom="margin">
              <wp:posOffset>5864225</wp:posOffset>
            </wp:positionH>
            <wp:positionV relativeFrom="margin">
              <wp:posOffset>7699375</wp:posOffset>
            </wp:positionV>
            <wp:extent cx="652145" cy="725170"/>
            <wp:wrapNone/>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9"/>
                    <a:stretch/>
                  </pic:blipFill>
                  <pic:spPr>
                    <a:xfrm>
                      <a:ext cx="652145" cy="725170"/>
                    </a:xfrm>
                    <a:prstGeom prst="rect"/>
                  </pic:spPr>
                </pic:pic>
              </a:graphicData>
            </a:graphic>
          </wp:anchor>
        </w:drawing>
      </w:r>
      <w:r>
        <w:rPr>
          <w:color w:val="000000"/>
          <w:spacing w:val="0"/>
          <w:w w:val="100"/>
          <w:position w:val="0"/>
          <w:shd w:val="clear" w:color="auto" w:fill="auto"/>
          <w:lang w:val="pt-PT" w:eastAsia="pt-PT" w:bidi="pt-PT"/>
        </w:rPr>
        <w:t>DEMONSTRATIVOS FISCAIS DA Portaria STN n° 1.447, de 14 de junho de 2022.</w:t>
      </w:r>
    </w:p>
    <w:p>
      <w:pPr>
        <w:pStyle w:val="Style8"/>
        <w:keepNext w:val="0"/>
        <w:keepLines w:val="0"/>
        <w:widowControl w:val="0"/>
        <w:shd w:val="clear" w:color="auto" w:fill="auto"/>
        <w:bidi w:val="0"/>
        <w:spacing w:before="0" w:line="26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5° - </w:t>
      </w:r>
      <w:r>
        <w:rPr>
          <w:color w:val="000000"/>
          <w:spacing w:val="0"/>
          <w:w w:val="100"/>
          <w:position w:val="0"/>
          <w:shd w:val="clear" w:color="auto" w:fill="auto"/>
          <w:lang w:val="pt-PT" w:eastAsia="pt-PT" w:bidi="pt-PT"/>
        </w:rPr>
        <w:t>Os Anexos de Riscos Fiscais e Metas Fiscais desta Lei, constituem-se dos seguintes:</w:t>
      </w:r>
    </w:p>
    <w:p>
      <w:pPr>
        <w:pStyle w:val="Style8"/>
        <w:keepNext w:val="0"/>
        <w:keepLines w:val="0"/>
        <w:widowControl w:val="0"/>
        <w:shd w:val="clear" w:color="auto" w:fill="auto"/>
        <w:bidi w:val="0"/>
        <w:spacing w:before="0" w:after="0" w:line="26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01.00.00 PARTE I </w:t>
      </w:r>
      <w:r>
        <w:rPr>
          <w:color w:val="000000"/>
          <w:spacing w:val="0"/>
          <w:w w:val="100"/>
          <w:position w:val="0"/>
          <w:shd w:val="clear" w:color="auto" w:fill="auto"/>
          <w:lang w:val="pt-PT" w:eastAsia="pt-PT" w:bidi="pt-PT"/>
        </w:rPr>
        <w:t>ANEXO DE RISCOS FISCAIS.</w:t>
      </w:r>
    </w:p>
    <w:p>
      <w:pPr>
        <w:pStyle w:val="Style8"/>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01.01.00 DEMONSTRATIVO DE RISCOS FISCAIS E PROVIDÊNCIAS.</w:t>
      </w:r>
    </w:p>
    <w:p>
      <w:pPr>
        <w:pStyle w:val="Style8"/>
        <w:keepNext w:val="0"/>
        <w:keepLines w:val="0"/>
        <w:widowControl w:val="0"/>
        <w:shd w:val="clear" w:color="auto" w:fill="auto"/>
        <w:bidi w:val="0"/>
        <w:spacing w:before="0" w:after="0" w:line="26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02.00.00 PARTE II </w:t>
      </w:r>
      <w:r>
        <w:rPr>
          <w:color w:val="000000"/>
          <w:spacing w:val="0"/>
          <w:w w:val="100"/>
          <w:position w:val="0"/>
          <w:shd w:val="clear" w:color="auto" w:fill="auto"/>
          <w:lang w:val="pt-PT" w:eastAsia="pt-PT" w:bidi="pt-PT"/>
        </w:rPr>
        <w:t>ANEXO DE METASFISCAIS</w:t>
      </w:r>
    </w:p>
    <w:p>
      <w:pPr>
        <w:pStyle w:val="Style8"/>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02.01.00 DEMONSTRATIVO 1 - METAS ANUAIS.</w:t>
      </w:r>
    </w:p>
    <w:p>
      <w:pPr>
        <w:pStyle w:val="Style8"/>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02.02.00 DEMONSTRATIVO 2 </w:t>
      </w:r>
      <w:r>
        <w:rPr>
          <w:color w:val="000000"/>
          <w:spacing w:val="0"/>
          <w:w w:val="100"/>
          <w:position w:val="0"/>
          <w:shd w:val="clear" w:color="auto" w:fill="auto"/>
          <w:lang w:val="pt-PT" w:eastAsia="pt-PT" w:bidi="pt-PT"/>
        </w:rPr>
        <w:t>- AVALIAÇÃO DO CUMPRIMENTO DAS METAS FISCAIS DO EXERCÍCIO ANTERIOR.</w:t>
      </w:r>
    </w:p>
    <w:p>
      <w:pPr>
        <w:pStyle w:val="Style8"/>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02.03.00 DEMONSTRATIVO 3 - </w:t>
      </w:r>
      <w:r>
        <w:rPr>
          <w:color w:val="000000"/>
          <w:spacing w:val="0"/>
          <w:w w:val="100"/>
          <w:position w:val="0"/>
          <w:shd w:val="clear" w:color="auto" w:fill="auto"/>
          <w:lang w:val="pt-PT" w:eastAsia="pt-PT" w:bidi="pt-PT"/>
        </w:rPr>
        <w:t>METAS FISCAIS ATUAIS COMPARADAS COM AS FIXADAS NOS TRÊS EXERCÍCIOS ANTERIORES.</w:t>
      </w:r>
    </w:p>
    <w:p>
      <w:pPr>
        <w:pStyle w:val="Style8"/>
        <w:keepNext w:val="0"/>
        <w:keepLines w:val="0"/>
        <w:widowControl w:val="0"/>
        <w:shd w:val="clear" w:color="auto" w:fill="auto"/>
        <w:bidi w:val="0"/>
        <w:spacing w:before="0" w:after="0" w:line="26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02.04.00 DEMONSTRATIVO 4 - </w:t>
      </w:r>
      <w:r>
        <w:rPr>
          <w:color w:val="000000"/>
          <w:spacing w:val="0"/>
          <w:w w:val="100"/>
          <w:position w:val="0"/>
          <w:shd w:val="clear" w:color="auto" w:fill="auto"/>
          <w:lang w:val="pt-PT" w:eastAsia="pt-PT" w:bidi="pt-PT"/>
        </w:rPr>
        <w:t xml:space="preserve">EVOLUÇÃO DO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LÍQUIDO.</w:t>
      </w:r>
    </w:p>
    <w:p>
      <w:pPr>
        <w:pStyle w:val="Style8"/>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02.05.00 DEMONSTRATIVO </w:t>
      </w:r>
      <w:r>
        <w:rPr>
          <w:color w:val="000000"/>
          <w:spacing w:val="0"/>
          <w:w w:val="100"/>
          <w:position w:val="0"/>
          <w:shd w:val="clear" w:color="auto" w:fill="auto"/>
          <w:lang w:val="pt-PT" w:eastAsia="pt-PT" w:bidi="pt-PT"/>
        </w:rPr>
        <w:t>5 - ORIGEM E APLICAÇÃO DOS RECURSOS OBTIDOS COM A ALIENAÇÃO DE ATIVOS.</w:t>
      </w:r>
    </w:p>
    <w:p>
      <w:pPr>
        <w:pStyle w:val="Style8"/>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02.06.00 DEMONSTRATIVO 6 </w:t>
      </w:r>
      <w:r>
        <w:rPr>
          <w:color w:val="000000"/>
          <w:spacing w:val="0"/>
          <w:w w:val="100"/>
          <w:position w:val="0"/>
          <w:shd w:val="clear" w:color="auto" w:fill="auto"/>
          <w:lang w:val="pt-PT" w:eastAsia="pt-PT" w:bidi="pt-PT"/>
        </w:rPr>
        <w:t>- AVALIAÇÃO DA SITUAÇÃO FINANCEIRA E ATUARIAL DO REGIME PRÓPRIO DE PREVIDÊNCIA DOS SERVIDORES.</w:t>
      </w:r>
    </w:p>
    <w:p>
      <w:pPr>
        <w:pStyle w:val="Style8"/>
        <w:keepNext w:val="0"/>
        <w:keepLines w:val="0"/>
        <w:widowControl w:val="0"/>
        <w:shd w:val="clear" w:color="auto" w:fill="auto"/>
        <w:bidi w:val="0"/>
        <w:spacing w:before="0" w:line="276" w:lineRule="auto"/>
        <w:ind w:left="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02.07.00 DEMONSTRATIVO 7 </w:t>
      </w:r>
      <w:r>
        <w:rPr>
          <w:color w:val="000000"/>
          <w:spacing w:val="0"/>
          <w:w w:val="100"/>
          <w:position w:val="0"/>
          <w:shd w:val="clear" w:color="auto" w:fill="auto"/>
          <w:lang w:val="pt-PT" w:eastAsia="pt-PT" w:bidi="pt-PT"/>
        </w:rPr>
        <w:t xml:space="preserve">- ESTIMATIVA E COMPENSAÇÃO DA RENÚNCIA DE RECEITA.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02.08.00 DEMONSTRATIVO 8 - </w:t>
      </w:r>
      <w:r>
        <w:rPr>
          <w:color w:val="000000"/>
          <w:spacing w:val="0"/>
          <w:w w:val="100"/>
          <w:position w:val="0"/>
          <w:shd w:val="clear" w:color="auto" w:fill="auto"/>
          <w:lang w:val="pt-PT" w:eastAsia="pt-PT" w:bidi="pt-PT"/>
        </w:rPr>
        <w:t>MARGEM DE EXPANSÃO DAS DESPESAS OBRIGATÓRIAS DE CARÁTER CONTINUADO.</w:t>
      </w:r>
    </w:p>
    <w:p>
      <w:pPr>
        <w:pStyle w:val="Style8"/>
        <w:keepNext w:val="0"/>
        <w:keepLines w:val="0"/>
        <w:widowControl w:val="0"/>
        <w:shd w:val="clear" w:color="auto" w:fill="auto"/>
        <w:bidi w:val="0"/>
        <w:spacing w:before="0" w:after="600" w:line="27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 </w:t>
      </w:r>
      <w:r>
        <w:rPr>
          <w:color w:val="000000"/>
          <w:spacing w:val="0"/>
          <w:w w:val="100"/>
          <w:position w:val="0"/>
          <w:shd w:val="clear" w:color="auto" w:fill="auto"/>
          <w:lang w:val="pt-PT" w:eastAsia="pt-PT" w:bidi="pt-PT"/>
        </w:rPr>
        <w:t>Os Demonstrativos referidos neste artigo, serão apurados em cada Unidade Gestora e a sua consolidação constituirá nas Metas Fiscais do Município.</w:t>
      </w:r>
    </w:p>
    <w:p>
      <w:pPr>
        <w:pStyle w:val="Style2"/>
        <w:keepNext w:val="0"/>
        <w:keepLines w:val="0"/>
        <w:widowControl w:val="0"/>
        <w:shd w:val="clear" w:color="auto" w:fill="auto"/>
        <w:bidi w:val="0"/>
        <w:spacing w:before="0" w:after="60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RISCOS FISCAIS E PROVIDÊNCIAS</w:t>
      </w:r>
    </w:p>
    <w:p>
      <w:pPr>
        <w:pStyle w:val="Style8"/>
        <w:keepNext w:val="0"/>
        <w:keepLines w:val="0"/>
        <w:widowControl w:val="0"/>
        <w:shd w:val="clear" w:color="auto" w:fill="auto"/>
        <w:bidi w:val="0"/>
        <w:spacing w:before="0" w:after="60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Art. 6</w:t>
      </w:r>
      <w:r>
        <w:rPr>
          <w:rFonts w:ascii="Times New Roman" w:eastAsia="Times New Roman" w:hAnsi="Times New Roman" w:cs="Times New Roman"/>
          <w:b/>
          <w:bCs/>
          <w:color w:val="000000"/>
          <w:spacing w:val="0"/>
          <w:w w:val="100"/>
          <w:position w:val="0"/>
          <w:sz w:val="22"/>
          <w:szCs w:val="22"/>
          <w:shd w:val="clear" w:color="auto" w:fill="auto"/>
          <w:vertAlign w:val="superscript"/>
          <w:lang w:val="pt-PT" w:eastAsia="pt-PT" w:bidi="pt-PT"/>
        </w:rPr>
        <w:t>2</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 - </w:t>
      </w:r>
      <w:r>
        <w:rPr>
          <w:color w:val="000000"/>
          <w:spacing w:val="0"/>
          <w:w w:val="100"/>
          <w:position w:val="0"/>
          <w:shd w:val="clear" w:color="auto" w:fill="auto"/>
          <w:lang w:val="pt-PT" w:eastAsia="pt-PT" w:bidi="pt-PT"/>
        </w:rPr>
        <w:t>Em cumprimento ao § 3</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do Art. 4</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da LRF a Lei de Diretrizes </w:t>
      </w:r>
      <w:r>
        <w:rPr>
          <w:color w:val="000000"/>
          <w:spacing w:val="0"/>
          <w:w w:val="100"/>
          <w:position w:val="0"/>
          <w:shd w:val="clear" w:color="auto" w:fill="auto"/>
          <w:lang w:val="pt-BR" w:eastAsia="pt-BR" w:bidi="pt-BR"/>
        </w:rPr>
        <w:t xml:space="preserve">Orçamentárias </w:t>
      </w:r>
      <w:r>
        <w:rPr>
          <w:color w:val="000000"/>
          <w:spacing w:val="0"/>
          <w:w w:val="100"/>
          <w:position w:val="0"/>
          <w:shd w:val="clear" w:color="auto" w:fill="auto"/>
          <w:lang w:val="pt-PT" w:eastAsia="pt-PT" w:bidi="pt-PT"/>
        </w:rPr>
        <w:t xml:space="preserve">- LDO 2026, </w:t>
      </w:r>
      <w:r>
        <w:rPr>
          <w:color w:val="000000"/>
          <w:spacing w:val="0"/>
          <w:w w:val="100"/>
          <w:position w:val="0"/>
          <w:shd w:val="clear" w:color="auto" w:fill="auto"/>
          <w:lang w:val="pt-PT" w:eastAsia="pt-PT" w:bidi="pt-PT"/>
        </w:rPr>
        <w:t>deverá conter o Anexo de Riscos Fiscais e Providências.</w:t>
      </w:r>
    </w:p>
    <w:p>
      <w:pPr>
        <w:pStyle w:val="Style2"/>
        <w:keepNext w:val="0"/>
        <w:keepLines w:val="0"/>
        <w:widowControl w:val="0"/>
        <w:shd w:val="clear" w:color="auto" w:fill="auto"/>
        <w:bidi w:val="0"/>
        <w:spacing w:before="0" w:after="60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METAS ANUAIS</w:t>
      </w:r>
    </w:p>
    <w:p>
      <w:pPr>
        <w:pStyle w:val="Style8"/>
        <w:keepNext w:val="0"/>
        <w:keepLines w:val="0"/>
        <w:widowControl w:val="0"/>
        <w:shd w:val="clear" w:color="auto" w:fill="auto"/>
        <w:bidi w:val="0"/>
        <w:spacing w:before="0" w:line="29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w:t>
      </w:r>
      <w:r>
        <w:rPr>
          <w:color w:val="000000"/>
          <w:spacing w:val="0"/>
          <w:w w:val="100"/>
          <w:position w:val="0"/>
          <w:shd w:val="clear" w:color="auto" w:fill="auto"/>
          <w:lang w:val="pt-PT" w:eastAsia="pt-PT" w:bidi="pt-PT"/>
        </w:rPr>
        <w:t>7</w:t>
      </w:r>
      <w:r>
        <w:rPr>
          <w:color w:val="000000"/>
          <w:spacing w:val="0"/>
          <w:w w:val="100"/>
          <w:position w:val="0"/>
          <w:shd w:val="clear" w:color="auto" w:fill="auto"/>
          <w:vertAlign w:val="superscript"/>
          <w:lang w:val="pt-PT" w:eastAsia="pt-PT" w:bidi="pt-PT"/>
        </w:rPr>
        <w:t>2</w:t>
      </w:r>
      <w:r>
        <w:rPr>
          <w:color w:val="000000"/>
          <w:spacing w:val="0"/>
          <w:w w:val="100"/>
          <w:position w:val="0"/>
          <w:shd w:val="clear" w:color="auto" w:fill="auto"/>
          <w:lang w:val="pt-PT" w:eastAsia="pt-PT" w:bidi="pt-PT"/>
        </w:rPr>
        <w:t xml:space="preserve"> - Em cumprimento ao§ I</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do art. A</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da Lei de Complementar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101/2000, o Demonstrativo 1- Metas Anuais, será elaborado em valores Correntes e Constantes, relativos à Receitas, Despesas, Resultado Primário e Nominal e Montante da Dívida Pública, para o Exercício de Referência 2026 e para os dois seguintes.</w:t>
      </w:r>
    </w:p>
    <w:p>
      <w:pPr>
        <w:pStyle w:val="Style8"/>
        <w:keepNext w:val="0"/>
        <w:keepLines w:val="0"/>
        <w:widowControl w:val="0"/>
        <w:shd w:val="clear" w:color="auto" w:fill="auto"/>
        <w:bidi w:val="0"/>
        <w:spacing w:before="0" w:line="307" w:lineRule="auto"/>
        <w:ind w:left="0" w:right="0" w:firstLine="0"/>
        <w:jc w:val="both"/>
      </w:pPr>
      <w:r>
        <w:rPr>
          <w:color w:val="000000"/>
          <w:spacing w:val="0"/>
          <w:w w:val="100"/>
          <w:position w:val="0"/>
          <w:shd w:val="clear" w:color="auto" w:fill="auto"/>
          <w:lang w:val="pt-PT" w:eastAsia="pt-PT" w:bidi="pt-PT"/>
        </w:rPr>
        <w:t>§l</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 Os valores correntes dos exercícios de 2026, 2027 e 2028 deverão levar em conta a previsão de aumento ou redução das despesas de caráter continuado, resultantes da concessão de aumento salarial, incremento de programas ou atividades incentivadas, inclusão ou eliminação de programas,</w:t>
        <w:br w:type="page"/>
      </w:r>
      <w:r>
        <w:rPr>
          <w:color w:val="000000"/>
          <w:spacing w:val="0"/>
          <w:w w:val="100"/>
          <w:position w:val="0"/>
          <w:shd w:val="clear" w:color="auto" w:fill="auto"/>
          <w:lang w:val="pt-PT" w:eastAsia="pt-PT" w:bidi="pt-PT"/>
        </w:rPr>
        <w:t>projetos ou atividades. Os valores constantes, utilizam o parâmetro do índice Oficial de Inflação Anual, dentre os sugeridos pela Portaria STN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1.447, de 14 de junho de 2022.</w:t>
      </w:r>
    </w:p>
    <w:p>
      <w:pPr>
        <w:pStyle w:val="Style8"/>
        <w:keepNext w:val="0"/>
        <w:keepLines w:val="0"/>
        <w:widowControl w:val="0"/>
        <w:shd w:val="clear" w:color="auto" w:fill="auto"/>
        <w:bidi w:val="0"/>
        <w:spacing w:before="0" w:line="27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§2</w:t>
      </w:r>
      <w:r>
        <w:rPr>
          <w:rFonts w:ascii="Times New Roman" w:eastAsia="Times New Roman" w:hAnsi="Times New Roman" w:cs="Times New Roman"/>
          <w:b/>
          <w:bCs/>
          <w:color w:val="000000"/>
          <w:spacing w:val="0"/>
          <w:w w:val="100"/>
          <w:position w:val="0"/>
          <w:sz w:val="22"/>
          <w:szCs w:val="22"/>
          <w:shd w:val="clear" w:color="auto" w:fill="auto"/>
          <w:vertAlign w:val="superscript"/>
          <w:lang w:val="pt-PT" w:eastAsia="pt-PT" w:bidi="pt-PT"/>
        </w:rPr>
        <w:t>9</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 - </w:t>
      </w:r>
      <w:r>
        <w:rPr>
          <w:color w:val="000000"/>
          <w:spacing w:val="0"/>
          <w:w w:val="100"/>
          <w:position w:val="0"/>
          <w:shd w:val="clear" w:color="auto" w:fill="auto"/>
          <w:lang w:val="pt-PT" w:eastAsia="pt-PT" w:bidi="pt-PT"/>
        </w:rPr>
        <w:t xml:space="preserve">Os valores da coluna "%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 xml:space="preserve">são calculados mediante a aplicação do cálculo dos valores correntes, divididos pelo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Estadual, multiplicados por 100.</w:t>
      </w:r>
    </w:p>
    <w:p>
      <w:pPr>
        <w:pStyle w:val="Style8"/>
        <w:keepNext w:val="0"/>
        <w:keepLines w:val="0"/>
        <w:widowControl w:val="0"/>
        <w:shd w:val="clear" w:color="auto" w:fill="auto"/>
        <w:bidi w:val="0"/>
        <w:spacing w:before="0" w:line="295" w:lineRule="auto"/>
        <w:ind w:left="0" w:right="0" w:firstLine="0"/>
        <w:jc w:val="both"/>
      </w:pPr>
      <w:r>
        <w:rPr>
          <w:color w:val="000000"/>
          <w:spacing w:val="0"/>
          <w:w w:val="100"/>
          <w:position w:val="0"/>
          <w:shd w:val="clear" w:color="auto" w:fill="auto"/>
          <w:lang w:val="pt-PT" w:eastAsia="pt-PT" w:bidi="pt-PT"/>
        </w:rPr>
        <w:t>§3</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 Em cumprimento ao estabelecido na Portaria STN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1.447, de 14 de junho de 2022, as METAS ANUAIS DA LDO 2026 contam com o cálculo do percentual em relação à Receita Corrente Líquida do </w:t>
      </w:r>
      <w:r>
        <w:rPr>
          <w:color w:val="000000"/>
          <w:spacing w:val="0"/>
          <w:w w:val="100"/>
          <w:position w:val="0"/>
          <w:shd w:val="clear" w:color="auto" w:fill="auto"/>
          <w:lang w:val="pt-BR" w:eastAsia="pt-BR" w:bidi="pt-BR"/>
        </w:rPr>
        <w:t xml:space="preserve">respectivo </w:t>
      </w:r>
      <w:r>
        <w:rPr>
          <w:color w:val="000000"/>
          <w:spacing w:val="0"/>
          <w:w w:val="100"/>
          <w:position w:val="0"/>
          <w:shd w:val="clear" w:color="auto" w:fill="auto"/>
          <w:lang w:val="pt-PT" w:eastAsia="pt-PT" w:bidi="pt-PT"/>
        </w:rPr>
        <w:t>Estado da Federação.</w:t>
      </w:r>
    </w:p>
    <w:p>
      <w:pPr>
        <w:pStyle w:val="Style2"/>
        <w:keepNext w:val="0"/>
        <w:keepLines w:val="0"/>
        <w:widowControl w:val="0"/>
        <w:shd w:val="clear" w:color="auto" w:fill="auto"/>
        <w:bidi w:val="0"/>
        <w:spacing w:before="0" w:after="280" w:line="269"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AVALIAÇÃO DO CUMPRIMENTO DAS METAS FISCAIS DO EXERCÍCIO ANTERIOR</w:t>
      </w:r>
    </w:p>
    <w:p>
      <w:pPr>
        <w:pStyle w:val="Style8"/>
        <w:keepNext w:val="0"/>
        <w:keepLines w:val="0"/>
        <w:widowControl w:val="0"/>
        <w:shd w:val="clear" w:color="auto" w:fill="auto"/>
        <w:bidi w:val="0"/>
        <w:spacing w:before="0"/>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w:t>
      </w:r>
      <w:r>
        <w:rPr>
          <w:color w:val="000000"/>
          <w:spacing w:val="0"/>
          <w:w w:val="100"/>
          <w:position w:val="0"/>
          <w:shd w:val="clear" w:color="auto" w:fill="auto"/>
          <w:lang w:val="pt-PT" w:eastAsia="pt-PT" w:bidi="pt-PT"/>
        </w:rPr>
        <w:t>8</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 Atendendo ao disposto no § 2</w:t>
      </w:r>
      <w:r>
        <w:rPr>
          <w:color w:val="000000"/>
          <w:spacing w:val="0"/>
          <w:w w:val="100"/>
          <w:position w:val="0"/>
          <w:shd w:val="clear" w:color="auto" w:fill="auto"/>
          <w:vertAlign w:val="superscript"/>
          <w:lang w:val="pt-PT" w:eastAsia="pt-PT" w:bidi="pt-PT"/>
        </w:rPr>
        <w:t>a</w:t>
      </w:r>
      <w:r>
        <w:rPr>
          <w:color w:val="000000"/>
          <w:spacing w:val="0"/>
          <w:w w:val="100"/>
          <w:position w:val="0"/>
          <w:shd w:val="clear" w:color="auto" w:fill="auto"/>
          <w:lang w:val="pt-PT" w:eastAsia="pt-PT" w:bidi="pt-PT"/>
        </w:rPr>
        <w:t>, inciso I, do Art. 4</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da LRF, o Demonstrativo 2 - Avaliação do Cumprimento das Metas Fiscais do Exercício Anterior, tem como finalidade estabelecer um comparativo entre as metas fixadas e o resultado obtido no exercício </w:t>
      </w:r>
      <w:r>
        <w:rPr>
          <w:color w:val="000000"/>
          <w:spacing w:val="0"/>
          <w:w w:val="100"/>
          <w:position w:val="0"/>
          <w:shd w:val="clear" w:color="auto" w:fill="auto"/>
          <w:lang w:val="pt-BR" w:eastAsia="pt-BR" w:bidi="pt-BR"/>
        </w:rPr>
        <w:t xml:space="preserve">orçamentário </w:t>
      </w:r>
      <w:r>
        <w:rPr>
          <w:color w:val="000000"/>
          <w:spacing w:val="0"/>
          <w:w w:val="100"/>
          <w:position w:val="0"/>
          <w:shd w:val="clear" w:color="auto" w:fill="auto"/>
          <w:lang w:val="pt-PT" w:eastAsia="pt-PT" w:bidi="pt-PT"/>
        </w:rPr>
        <w:t>anterior, de Receitas, Despesas, Resultado Primário e Nominal, Dívida Pública Consolidada e Dívida Consolidada Líquida, incluindo análise dos fatores determinantes do alcance ou não dos valores estabelecidos como metas.</w:t>
      </w:r>
    </w:p>
    <w:p>
      <w:pPr>
        <w:pStyle w:val="Style8"/>
        <w:keepNext w:val="0"/>
        <w:keepLines w:val="0"/>
        <w:widowControl w:val="0"/>
        <w:shd w:val="clear" w:color="auto" w:fill="auto"/>
        <w:bidi w:val="0"/>
        <w:spacing w:before="0" w:after="4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 </w:t>
      </w:r>
      <w:r>
        <w:rPr>
          <w:color w:val="000000"/>
          <w:spacing w:val="0"/>
          <w:w w:val="100"/>
          <w:position w:val="0"/>
          <w:shd w:val="clear" w:color="auto" w:fill="auto"/>
          <w:lang w:val="pt-PT" w:eastAsia="pt-PT" w:bidi="pt-PT"/>
        </w:rPr>
        <w:t>Em cumprimento ao estabelecido na Portaria STN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1.447, de 14 de junho de</w:t>
      </w:r>
    </w:p>
    <w:p>
      <w:pPr>
        <w:pStyle w:val="Style8"/>
        <w:keepNext w:val="0"/>
        <w:keepLines w:val="0"/>
        <w:widowControl w:val="0"/>
        <w:shd w:val="clear" w:color="auto" w:fill="auto"/>
        <w:bidi w:val="0"/>
        <w:spacing w:before="0" w:after="40" w:line="240" w:lineRule="auto"/>
        <w:ind w:left="0" w:right="0" w:firstLine="0"/>
        <w:jc w:val="both"/>
      </w:pPr>
      <w:r>
        <w:rPr>
          <w:color w:val="000000"/>
          <w:spacing w:val="0"/>
          <w:w w:val="100"/>
          <w:position w:val="0"/>
          <w:shd w:val="clear" w:color="auto" w:fill="auto"/>
          <w:lang w:val="pt-PT" w:eastAsia="pt-PT" w:bidi="pt-PT"/>
        </w:rPr>
        <w:t>2022, as METAS FISCAIS DO EXERCÍCIO ANTERIOR da LDO 2026, passam a conter o cálculo do</w:t>
      </w:r>
    </w:p>
    <w:p>
      <w:pPr>
        <w:pStyle w:val="Style8"/>
        <w:keepNext w:val="0"/>
        <w:keepLines w:val="0"/>
        <w:widowControl w:val="0"/>
        <w:shd w:val="clear" w:color="auto" w:fill="auto"/>
        <w:bidi w:val="0"/>
        <w:spacing w:before="0" w:after="580" w:line="240" w:lineRule="auto"/>
        <w:ind w:left="0" w:right="0" w:firstLine="0"/>
        <w:jc w:val="both"/>
      </w:pPr>
      <w:r>
        <w:rPr>
          <w:color w:val="000000"/>
          <w:spacing w:val="0"/>
          <w:w w:val="100"/>
          <w:position w:val="0"/>
          <w:shd w:val="clear" w:color="auto" w:fill="auto"/>
          <w:lang w:val="pt-PT" w:eastAsia="pt-PT" w:bidi="pt-PT"/>
        </w:rPr>
        <w:t xml:space="preserve">percentual em relação à Receita Corrente Líquida do </w:t>
      </w:r>
      <w:r>
        <w:rPr>
          <w:color w:val="000000"/>
          <w:spacing w:val="0"/>
          <w:w w:val="100"/>
          <w:position w:val="0"/>
          <w:shd w:val="clear" w:color="auto" w:fill="auto"/>
          <w:lang w:val="pt-BR" w:eastAsia="pt-BR" w:bidi="pt-BR"/>
        </w:rPr>
        <w:t xml:space="preserve">respectivo </w:t>
      </w:r>
      <w:r>
        <w:rPr>
          <w:color w:val="000000"/>
          <w:spacing w:val="0"/>
          <w:w w:val="100"/>
          <w:position w:val="0"/>
          <w:shd w:val="clear" w:color="auto" w:fill="auto"/>
          <w:lang w:val="pt-PT" w:eastAsia="pt-PT" w:bidi="pt-PT"/>
        </w:rPr>
        <w:t>ente da Federação.</w:t>
      </w:r>
    </w:p>
    <w:p>
      <w:pPr>
        <w:pStyle w:val="Style2"/>
        <w:keepNext w:val="0"/>
        <w:keepLines w:val="0"/>
        <w:widowControl w:val="0"/>
        <w:shd w:val="clear" w:color="auto" w:fill="auto"/>
        <w:bidi w:val="0"/>
        <w:spacing w:before="0" w:after="60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METAS FISCAIS </w:t>
      </w:r>
      <w:r>
        <w:rPr>
          <w:rFonts w:ascii="Times New Roman" w:eastAsia="Times New Roman" w:hAnsi="Times New Roman" w:cs="Times New Roman"/>
          <w:color w:val="000000"/>
          <w:spacing w:val="0"/>
          <w:w w:val="100"/>
          <w:position w:val="0"/>
          <w:shd w:val="clear" w:color="auto" w:fill="auto"/>
          <w:lang w:val="pt-BR" w:eastAsia="pt-BR" w:bidi="pt-BR"/>
        </w:rPr>
        <w:t xml:space="preserve">ATUAIS </w:t>
      </w:r>
      <w:r>
        <w:rPr>
          <w:rFonts w:ascii="Times New Roman" w:eastAsia="Times New Roman" w:hAnsi="Times New Roman" w:cs="Times New Roman"/>
          <w:color w:val="000000"/>
          <w:spacing w:val="0"/>
          <w:w w:val="100"/>
          <w:position w:val="0"/>
          <w:shd w:val="clear" w:color="auto" w:fill="auto"/>
          <w:lang w:val="pt-PT" w:eastAsia="pt-PT" w:bidi="pt-PT"/>
        </w:rPr>
        <w:t>COMPARADAS COM AS FIXADAS NOS TRÊS EXERCÍCIOS ANTERIORES</w:t>
      </w:r>
    </w:p>
    <w:p>
      <w:pPr>
        <w:pStyle w:val="Style8"/>
        <w:keepNext w:val="0"/>
        <w:keepLines w:val="0"/>
        <w:widowControl w:val="0"/>
        <w:shd w:val="clear" w:color="auto" w:fill="auto"/>
        <w:bidi w:val="0"/>
        <w:spacing w:before="0" w:line="295"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Art9</w:t>
      </w:r>
      <w:r>
        <w:rPr>
          <w:rFonts w:ascii="Times New Roman" w:eastAsia="Times New Roman" w:hAnsi="Times New Roman" w:cs="Times New Roman"/>
          <w:b/>
          <w:bCs/>
          <w:color w:val="000000"/>
          <w:spacing w:val="0"/>
          <w:w w:val="100"/>
          <w:position w:val="0"/>
          <w:sz w:val="22"/>
          <w:szCs w:val="22"/>
          <w:shd w:val="clear" w:color="auto" w:fill="auto"/>
          <w:vertAlign w:val="superscript"/>
          <w:lang w:val="pt-PT" w:eastAsia="pt-PT" w:bidi="pt-PT"/>
        </w:rPr>
        <w:t>e</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 - </w:t>
      </w:r>
      <w:r>
        <w:rPr>
          <w:color w:val="000000"/>
          <w:spacing w:val="0"/>
          <w:w w:val="100"/>
          <w:position w:val="0"/>
          <w:shd w:val="clear" w:color="auto" w:fill="auto"/>
          <w:lang w:val="pt-PT" w:eastAsia="pt-PT" w:bidi="pt-PT"/>
        </w:rPr>
        <w:t>De acordo com o§ 2</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item II, do Art 4- da LRF, o Demonstrativo 3 - Metas Fiscais Atuais Comparadas com as Fixadas nos Três Exercícios Anteriores, de Receitas, Despesas, Resultado Primário e Nominal, Dívida Pública Consolidada e Dívida Consolidada Líquida, deverão estar instruídos com memória e metodologia de cálculo que justifiquem os resultados pretendidos, comparando-as com as fixadas nos três exercícios anteriores e evidenciando a consistência delas com as premissas e os objetivos da Política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Nacional.</w:t>
      </w:r>
    </w:p>
    <w:p>
      <w:pPr>
        <w:pStyle w:val="Style8"/>
        <w:keepNext w:val="0"/>
        <w:keepLines w:val="0"/>
        <w:widowControl w:val="0"/>
        <w:shd w:val="clear" w:color="auto" w:fill="auto"/>
        <w:bidi w:val="0"/>
        <w:spacing w:before="0" w:after="580" w:line="29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 </w:t>
      </w:r>
      <w:r>
        <w:rPr>
          <w:color w:val="000000"/>
          <w:spacing w:val="0"/>
          <w:w w:val="100"/>
          <w:position w:val="0"/>
          <w:shd w:val="clear" w:color="auto" w:fill="auto"/>
          <w:lang w:val="pt-PT" w:eastAsia="pt-PT" w:bidi="pt-PT"/>
        </w:rPr>
        <w:t xml:space="preserve">Objetivando maior consistência e subsídio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análises, os valores devem ser demonstrados em valores correntes e constantes, </w:t>
      </w:r>
      <w:r>
        <w:rPr>
          <w:color w:val="000000"/>
          <w:spacing w:val="0"/>
          <w:w w:val="100"/>
          <w:position w:val="0"/>
          <w:shd w:val="clear" w:color="auto" w:fill="auto"/>
          <w:lang w:val="pt-BR" w:eastAsia="pt-BR" w:bidi="pt-BR"/>
        </w:rPr>
        <w:t xml:space="preserve">utilizando-se </w:t>
      </w:r>
      <w:r>
        <w:rPr>
          <w:color w:val="000000"/>
          <w:spacing w:val="0"/>
          <w:w w:val="100"/>
          <w:position w:val="0"/>
          <w:shd w:val="clear" w:color="auto" w:fill="auto"/>
          <w:lang w:val="pt-PT" w:eastAsia="pt-PT" w:bidi="pt-PT"/>
        </w:rPr>
        <w:t>os mesmos índices já comentados no Demonstrativo 1.</w:t>
      </w:r>
    </w:p>
    <w:p>
      <w:pPr>
        <w:pStyle w:val="Style2"/>
        <w:keepNext w:val="0"/>
        <w:keepLines w:val="0"/>
        <w:widowControl w:val="0"/>
        <w:shd w:val="clear" w:color="auto" w:fill="auto"/>
        <w:bidi w:val="0"/>
        <w:spacing w:before="0" w:after="60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 xml:space="preserve">EVOLUÇÃO DO </w:t>
      </w:r>
      <w:r>
        <w:rPr>
          <w:rFonts w:ascii="Times New Roman" w:eastAsia="Times New Roman" w:hAnsi="Times New Roman" w:cs="Times New Roman"/>
          <w:color w:val="000000"/>
          <w:spacing w:val="0"/>
          <w:w w:val="100"/>
          <w:position w:val="0"/>
          <w:shd w:val="clear" w:color="auto" w:fill="auto"/>
          <w:lang w:val="pt-BR" w:eastAsia="pt-BR" w:bidi="pt-BR"/>
        </w:rPr>
        <w:t xml:space="preserve">PATRIMÔNIO </w:t>
      </w:r>
      <w:r>
        <w:rPr>
          <w:rFonts w:ascii="Times New Roman" w:eastAsia="Times New Roman" w:hAnsi="Times New Roman" w:cs="Times New Roman"/>
          <w:color w:val="000000"/>
          <w:spacing w:val="0"/>
          <w:w w:val="100"/>
          <w:position w:val="0"/>
          <w:shd w:val="clear" w:color="auto" w:fill="auto"/>
          <w:lang w:val="pt-PT" w:eastAsia="pt-PT" w:bidi="pt-PT"/>
        </w:rPr>
        <w:t>LÍQUIDO</w:t>
      </w:r>
    </w:p>
    <w:p>
      <w:pPr>
        <w:pStyle w:val="Style8"/>
        <w:keepNext w:val="0"/>
        <w:keepLines w:val="0"/>
        <w:widowControl w:val="0"/>
        <w:shd w:val="clear" w:color="auto" w:fill="auto"/>
        <w:bidi w:val="0"/>
        <w:spacing w:before="0" w:line="240" w:lineRule="auto"/>
        <w:ind w:left="0" w:right="0" w:firstLine="0"/>
        <w:jc w:val="both"/>
        <w:sectPr>
          <w:footnotePr>
            <w:pos w:val="pageBottom"/>
            <w:numFmt w:val="decimal"/>
            <w:numRestart w:val="continuous"/>
          </w:footnotePr>
          <w:pgSz w:w="11900" w:h="16840"/>
          <w:pgMar w:top="2727" w:left="1265" w:right="1188" w:bottom="1700" w:header="0" w:footer="3" w:gutter="0"/>
          <w:cols w:space="720"/>
          <w:noEndnote/>
          <w:rtlGutter w:val="0"/>
          <w:docGrid w:linePitch="360"/>
        </w:sectPr>
      </w:pPr>
      <w:r>
        <w:drawing>
          <wp:anchor distT="0" distB="0" distL="0" distR="0" simplePos="0" relativeHeight="125829378" behindDoc="0" locked="0" layoutInCell="1" allowOverlap="1">
            <wp:simplePos x="0" y="0"/>
            <wp:positionH relativeFrom="page">
              <wp:posOffset>6624955</wp:posOffset>
            </wp:positionH>
            <wp:positionV relativeFrom="paragraph">
              <wp:posOffset>63500</wp:posOffset>
            </wp:positionV>
            <wp:extent cx="615950" cy="725170"/>
            <wp:wrapTight wrapText="bothSides">
              <wp:wrapPolygon>
                <wp:start x="4705" y="0"/>
                <wp:lineTo x="21386" y="0"/>
                <wp:lineTo x="21386" y="3267"/>
                <wp:lineTo x="21600" y="3267"/>
                <wp:lineTo x="21600" y="21600"/>
                <wp:lineTo x="0" y="21600"/>
                <wp:lineTo x="0" y="3267"/>
                <wp:lineTo x="4705" y="3267"/>
                <wp:lineTo x="4705" y="0"/>
              </wp:wrapPolygon>
            </wp:wrapTight>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615950" cy="725170"/>
                    </a:xfrm>
                    <a:prstGeom prst="rect"/>
                  </pic:spPr>
                </pic:pic>
              </a:graphicData>
            </a:graphic>
          </wp:anchor>
        </w:drawing>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10 - </w:t>
      </w:r>
      <w:r>
        <w:rPr>
          <w:color w:val="000000"/>
          <w:spacing w:val="0"/>
          <w:w w:val="100"/>
          <w:position w:val="0"/>
          <w:shd w:val="clear" w:color="auto" w:fill="auto"/>
          <w:lang w:val="pt-PT" w:eastAsia="pt-PT" w:bidi="pt-PT"/>
        </w:rPr>
        <w:t>Em obediência ao § 2</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inciso III, do Art. 4</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da LRF, o Demonstrativo 4 - Evolução do</w:t>
      </w:r>
    </w:p>
    <w:p>
      <w:pPr>
        <w:pStyle w:val="Style8"/>
        <w:keepNext w:val="0"/>
        <w:keepLines w:val="0"/>
        <w:widowControl w:val="0"/>
        <w:shd w:val="clear" w:color="auto" w:fill="auto"/>
        <w:bidi w:val="0"/>
        <w:spacing w:before="0" w:after="260" w:line="300" w:lineRule="auto"/>
        <w:ind w:left="0" w:right="0" w:firstLine="0"/>
        <w:jc w:val="both"/>
      </w:pP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 xml:space="preserve">Líquido, deve traduzir as variações do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de cada Ente do Município e sua Consolidação.</w:t>
      </w:r>
    </w:p>
    <w:p>
      <w:pPr>
        <w:pStyle w:val="Style8"/>
        <w:keepNext w:val="0"/>
        <w:keepLines w:val="0"/>
        <w:widowControl w:val="0"/>
        <w:shd w:val="clear" w:color="auto" w:fill="auto"/>
        <w:bidi w:val="0"/>
        <w:spacing w:before="0" w:after="560" w:line="288"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 </w:t>
      </w:r>
      <w:r>
        <w:rPr>
          <w:color w:val="000000"/>
          <w:spacing w:val="0"/>
          <w:w w:val="100"/>
          <w:position w:val="0"/>
          <w:shd w:val="clear" w:color="auto" w:fill="auto"/>
          <w:lang w:val="pt-PT" w:eastAsia="pt-PT" w:bidi="pt-PT"/>
        </w:rPr>
        <w:t xml:space="preserve">O Demonstrativo apresentará em separado a situação do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Líquido do Regime Previdenciário.</w:t>
      </w:r>
    </w:p>
    <w:p>
      <w:pPr>
        <w:pStyle w:val="Style2"/>
        <w:keepNext w:val="0"/>
        <w:keepLines w:val="0"/>
        <w:widowControl w:val="0"/>
        <w:shd w:val="clear" w:color="auto" w:fill="auto"/>
        <w:bidi w:val="0"/>
        <w:spacing w:before="0" w:after="60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ORIGEM E APLICAÇÃO DOS RECURSOS OBTIDOS COM A ALIENAÇÃO DE ATIVOS</w:t>
      </w:r>
    </w:p>
    <w:p>
      <w:pPr>
        <w:pStyle w:val="Style8"/>
        <w:keepNext w:val="0"/>
        <w:keepLines w:val="0"/>
        <w:widowControl w:val="0"/>
        <w:shd w:val="clear" w:color="auto" w:fill="auto"/>
        <w:bidi w:val="0"/>
        <w:spacing w:before="0" w:after="260" w:line="295"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11-0 </w:t>
      </w:r>
      <w:r>
        <w:rPr>
          <w:color w:val="000000"/>
          <w:spacing w:val="0"/>
          <w:w w:val="100"/>
          <w:position w:val="0"/>
          <w:shd w:val="clear" w:color="auto" w:fill="auto"/>
          <w:lang w:val="pt-PT" w:eastAsia="pt-PT" w:bidi="pt-PT"/>
        </w:rPr>
        <w:t>§2</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inciso III, do Art. 4</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da LRF, que trata da Evolução do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 xml:space="preserve">Líquido, estabelece também, que os recursos obtidos com a alienação de ativos que integram o referido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devem ser reaplicados em despesas de capital, salvo se destinada por lei aos regimes de previdência social, geral ou próprio dos servidores públicos. 0 Demonstrativo 5 - Origem e Aplicação dos Recursos Obtidos com a Alienação de Ativos, deve estabelecer de onde foram obtidos os recursos e onde foram aplicados.</w:t>
      </w:r>
    </w:p>
    <w:p>
      <w:pPr>
        <w:pStyle w:val="Style8"/>
        <w:keepNext w:val="0"/>
        <w:keepLines w:val="0"/>
        <w:widowControl w:val="0"/>
        <w:shd w:val="clear" w:color="auto" w:fill="auto"/>
        <w:bidi w:val="0"/>
        <w:spacing w:before="0" w:after="560" w:line="288"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 </w:t>
      </w:r>
      <w:r>
        <w:rPr>
          <w:color w:val="000000"/>
          <w:spacing w:val="0"/>
          <w:w w:val="100"/>
          <w:position w:val="0"/>
          <w:shd w:val="clear" w:color="auto" w:fill="auto"/>
          <w:lang w:val="pt-PT" w:eastAsia="pt-PT" w:bidi="pt-PT"/>
        </w:rPr>
        <w:t xml:space="preserve">0 Demonstrativo apresentará em separado a situação do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Líquido do Regime Previdenciário.</w:t>
      </w:r>
    </w:p>
    <w:p>
      <w:pPr>
        <w:pStyle w:val="Style2"/>
        <w:keepNext w:val="0"/>
        <w:keepLines w:val="0"/>
        <w:widowControl w:val="0"/>
        <w:shd w:val="clear" w:color="auto" w:fill="auto"/>
        <w:bidi w:val="0"/>
        <w:spacing w:before="0" w:after="560" w:line="27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AVALIAÇÃO DA SITUAÇÃO FINANCEIRA E ATUARIAL DO REGIME PRÓPRIO DA PREVIDÊNCIA</w:t>
        <w:br/>
        <w:t>DOS SERVIDORES PÚBLICOS</w:t>
      </w:r>
    </w:p>
    <w:p>
      <w:pPr>
        <w:pStyle w:val="Style8"/>
        <w:keepNext w:val="0"/>
        <w:keepLines w:val="0"/>
        <w:widowControl w:val="0"/>
        <w:shd w:val="clear" w:color="auto" w:fill="auto"/>
        <w:bidi w:val="0"/>
        <w:spacing w:before="0" w:after="0" w:line="295"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12 - </w:t>
      </w:r>
      <w:r>
        <w:rPr>
          <w:color w:val="000000"/>
          <w:spacing w:val="0"/>
          <w:w w:val="100"/>
          <w:position w:val="0"/>
          <w:shd w:val="clear" w:color="auto" w:fill="auto"/>
          <w:lang w:val="pt-PT" w:eastAsia="pt-PT" w:bidi="pt-PT"/>
        </w:rPr>
        <w:t>Em razão do que está estabelecido no §2</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inciso IV, alínea "a", do Art. 4</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da LRF, o Anexo de Metas Fiscais integrante da Lei de Diretrizes </w:t>
      </w:r>
      <w:r>
        <w:rPr>
          <w:color w:val="000000"/>
          <w:spacing w:val="0"/>
          <w:w w:val="100"/>
          <w:position w:val="0"/>
          <w:shd w:val="clear" w:color="auto" w:fill="auto"/>
          <w:lang w:val="pt-BR" w:eastAsia="pt-BR" w:bidi="pt-BR"/>
        </w:rPr>
        <w:t xml:space="preserve">Orçamentárias </w:t>
      </w:r>
      <w:r>
        <w:rPr>
          <w:color w:val="000000"/>
          <w:spacing w:val="0"/>
          <w:w w:val="100"/>
          <w:position w:val="0"/>
          <w:shd w:val="clear" w:color="auto" w:fill="auto"/>
          <w:lang w:val="pt-PT" w:eastAsia="pt-PT" w:bidi="pt-PT"/>
        </w:rPr>
        <w:t>- LDO, deverá conter a avaliação da situação financeira e atuarial do regime próprio dos servidores municipais, nos três últimos exercícios. 0 Demonstrativo 6 - Avaliação da Situação Financeira e Atuarial do Regime Próprio de Previdência dos Servidores Públicos, seguindo o modelo da Portaria STN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1.447, de 14 de junho de</w:t>
      </w:r>
    </w:p>
    <w:p>
      <w:pPr>
        <w:pStyle w:val="Style8"/>
        <w:keepNext w:val="0"/>
        <w:keepLines w:val="0"/>
        <w:widowControl w:val="0"/>
        <w:shd w:val="clear" w:color="auto" w:fill="auto"/>
        <w:bidi w:val="0"/>
        <w:spacing w:before="0" w:after="540" w:line="300" w:lineRule="auto"/>
        <w:ind w:left="0" w:right="0" w:firstLine="0"/>
        <w:jc w:val="both"/>
      </w:pPr>
      <w:r>
        <w:rPr>
          <w:color w:val="000000"/>
          <w:spacing w:val="0"/>
          <w:w w:val="100"/>
          <w:position w:val="0"/>
          <w:shd w:val="clear" w:color="auto" w:fill="auto"/>
          <w:lang w:val="pt-PT" w:eastAsia="pt-PT" w:bidi="pt-PT"/>
        </w:rPr>
        <w:t>2022, estabelece um comparativo de Receitas e Despesas Previdenciárias, terminando por apurar o Resultado Previdenciário e a Disponibilidade Financeira do RPPS.</w:t>
      </w:r>
    </w:p>
    <w:p>
      <w:pPr>
        <w:pStyle w:val="Style2"/>
        <w:keepNext w:val="0"/>
        <w:keepLines w:val="0"/>
        <w:widowControl w:val="0"/>
        <w:shd w:val="clear" w:color="auto" w:fill="auto"/>
        <w:bidi w:val="0"/>
        <w:spacing w:before="0" w:after="60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ESTIMATIVA E COMPENSAÇÃO DA RENÚNCIA DE RECEITA</w:t>
      </w:r>
    </w:p>
    <w:p>
      <w:pPr>
        <w:pStyle w:val="Style8"/>
        <w:keepNext w:val="0"/>
        <w:keepLines w:val="0"/>
        <w:widowControl w:val="0"/>
        <w:shd w:val="clear" w:color="auto" w:fill="auto"/>
        <w:bidi w:val="0"/>
        <w:spacing w:before="0" w:after="260" w:line="295"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13 </w:t>
      </w:r>
      <w:r>
        <w:rPr>
          <w:color w:val="000000"/>
          <w:spacing w:val="0"/>
          <w:w w:val="100"/>
          <w:position w:val="0"/>
          <w:shd w:val="clear" w:color="auto" w:fill="auto"/>
          <w:lang w:val="pt-PT" w:eastAsia="pt-PT" w:bidi="pt-PT"/>
        </w:rPr>
        <w:t>- Conforme estabelecido no §2</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inciso V, do Art 4</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da LRF, o Anexo de Metas Fiscais deverá conter um demonstrativo que indique a natureza da renúncia fiscal e sua compensação, de maneira a propiciar o equilíbrio das contas públicas.</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 A renúncia compreende incentivos fiscais, anistia, remissão, subsídio, crédito presumido, etc.</w:t>
      </w:r>
    </w:p>
    <w:p>
      <w:pPr>
        <w:widowControl w:val="0"/>
        <w:jc w:val="left"/>
        <w:rPr>
          <w:sz w:val="2"/>
          <w:szCs w:val="2"/>
        </w:rPr>
      </w:pPr>
      <w:r>
        <w:drawing>
          <wp:inline>
            <wp:extent cx="6480175" cy="768350"/>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3"/>
                    <a:stretch/>
                  </pic:blipFill>
                  <pic:spPr>
                    <a:xfrm>
                      <a:ext cx="6480175" cy="768350"/>
                    </a:xfrm>
                    <a:prstGeom prst="rect"/>
                  </pic:spPr>
                </pic:pic>
              </a:graphicData>
            </a:graphic>
          </wp:inline>
        </w:drawing>
      </w:r>
    </w:p>
    <w:p>
      <w:pPr>
        <w:pStyle w:val="Style11"/>
        <w:keepNext w:val="0"/>
        <w:keepLines w:val="0"/>
        <w:widowControl w:val="0"/>
        <w:shd w:val="clear" w:color="auto" w:fill="auto"/>
        <w:bidi w:val="0"/>
        <w:spacing w:before="0" w:after="0" w:line="240" w:lineRule="auto"/>
        <w:ind w:left="701" w:right="0" w:firstLine="0"/>
        <w:jc w:val="left"/>
        <w:rPr>
          <w:sz w:val="16"/>
          <w:szCs w:val="16"/>
        </w:rPr>
        <w:sectPr>
          <w:headerReference w:type="default" r:id="rId15"/>
          <w:footerReference w:type="default" r:id="rId16"/>
          <w:footnotePr>
            <w:pos w:val="pageBottom"/>
            <w:numFmt w:val="decimal"/>
            <w:numRestart w:val="continuous"/>
          </w:footnotePr>
          <w:pgSz w:w="11900" w:h="16840"/>
          <w:pgMar w:top="2737" w:left="1284" w:right="1198" w:bottom="606" w:header="0" w:footer="178" w:gutter="0"/>
          <w:cols w:space="720"/>
          <w:noEndnote/>
          <w:rtlGutter w:val="0"/>
          <w:docGrid w:linePitch="360"/>
        </w:sectPr>
      </w:pPr>
      <w:r>
        <w:rPr>
          <w:color w:val="000000"/>
          <w:spacing w:val="0"/>
          <w:w w:val="100"/>
          <w:position w:val="0"/>
          <w:sz w:val="16"/>
          <w:szCs w:val="16"/>
          <w:shd w:val="clear" w:color="auto" w:fill="auto"/>
          <w:lang w:val="pt-PT" w:eastAsia="pt-PT" w:bidi="pt-PT"/>
        </w:rPr>
        <w:t xml:space="preserve">Kua yuinuno </w:t>
      </w:r>
      <w:r>
        <w:rPr>
          <w:color w:val="000000"/>
          <w:spacing w:val="0"/>
          <w:w w:val="100"/>
          <w:position w:val="0"/>
          <w:sz w:val="16"/>
          <w:szCs w:val="16"/>
          <w:shd w:val="clear" w:color="auto" w:fill="auto"/>
          <w:lang w:val="pt-BR" w:eastAsia="pt-BR" w:bidi="pt-BR"/>
        </w:rPr>
        <w:t xml:space="preserve">oocaiuva, </w:t>
      </w:r>
      <w:r>
        <w:rPr>
          <w:color w:val="000000"/>
          <w:spacing w:val="0"/>
          <w:w w:val="100"/>
          <w:position w:val="0"/>
          <w:sz w:val="16"/>
          <w:szCs w:val="16"/>
          <w:shd w:val="clear" w:color="auto" w:fill="auto"/>
          <w:lang w:val="pt-PT" w:eastAsia="pt-PT" w:bidi="pt-PT"/>
        </w:rPr>
        <w:t xml:space="preserve">zw - centro | ctr: o^.i^u-uuu - </w:t>
      </w:r>
      <w:r>
        <w:rPr>
          <w:color w:val="000000"/>
          <w:spacing w:val="0"/>
          <w:w w:val="100"/>
          <w:position w:val="0"/>
          <w:sz w:val="16"/>
          <w:szCs w:val="16"/>
          <w:shd w:val="clear" w:color="auto" w:fill="auto"/>
          <w:lang w:val="pt-BR" w:eastAsia="pt-BR" w:bidi="pt-BR"/>
        </w:rPr>
        <w:t xml:space="preserve">roaues </w:t>
      </w:r>
      <w:r>
        <w:rPr>
          <w:color w:val="000000"/>
          <w:spacing w:val="0"/>
          <w:w w:val="100"/>
          <w:position w:val="0"/>
          <w:sz w:val="16"/>
          <w:szCs w:val="16"/>
          <w:shd w:val="clear" w:color="auto" w:fill="auto"/>
          <w:lang w:val="pt-PT" w:eastAsia="pt-PT" w:bidi="pt-PT"/>
        </w:rPr>
        <w:t>- Amazonas - e-maii: sepian.maues.ami^</w:t>
      </w:r>
      <w:r>
        <w:rPr>
          <w:color w:val="000000"/>
          <w:spacing w:val="0"/>
          <w:w w:val="100"/>
          <w:position w:val="0"/>
          <w:sz w:val="16"/>
          <w:szCs w:val="16"/>
          <w:shd w:val="clear" w:color="auto" w:fill="auto"/>
          <w:lang w:val="pt-PT" w:eastAsia="pt-PT" w:bidi="pt-PT"/>
        </w:rPr>
        <w:t>gmaii.com</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§2</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 A compensação será acompanhada de medidas provenientes do aumento da receita, elevação</w:t>
      </w:r>
    </w:p>
    <w:p>
      <w:pPr>
        <w:pStyle w:val="Style8"/>
        <w:keepNext w:val="0"/>
        <w:keepLines w:val="0"/>
        <w:widowControl w:val="0"/>
        <w:shd w:val="clear" w:color="auto" w:fill="auto"/>
        <w:bidi w:val="0"/>
        <w:spacing w:before="0" w:after="580" w:line="240" w:lineRule="auto"/>
        <w:ind w:left="0" w:right="0" w:firstLine="0"/>
        <w:jc w:val="both"/>
      </w:pPr>
      <w:r>
        <w:rPr>
          <w:color w:val="000000"/>
          <w:spacing w:val="0"/>
          <w:w w:val="100"/>
          <w:position w:val="0"/>
          <w:shd w:val="clear" w:color="auto" w:fill="auto"/>
          <w:lang w:val="pt-PT" w:eastAsia="pt-PT" w:bidi="pt-PT"/>
        </w:rPr>
        <w:t xml:space="preserve">de </w:t>
      </w:r>
      <w:r>
        <w:rPr>
          <w:color w:val="000000"/>
          <w:spacing w:val="0"/>
          <w:w w:val="100"/>
          <w:position w:val="0"/>
          <w:shd w:val="clear" w:color="auto" w:fill="auto"/>
          <w:lang w:val="pt-BR" w:eastAsia="pt-BR" w:bidi="pt-BR"/>
        </w:rPr>
        <w:t xml:space="preserve">alíquotas, </w:t>
      </w:r>
      <w:r>
        <w:rPr>
          <w:color w:val="000000"/>
          <w:spacing w:val="0"/>
          <w:w w:val="100"/>
          <w:position w:val="0"/>
          <w:shd w:val="clear" w:color="auto" w:fill="auto"/>
          <w:lang w:val="pt-PT" w:eastAsia="pt-PT" w:bidi="pt-PT"/>
        </w:rPr>
        <w:t>ampliação da base de cálculo, majoração ou criação de tributo ou contribuição.</w:t>
      </w:r>
    </w:p>
    <w:p>
      <w:pPr>
        <w:pStyle w:val="Style2"/>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MARGEM DE EXPANSÃO DAS DESPESAS OBRIGATÓRIAS DE CARÁTER CONTINUADO.</w:t>
      </w:r>
    </w:p>
    <w:p>
      <w:pPr>
        <w:pStyle w:val="Style8"/>
        <w:keepNext w:val="0"/>
        <w:keepLines w:val="0"/>
        <w:widowControl w:val="0"/>
        <w:shd w:val="clear" w:color="auto" w:fill="auto"/>
        <w:bidi w:val="0"/>
        <w:spacing w:before="0" w:line="28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14 - </w:t>
      </w:r>
      <w:r>
        <w:rPr>
          <w:color w:val="000000"/>
          <w:spacing w:val="0"/>
          <w:w w:val="100"/>
          <w:position w:val="0"/>
          <w:shd w:val="clear" w:color="auto" w:fill="auto"/>
          <w:lang w:val="pt-PT" w:eastAsia="pt-PT" w:bidi="pt-PT"/>
        </w:rPr>
        <w:t>O Art. 17, da LRF, considera obrigatória de caráter continuado a despesa corrente derivada de lei, medida provisória ou ato administrativo normativo que fixem para o ente obrigação legal de sua execução por um período superior a dois exercícios.</w:t>
      </w:r>
    </w:p>
    <w:p>
      <w:pPr>
        <w:pStyle w:val="Style8"/>
        <w:keepNext w:val="0"/>
        <w:keepLines w:val="0"/>
        <w:widowControl w:val="0"/>
        <w:shd w:val="clear" w:color="auto" w:fill="auto"/>
        <w:bidi w:val="0"/>
        <w:spacing w:before="0" w:after="580" w:line="28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 </w:t>
      </w:r>
      <w:r>
        <w:rPr>
          <w:color w:val="000000"/>
          <w:spacing w:val="0"/>
          <w:w w:val="100"/>
          <w:position w:val="0"/>
          <w:shd w:val="clear" w:color="auto" w:fill="auto"/>
          <w:lang w:val="pt-PT" w:eastAsia="pt-PT" w:bidi="pt-PT"/>
        </w:rPr>
        <w:t xml:space="preserve">O Demonstrativo 8 - Margem de Expansão das Despesas de Caráter Continuado, </w:t>
      </w:r>
      <w:r>
        <w:rPr>
          <w:color w:val="000000"/>
          <w:spacing w:val="0"/>
          <w:w w:val="100"/>
          <w:position w:val="0"/>
          <w:shd w:val="clear" w:color="auto" w:fill="auto"/>
          <w:lang w:val="pt-BR" w:eastAsia="pt-BR" w:bidi="pt-BR"/>
        </w:rPr>
        <w:t xml:space="preserve">destina-se </w:t>
      </w:r>
      <w:r>
        <w:rPr>
          <w:color w:val="000000"/>
          <w:spacing w:val="0"/>
          <w:w w:val="100"/>
          <w:position w:val="0"/>
          <w:shd w:val="clear" w:color="auto" w:fill="auto"/>
          <w:lang w:val="pt-PT" w:eastAsia="pt-PT" w:bidi="pt-PT"/>
        </w:rPr>
        <w:t xml:space="preserve">a permitir possível inclusão de eventuais programas, projetos ou atividades que venham </w:t>
      </w:r>
      <w:r>
        <w:rPr>
          <w:color w:val="000000"/>
          <w:spacing w:val="0"/>
          <w:w w:val="100"/>
          <w:position w:val="0"/>
          <w:shd w:val="clear" w:color="auto" w:fill="auto"/>
          <w:lang w:val="pt-BR" w:eastAsia="pt-BR" w:bidi="pt-BR"/>
        </w:rPr>
        <w:t xml:space="preserve">caracterizar </w:t>
      </w:r>
      <w:r>
        <w:rPr>
          <w:color w:val="000000"/>
          <w:spacing w:val="0"/>
          <w:w w:val="100"/>
          <w:position w:val="0"/>
          <w:shd w:val="clear" w:color="auto" w:fill="auto"/>
          <w:lang w:val="pt-PT" w:eastAsia="pt-PT" w:bidi="pt-PT"/>
        </w:rPr>
        <w:t>a criação de despesas de caráter continuado.</w:t>
      </w:r>
    </w:p>
    <w:p>
      <w:pPr>
        <w:pStyle w:val="Style2"/>
        <w:keepNext w:val="0"/>
        <w:keepLines w:val="0"/>
        <w:widowControl w:val="0"/>
        <w:shd w:val="clear" w:color="auto" w:fill="auto"/>
        <w:bidi w:val="0"/>
        <w:spacing w:before="0" w:after="560" w:line="27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MEMÓRIA E METODOLOGIA DE CÁLCULO DAS METAS ANUAIS DE RECEITAS, DESPESAS,</w:t>
        <w:br/>
        <w:t>RESULTADO PRIMÁRIO, RESULTADO NOMINAL E MONTANTE DA DÍVIDA PÚBLICA.</w:t>
      </w:r>
    </w:p>
    <w:p>
      <w:pPr>
        <w:pStyle w:val="Style2"/>
        <w:keepNext w:val="0"/>
        <w:keepLines w:val="0"/>
        <w:widowControl w:val="0"/>
        <w:shd w:val="clear" w:color="auto" w:fill="auto"/>
        <w:bidi w:val="0"/>
        <w:spacing w:before="0" w:line="240" w:lineRule="auto"/>
        <w:ind w:left="22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METODOLOGIA E MEMÓRIA DE CÁLCULO DAS METAS </w:t>
      </w:r>
      <w:r>
        <w:rPr>
          <w:rFonts w:ascii="Times New Roman" w:eastAsia="Times New Roman" w:hAnsi="Times New Roman" w:cs="Times New Roman"/>
          <w:color w:val="000000"/>
          <w:spacing w:val="0"/>
          <w:w w:val="100"/>
          <w:position w:val="0"/>
          <w:shd w:val="clear" w:color="auto" w:fill="auto"/>
          <w:lang w:val="pt-BR" w:eastAsia="pt-BR" w:bidi="pt-BR"/>
        </w:rPr>
        <w:t xml:space="preserve">ANUAIS </w:t>
      </w:r>
      <w:r>
        <w:rPr>
          <w:rFonts w:ascii="Times New Roman" w:eastAsia="Times New Roman" w:hAnsi="Times New Roman" w:cs="Times New Roman"/>
          <w:color w:val="000000"/>
          <w:spacing w:val="0"/>
          <w:w w:val="100"/>
          <w:position w:val="0"/>
          <w:shd w:val="clear" w:color="auto" w:fill="auto"/>
          <w:lang w:val="pt-PT" w:eastAsia="pt-PT" w:bidi="pt-PT"/>
        </w:rPr>
        <w:t>DAS RECEITAS E DESPESAS.</w:t>
      </w:r>
    </w:p>
    <w:p>
      <w:pPr>
        <w:pStyle w:val="Style8"/>
        <w:keepNext w:val="0"/>
        <w:keepLines w:val="0"/>
        <w:widowControl w:val="0"/>
        <w:shd w:val="clear" w:color="auto" w:fill="auto"/>
        <w:bidi w:val="0"/>
        <w:spacing w:before="0" w:line="29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15-0 </w:t>
      </w:r>
      <w:r>
        <w:rPr>
          <w:color w:val="000000"/>
          <w:spacing w:val="0"/>
          <w:w w:val="100"/>
          <w:position w:val="0"/>
          <w:shd w:val="clear" w:color="auto" w:fill="auto"/>
          <w:lang w:val="pt-PT" w:eastAsia="pt-PT" w:bidi="pt-PT"/>
        </w:rPr>
        <w:t xml:space="preserve">§2°, inciso II, do Art 4-, da LRF, determina que o demonstrativo de Metas Anuais seja instruído com memória e metodologia de cálculo que justifiquem os resultados pretendidos, comparando-as com as fixadas nos três exercícios anteriores, e evidenciando a consistência delas com as premissas e os objetivos da política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nacional.</w:t>
      </w:r>
    </w:p>
    <w:p>
      <w:pPr>
        <w:pStyle w:val="Style8"/>
        <w:keepNext w:val="0"/>
        <w:keepLines w:val="0"/>
        <w:widowControl w:val="0"/>
        <w:shd w:val="clear" w:color="auto" w:fill="auto"/>
        <w:bidi w:val="0"/>
        <w:spacing w:before="0" w:after="560" w:line="28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 </w:t>
      </w:r>
      <w:r>
        <w:rPr>
          <w:color w:val="000000"/>
          <w:spacing w:val="0"/>
          <w:w w:val="100"/>
          <w:position w:val="0"/>
          <w:shd w:val="clear" w:color="auto" w:fill="auto"/>
          <w:lang w:val="pt-PT" w:eastAsia="pt-PT" w:bidi="pt-PT"/>
        </w:rPr>
        <w:t>De conformidade com a Portaria STN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1.447, de 14 de junho de 2022, a base de dados da receita e da despesa </w:t>
      </w:r>
      <w:r>
        <w:rPr>
          <w:color w:val="000000"/>
          <w:spacing w:val="0"/>
          <w:w w:val="100"/>
          <w:position w:val="0"/>
          <w:shd w:val="clear" w:color="auto" w:fill="auto"/>
          <w:lang w:val="pt-BR" w:eastAsia="pt-BR" w:bidi="pt-BR"/>
        </w:rPr>
        <w:t xml:space="preserve">constitui-se </w:t>
      </w:r>
      <w:r>
        <w:rPr>
          <w:color w:val="000000"/>
          <w:spacing w:val="0"/>
          <w:w w:val="100"/>
          <w:position w:val="0"/>
          <w:shd w:val="clear" w:color="auto" w:fill="auto"/>
          <w:lang w:val="pt-PT" w:eastAsia="pt-PT" w:bidi="pt-PT"/>
        </w:rPr>
        <w:t>dos valores arrecadados na receita realizada e na despesa executada nos três exercícios anteriores e das previsões para 2026, 2027 e 2028.</w:t>
      </w:r>
    </w:p>
    <w:p>
      <w:pPr>
        <w:pStyle w:val="Style2"/>
        <w:keepNext w:val="0"/>
        <w:keepLines w:val="0"/>
        <w:widowControl w:val="0"/>
        <w:shd w:val="clear" w:color="auto" w:fill="auto"/>
        <w:bidi w:val="0"/>
        <w:spacing w:before="0" w:after="540" w:line="283"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METODOLOGIA E MEMÓRIA DE CÁLCULO DAS METAS ANUAIS DOS RESULTADOS PRIMÁRIO E</w:t>
        <w:br/>
        <w:t>NOMINAL.</w:t>
      </w:r>
    </w:p>
    <w:p>
      <w:pPr>
        <w:pStyle w:val="Style8"/>
        <w:keepNext w:val="0"/>
        <w:keepLines w:val="0"/>
        <w:widowControl w:val="0"/>
        <w:shd w:val="clear" w:color="auto" w:fill="auto"/>
        <w:bidi w:val="0"/>
        <w:spacing w:before="0" w:line="295"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16 - </w:t>
      </w:r>
      <w:r>
        <w:rPr>
          <w:color w:val="000000"/>
          <w:spacing w:val="0"/>
          <w:w w:val="100"/>
          <w:position w:val="0"/>
          <w:shd w:val="clear" w:color="auto" w:fill="auto"/>
          <w:lang w:val="pt-PT" w:eastAsia="pt-PT" w:bidi="pt-PT"/>
        </w:rPr>
        <w:t xml:space="preserve">A finalidade do conceito de Resultado Primário é indicar se os níveis de gastos </w:t>
      </w:r>
      <w:r>
        <w:rPr>
          <w:color w:val="000000"/>
          <w:spacing w:val="0"/>
          <w:w w:val="100"/>
          <w:position w:val="0"/>
          <w:shd w:val="clear" w:color="auto" w:fill="auto"/>
          <w:lang w:val="pt-BR" w:eastAsia="pt-BR" w:bidi="pt-BR"/>
        </w:rPr>
        <w:t xml:space="preserve">orçamentários, </w:t>
      </w:r>
      <w:r>
        <w:rPr>
          <w:color w:val="000000"/>
          <w:spacing w:val="0"/>
          <w:w w:val="100"/>
          <w:position w:val="0"/>
          <w:shd w:val="clear" w:color="auto" w:fill="auto"/>
          <w:lang w:val="pt-PT" w:eastAsia="pt-PT" w:bidi="pt-PT"/>
        </w:rPr>
        <w:t>são compatíveis com sua arrecadação, ou seja, se as receitas não financeiras são capazes de suportar as despesas não-financeiras.</w:t>
      </w:r>
    </w:p>
    <w:p>
      <w:pPr>
        <w:pStyle w:val="Style8"/>
        <w:keepNext w:val="0"/>
        <w:keepLines w:val="0"/>
        <w:widowControl w:val="0"/>
        <w:shd w:val="clear" w:color="auto" w:fill="auto"/>
        <w:bidi w:val="0"/>
        <w:spacing w:before="0" w:after="0" w:line="295"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ArL 17 - </w:t>
      </w:r>
      <w:r>
        <w:rPr>
          <w:color w:val="000000"/>
          <w:spacing w:val="0"/>
          <w:w w:val="100"/>
          <w:position w:val="0"/>
          <w:shd w:val="clear" w:color="auto" w:fill="auto"/>
          <w:lang w:val="pt-PT" w:eastAsia="pt-PT" w:bidi="pt-PT"/>
        </w:rPr>
        <w:t>0 cálculo do Resultado Nominal, deverá obedecera metodologia determinada pelo Governo Federal, com regulamentação pela STN.</w:t>
      </w:r>
      <w:r>
        <w:br w:type="page"/>
      </w:r>
    </w:p>
    <w:p>
      <w:pPr>
        <w:pStyle w:val="Style8"/>
        <w:keepNext w:val="0"/>
        <w:keepLines w:val="0"/>
        <w:widowControl w:val="0"/>
        <w:shd w:val="clear" w:color="auto" w:fill="auto"/>
        <w:bidi w:val="0"/>
        <w:spacing w:before="0" w:line="300" w:lineRule="auto"/>
        <w:ind w:left="0" w:right="0" w:firstLine="0"/>
        <w:jc w:val="both"/>
      </w:pPr>
      <w:r>
        <w:rPr>
          <w:color w:val="000000"/>
          <w:spacing w:val="0"/>
          <w:w w:val="100"/>
          <w:position w:val="0"/>
          <w:shd w:val="clear" w:color="auto" w:fill="auto"/>
          <w:lang w:val="pt-PT" w:eastAsia="pt-PT" w:bidi="pt-PT"/>
        </w:rPr>
        <w:t xml:space="preserve">§1° - O cálculo da Meta de Resultado Primário deverá obedecer à metodologia estabelecida pelo Governo Federal, através das Portarias expedidas pela STN - Secretaria do Tesouro Nacional 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normas da contabilidade pública.</w:t>
      </w:r>
    </w:p>
    <w:p>
      <w:pPr>
        <w:pStyle w:val="Style8"/>
        <w:keepNext w:val="0"/>
        <w:keepLines w:val="0"/>
        <w:widowControl w:val="0"/>
        <w:shd w:val="clear" w:color="auto" w:fill="auto"/>
        <w:bidi w:val="0"/>
        <w:spacing w:before="0" w:line="300" w:lineRule="auto"/>
        <w:ind w:left="0" w:right="0" w:firstLine="0"/>
        <w:jc w:val="both"/>
      </w:pPr>
      <w:r>
        <w:rPr>
          <w:color w:val="000000"/>
          <w:spacing w:val="0"/>
          <w:w w:val="100"/>
          <w:position w:val="0"/>
          <w:shd w:val="clear" w:color="auto" w:fill="auto"/>
          <w:lang w:val="pt-PT" w:eastAsia="pt-PT" w:bidi="pt-PT"/>
        </w:rPr>
        <w:t>§2</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 O cálculo das Metas Anuais do Resultado Nominal, deverá levar em conta a Dívida Consolidada, da qual deverá ser deduzido o Ativo Disponível,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Haveres Financeiros menos Restos a Pagar Processados, que resultará na Dívida Consolidada Líquida, que somada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Receitas de </w:t>
      </w:r>
      <w:r>
        <w:rPr>
          <w:color w:val="000000"/>
          <w:spacing w:val="0"/>
          <w:w w:val="100"/>
          <w:position w:val="0"/>
          <w:shd w:val="clear" w:color="auto" w:fill="auto"/>
          <w:lang w:val="pt-BR" w:eastAsia="pt-BR" w:bidi="pt-BR"/>
        </w:rPr>
        <w:t xml:space="preserve">Privatizações </w:t>
      </w:r>
      <w:r>
        <w:rPr>
          <w:color w:val="000000"/>
          <w:spacing w:val="0"/>
          <w:w w:val="100"/>
          <w:position w:val="0"/>
          <w:shd w:val="clear" w:color="auto" w:fill="auto"/>
          <w:lang w:val="pt-PT" w:eastAsia="pt-PT" w:bidi="pt-PT"/>
        </w:rPr>
        <w:t>e deduzidos os Passivos Reconhecidos, resultará na Dívida Fiscal Líquida.</w:t>
      </w:r>
    </w:p>
    <w:p>
      <w:pPr>
        <w:pStyle w:val="Style8"/>
        <w:keepNext w:val="0"/>
        <w:keepLines w:val="0"/>
        <w:widowControl w:val="0"/>
        <w:shd w:val="clear" w:color="auto" w:fill="auto"/>
        <w:bidi w:val="0"/>
        <w:spacing w:before="0" w:after="540" w:line="300" w:lineRule="auto"/>
        <w:ind w:left="0" w:right="0" w:firstLine="0"/>
        <w:jc w:val="both"/>
      </w:pPr>
      <w:r>
        <w:rPr>
          <w:color w:val="000000"/>
          <w:spacing w:val="0"/>
          <w:w w:val="100"/>
          <w:position w:val="0"/>
          <w:shd w:val="clear" w:color="auto" w:fill="auto"/>
          <w:lang w:val="pt-PT" w:eastAsia="pt-PT" w:bidi="pt-PT"/>
        </w:rPr>
        <w:t>§3</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 A unificação dos Demonstrativos de Resultados Primário e Nominal, obedeceram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determinações da Portaria STN N- 495/2017 e o modelo de relatório da Portaria STN n° 286, de 7 de maio de 2019.</w:t>
      </w:r>
    </w:p>
    <w:p>
      <w:pPr>
        <w:pStyle w:val="Style2"/>
        <w:keepNext w:val="0"/>
        <w:keepLines w:val="0"/>
        <w:widowControl w:val="0"/>
        <w:shd w:val="clear" w:color="auto" w:fill="auto"/>
        <w:bidi w:val="0"/>
        <w:spacing w:before="0" w:after="540" w:line="283"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METODOLOGIA E MEMÓRIA DE CÁLCULO DAS METAS ANUAIS DO MONTANTE DA DÍVIDA</w:t>
        <w:br/>
        <w:t>PÚBLICA.</w:t>
      </w:r>
    </w:p>
    <w:p>
      <w:pPr>
        <w:pStyle w:val="Style8"/>
        <w:keepNext w:val="0"/>
        <w:keepLines w:val="0"/>
        <w:widowControl w:val="0"/>
        <w:shd w:val="clear" w:color="auto" w:fill="auto"/>
        <w:bidi w:val="0"/>
        <w:spacing w:before="0" w:line="288"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18 - </w:t>
      </w:r>
      <w:r>
        <w:rPr>
          <w:color w:val="000000"/>
          <w:spacing w:val="0"/>
          <w:w w:val="100"/>
          <w:position w:val="0"/>
          <w:shd w:val="clear" w:color="auto" w:fill="auto"/>
          <w:lang w:val="pt-PT" w:eastAsia="pt-PT" w:bidi="pt-PT"/>
        </w:rPr>
        <w:t>Dívida Pública é o montante das obrigações assumidas pelo ente da Federação. Esta é representada pela emissão de títulos, operações de créditos e precatórios judiciais.</w:t>
      </w:r>
    </w:p>
    <w:p>
      <w:pPr>
        <w:pStyle w:val="Style8"/>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 </w:t>
      </w:r>
      <w:r>
        <w:rPr>
          <w:color w:val="000000"/>
          <w:spacing w:val="0"/>
          <w:w w:val="100"/>
          <w:position w:val="0"/>
          <w:shd w:val="clear" w:color="auto" w:fill="auto"/>
          <w:lang w:val="pt-PT" w:eastAsia="pt-PT" w:bidi="pt-PT"/>
        </w:rPr>
        <w:t>Utiliza a base de dados de Balanços e Balancetes para sua elaboração, constituída</w:t>
      </w:r>
    </w:p>
    <w:p>
      <w:pPr>
        <w:pStyle w:val="Style8"/>
        <w:keepNext w:val="0"/>
        <w:keepLines w:val="0"/>
        <w:widowControl w:val="0"/>
        <w:shd w:val="clear" w:color="auto" w:fill="auto"/>
        <w:bidi w:val="0"/>
        <w:spacing w:before="0" w:after="560" w:line="300" w:lineRule="auto"/>
        <w:ind w:left="0" w:right="0" w:firstLine="0"/>
        <w:jc w:val="both"/>
      </w:pPr>
      <w:r>
        <w:rPr>
          <w:color w:val="000000"/>
          <w:spacing w:val="0"/>
          <w:w w:val="100"/>
          <w:position w:val="0"/>
          <w:shd w:val="clear" w:color="auto" w:fill="auto"/>
          <w:lang w:val="pt-PT" w:eastAsia="pt-PT" w:bidi="pt-PT"/>
        </w:rPr>
        <w:t>dos valores apurados nos exercícios anteriores e da projeção dos valores para 2026, 2027 e 2028.</w:t>
      </w:r>
    </w:p>
    <w:p>
      <w:pPr>
        <w:pStyle w:val="Style2"/>
        <w:keepNext w:val="0"/>
        <w:keepLines w:val="0"/>
        <w:widowControl w:val="0"/>
        <w:numPr>
          <w:ilvl w:val="0"/>
          <w:numId w:val="5"/>
        </w:numPr>
        <w:shd w:val="clear" w:color="auto" w:fill="auto"/>
        <w:tabs>
          <w:tab w:pos="2155" w:val="left"/>
        </w:tabs>
        <w:bidi w:val="0"/>
        <w:spacing w:before="0" w:after="600" w:line="240" w:lineRule="auto"/>
        <w:ind w:left="18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DAS PRIORIDADES DA ADMINISTRAÇÃO MUNICIPAL.</w:t>
      </w:r>
    </w:p>
    <w:p>
      <w:pPr>
        <w:pStyle w:val="Style8"/>
        <w:keepNext w:val="0"/>
        <w:keepLines w:val="0"/>
        <w:widowControl w:val="0"/>
        <w:shd w:val="clear" w:color="auto" w:fill="auto"/>
        <w:bidi w:val="0"/>
        <w:spacing w:before="0" w:line="29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19 - </w:t>
      </w:r>
      <w:r>
        <w:rPr>
          <w:color w:val="000000"/>
          <w:spacing w:val="0"/>
          <w:w w:val="100"/>
          <w:position w:val="0"/>
          <w:shd w:val="clear" w:color="auto" w:fill="auto"/>
          <w:lang w:val="pt-PT" w:eastAsia="pt-PT" w:bidi="pt-PT"/>
        </w:rPr>
        <w:t>As prioridades e metas da Administração Municipal para o exercício financeiro de 2026, estão definidas e demonstradas no Plano Plurianual de 2026 a 2029, compatíveis com os objetivos e normas estabelecidas nesta lei.</w:t>
      </w:r>
    </w:p>
    <w:p>
      <w:pPr>
        <w:pStyle w:val="Style8"/>
        <w:keepNext w:val="0"/>
        <w:keepLines w:val="0"/>
        <w:widowControl w:val="0"/>
        <w:shd w:val="clear" w:color="auto" w:fill="auto"/>
        <w:bidi w:val="0"/>
        <w:spacing w:before="0" w:line="300" w:lineRule="auto"/>
        <w:ind w:left="0" w:right="0" w:firstLine="0"/>
        <w:jc w:val="both"/>
      </w:pPr>
      <w:r>
        <w:rPr>
          <w:color w:val="000000"/>
          <w:spacing w:val="0"/>
          <w:w w:val="100"/>
          <w:position w:val="0"/>
          <w:shd w:val="clear" w:color="auto" w:fill="auto"/>
          <w:lang w:val="pt-PT" w:eastAsia="pt-PT" w:bidi="pt-PT"/>
        </w:rPr>
        <w:t>§1</w:t>
      </w:r>
      <w:r>
        <w:rPr>
          <w:color w:val="000000"/>
          <w:spacing w:val="0"/>
          <w:w w:val="100"/>
          <w:position w:val="0"/>
          <w:shd w:val="clear" w:color="auto" w:fill="auto"/>
          <w:vertAlign w:val="superscript"/>
          <w:lang w:val="pt-PT" w:eastAsia="pt-PT" w:bidi="pt-PT"/>
        </w:rPr>
        <w:t>0</w:t>
      </w:r>
      <w:r>
        <w:rPr>
          <w:color w:val="000000"/>
          <w:spacing w:val="0"/>
          <w:w w:val="100"/>
          <w:position w:val="0"/>
          <w:shd w:val="clear" w:color="auto" w:fill="auto"/>
          <w:lang w:val="pt-PT" w:eastAsia="pt-PT" w:bidi="pt-PT"/>
        </w:rPr>
        <w:t xml:space="preserve"> - Os recursos estimados na Lei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para 2026 serão destinados, preferencialmente, para as prioridades e metas estabelecidas nos Anexos do Plano Plurianual não se constituindo, todavia, em limite à programação das despesas.</w:t>
      </w:r>
    </w:p>
    <w:p>
      <w:pPr>
        <w:pStyle w:val="Style8"/>
        <w:keepNext w:val="0"/>
        <w:keepLines w:val="0"/>
        <w:widowControl w:val="0"/>
        <w:shd w:val="clear" w:color="auto" w:fill="auto"/>
        <w:bidi w:val="0"/>
        <w:spacing w:before="0" w:after="540" w:line="307" w:lineRule="auto"/>
        <w:ind w:left="0" w:right="0" w:firstLine="0"/>
        <w:jc w:val="both"/>
      </w:pPr>
      <w:r>
        <w:drawing>
          <wp:anchor distT="0" distB="0" distL="114300" distR="114300" simplePos="0" relativeHeight="125829379" behindDoc="0" locked="0" layoutInCell="1" allowOverlap="1">
            <wp:simplePos x="0" y="0"/>
            <wp:positionH relativeFrom="page">
              <wp:posOffset>6690360</wp:posOffset>
            </wp:positionH>
            <wp:positionV relativeFrom="paragraph">
              <wp:posOffset>863600</wp:posOffset>
            </wp:positionV>
            <wp:extent cx="646430" cy="762000"/>
            <wp:wrapSquare wrapText="bothSides"/>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7"/>
                    <a:stretch/>
                  </pic:blipFill>
                  <pic:spPr>
                    <a:xfrm>
                      <a:ext cx="646430" cy="762000"/>
                    </a:xfrm>
                    <a:prstGeom prst="rect"/>
                  </pic:spPr>
                </pic:pic>
              </a:graphicData>
            </a:graphic>
          </wp:anchor>
        </w:drawing>
      </w:r>
      <w:r>
        <w:rPr>
          <w:color w:val="000000"/>
          <w:spacing w:val="0"/>
          <w:w w:val="100"/>
          <w:position w:val="0"/>
          <w:shd w:val="clear" w:color="auto" w:fill="auto"/>
          <w:lang w:val="pt-PT" w:eastAsia="pt-PT" w:bidi="pt-PT"/>
        </w:rPr>
        <w:t xml:space="preserve">§2° - Na elaboração da proposta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 xml:space="preserve">para 2026, o Poder Executivo poderá aumentar ou diminuir as metas físicas estabelecidas nesta Lei, a fim de </w:t>
      </w:r>
      <w:r>
        <w:rPr>
          <w:color w:val="000000"/>
          <w:spacing w:val="0"/>
          <w:w w:val="100"/>
          <w:position w:val="0"/>
          <w:shd w:val="clear" w:color="auto" w:fill="auto"/>
          <w:lang w:val="pt-BR" w:eastAsia="pt-BR" w:bidi="pt-BR"/>
        </w:rPr>
        <w:t xml:space="preserve">compatibilizar </w:t>
      </w:r>
      <w:r>
        <w:rPr>
          <w:color w:val="000000"/>
          <w:spacing w:val="0"/>
          <w:w w:val="100"/>
          <w:position w:val="0"/>
          <w:shd w:val="clear" w:color="auto" w:fill="auto"/>
          <w:lang w:val="pt-PT" w:eastAsia="pt-PT" w:bidi="pt-PT"/>
        </w:rPr>
        <w:t>a despesa orçada à receita estimada, de forma a preservar o equilíbrio das contas públicas.</w:t>
      </w:r>
    </w:p>
    <w:p>
      <w:pPr>
        <w:pStyle w:val="Style2"/>
        <w:keepNext w:val="0"/>
        <w:keepLines w:val="0"/>
        <w:widowControl w:val="0"/>
        <w:numPr>
          <w:ilvl w:val="0"/>
          <w:numId w:val="5"/>
        </w:numPr>
        <w:shd w:val="clear" w:color="auto" w:fill="auto"/>
        <w:tabs>
          <w:tab w:pos="3062" w:val="left"/>
        </w:tabs>
        <w:bidi w:val="0"/>
        <w:spacing w:before="0" w:after="420" w:line="240" w:lineRule="auto"/>
        <w:ind w:left="272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DA ESTRUTURA DOS ORÇAMENTOS.</w:t>
      </w:r>
      <w:r>
        <w:br w:type="page"/>
      </w:r>
    </w:p>
    <w:p>
      <w:pPr>
        <w:widowControl w:val="0"/>
        <w:spacing w:line="1" w:lineRule="exact"/>
      </w:pPr>
      <w:r>
        <w:drawing>
          <wp:anchor distT="0" distB="1003300" distL="0" distR="0" simplePos="0" relativeHeight="125829380" behindDoc="0" locked="0" layoutInCell="1" allowOverlap="1">
            <wp:simplePos x="0" y="0"/>
            <wp:positionH relativeFrom="page">
              <wp:posOffset>3477895</wp:posOffset>
            </wp:positionH>
            <wp:positionV relativeFrom="paragraph">
              <wp:posOffset>0</wp:posOffset>
            </wp:positionV>
            <wp:extent cx="682625" cy="676910"/>
            <wp:wrapTopAndBottom/>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9"/>
                    <a:stretch/>
                  </pic:blipFill>
                  <pic:spPr>
                    <a:xfrm>
                      <a:ext cx="682625" cy="676910"/>
                    </a:xfrm>
                    <a:prstGeom prst="rect"/>
                  </pic:spPr>
                </pic:pic>
              </a:graphicData>
            </a:graphic>
          </wp:anchor>
        </w:drawing>
      </w:r>
    </w:p>
    <w:p>
      <w:pPr>
        <w:pStyle w:val="Style8"/>
        <w:keepNext w:val="0"/>
        <w:keepLines w:val="0"/>
        <w:widowControl w:val="0"/>
        <w:shd w:val="clear" w:color="auto" w:fill="auto"/>
        <w:bidi w:val="0"/>
        <w:spacing w:before="0"/>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w:t>
      </w:r>
      <w:r>
        <w:rPr>
          <w:color w:val="000000"/>
          <w:spacing w:val="0"/>
          <w:w w:val="100"/>
          <w:position w:val="0"/>
          <w:shd w:val="clear" w:color="auto" w:fill="auto"/>
          <w:lang w:val="pt-PT" w:eastAsia="pt-PT" w:bidi="pt-PT"/>
        </w:rPr>
        <w:t>20 - 0 orçamento para o exercício financeiro de 2026 abrangerá os Poderes Legislativo e Executivo, Fundações, Fundos, Empresas Públicas e Outras, que recebam recursos do Tesouro e da Seguridade Social e será estruturado em conformidade com a Estrutura Organizacional estabelecida em cada Entidade da Administração Municipal.</w:t>
      </w:r>
    </w:p>
    <w:p>
      <w:pPr>
        <w:pStyle w:val="Style8"/>
        <w:keepNext w:val="0"/>
        <w:keepLines w:val="0"/>
        <w:widowControl w:val="0"/>
        <w:shd w:val="clear" w:color="auto" w:fill="auto"/>
        <w:bidi w:val="0"/>
        <w:spacing w:before="0"/>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21 - </w:t>
      </w:r>
      <w:r>
        <w:rPr>
          <w:color w:val="000000"/>
          <w:spacing w:val="0"/>
          <w:w w:val="100"/>
          <w:position w:val="0"/>
          <w:shd w:val="clear" w:color="auto" w:fill="auto"/>
          <w:lang w:val="pt-PT" w:eastAsia="pt-PT" w:bidi="pt-PT"/>
        </w:rPr>
        <w:t xml:space="preserve">A Lei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 xml:space="preserve">para 2026 evidenciará as Receitas e Despesas de cada uma das Unidades Gestoras, especificando aqueles vínculos a Fundos, Autarquias, e aos Orçamentos Fiscais e da Seguridade Social, desdobradas as despesas por função, sub-função, programa, projeto, atividade ou operações especiais e, quanto a sua natureza, por categoria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grupo de natureza de despesa e modalidade de aplicação, tudo em conformidade com as Portarias SOF/STN 42/1999 e 163/2001 e alterações posteriores, as quais deverão conter os Anexos exigidos nas Portarias da Secretaria do Tesouro Nacional - STN.</w:t>
      </w:r>
    </w:p>
    <w:p>
      <w:pPr>
        <w:pStyle w:val="Style8"/>
        <w:keepNext w:val="0"/>
        <w:keepLines w:val="0"/>
        <w:widowControl w:val="0"/>
        <w:shd w:val="clear" w:color="auto" w:fill="auto"/>
        <w:bidi w:val="0"/>
        <w:spacing w:before="0" w:after="560" w:line="288"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22 - </w:t>
      </w:r>
      <w:r>
        <w:rPr>
          <w:color w:val="000000"/>
          <w:spacing w:val="0"/>
          <w:w w:val="100"/>
          <w:position w:val="0"/>
          <w:shd w:val="clear" w:color="auto" w:fill="auto"/>
          <w:lang w:val="pt-PT" w:eastAsia="pt-PT" w:bidi="pt-PT"/>
        </w:rPr>
        <w:t xml:space="preserve">A Mensagem de Encaminhamento da Proposta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de que trata o art 22, Parágrafo Único, inciso Ida Lei 4.320/1964, conterá todos os Anexos exigidos na legislação vigente.</w:t>
      </w:r>
    </w:p>
    <w:p>
      <w:pPr>
        <w:pStyle w:val="Style2"/>
        <w:keepNext w:val="0"/>
        <w:keepLines w:val="0"/>
        <w:widowControl w:val="0"/>
        <w:numPr>
          <w:ilvl w:val="0"/>
          <w:numId w:val="5"/>
        </w:numPr>
        <w:shd w:val="clear" w:color="auto" w:fill="auto"/>
        <w:tabs>
          <w:tab w:pos="572" w:val="left"/>
        </w:tabs>
        <w:bidi w:val="0"/>
        <w:spacing w:before="0" w:after="600" w:line="240" w:lineRule="auto"/>
        <w:ind w:left="2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DAS DIRETRIZES PARA A ELABORAÇÃO E EXECUÇÃO DO ORÇAMENTO DO MUNICÍPIO</w:t>
      </w:r>
    </w:p>
    <w:p>
      <w:pPr>
        <w:pStyle w:val="Style8"/>
        <w:keepNext w:val="0"/>
        <w:keepLines w:val="0"/>
        <w:widowControl w:val="0"/>
        <w:shd w:val="clear" w:color="auto" w:fill="auto"/>
        <w:bidi w:val="0"/>
        <w:spacing w:before="0" w:line="29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23 </w:t>
      </w:r>
      <w:r>
        <w:rPr>
          <w:color w:val="000000"/>
          <w:spacing w:val="0"/>
          <w:w w:val="100"/>
          <w:position w:val="0"/>
          <w:shd w:val="clear" w:color="auto" w:fill="auto"/>
          <w:lang w:val="pt-PT" w:eastAsia="pt-PT" w:bidi="pt-PT"/>
        </w:rPr>
        <w:t>- O Orçamento para exercício de 2026 obedecerá entre outros, ao princípio da transparência e do equilíbrio entre receitas e despesas, abrangendo os Poderes Legislativo e Executivo, Fundações, Fundos, Empresas Públicas e Outras (arts. I</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§1° 4</w:t>
      </w:r>
      <w:r>
        <w:rPr>
          <w:color w:val="000000"/>
          <w:spacing w:val="0"/>
          <w:w w:val="100"/>
          <w:position w:val="0"/>
          <w:shd w:val="clear" w:color="auto" w:fill="auto"/>
          <w:vertAlign w:val="superscript"/>
          <w:lang w:val="pt-PT" w:eastAsia="pt-PT" w:bidi="pt-PT"/>
        </w:rPr>
        <w:t>5</w:t>
      </w:r>
      <w:r>
        <w:rPr>
          <w:color w:val="000000"/>
          <w:spacing w:val="0"/>
          <w:w w:val="100"/>
          <w:position w:val="0"/>
          <w:shd w:val="clear" w:color="auto" w:fill="auto"/>
          <w:lang w:val="pt-PT" w:eastAsia="pt-PT" w:bidi="pt-PT"/>
        </w:rPr>
        <w:t xml:space="preserve"> I, "a" e 48 LRF).</w:t>
      </w:r>
    </w:p>
    <w:p>
      <w:pPr>
        <w:pStyle w:val="Style8"/>
        <w:keepNext w:val="0"/>
        <w:keepLines w:val="0"/>
        <w:widowControl w:val="0"/>
        <w:shd w:val="clear" w:color="auto" w:fill="auto"/>
        <w:bidi w:val="0"/>
        <w:spacing w:before="0"/>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24 - </w:t>
      </w:r>
      <w:r>
        <w:rPr>
          <w:color w:val="000000"/>
          <w:spacing w:val="0"/>
          <w:w w:val="100"/>
          <w:position w:val="0"/>
          <w:shd w:val="clear" w:color="auto" w:fill="auto"/>
          <w:lang w:val="pt-PT" w:eastAsia="pt-PT" w:bidi="pt-PT"/>
        </w:rPr>
        <w:t xml:space="preserve">Os estudos para definição dos Orçamentos da Receita para 2026 deverão observar os efeitos da alteração da legislação tributária, incentivos fiscais autorizados, a inflação do período, o crescimento </w:t>
      </w:r>
      <w:r>
        <w:rPr>
          <w:color w:val="000000"/>
          <w:spacing w:val="0"/>
          <w:w w:val="100"/>
          <w:position w:val="0"/>
          <w:shd w:val="clear" w:color="auto" w:fill="auto"/>
          <w:lang w:val="pt-BR" w:eastAsia="pt-BR" w:bidi="pt-BR"/>
        </w:rPr>
        <w:t xml:space="preserve">econômico, </w:t>
      </w:r>
      <w:r>
        <w:rPr>
          <w:color w:val="000000"/>
          <w:spacing w:val="0"/>
          <w:w w:val="100"/>
          <w:position w:val="0"/>
          <w:shd w:val="clear" w:color="auto" w:fill="auto"/>
          <w:lang w:val="pt-PT" w:eastAsia="pt-PT" w:bidi="pt-PT"/>
        </w:rPr>
        <w:t>a ampliação da base de cálculo dos tributos e a sua evolução nos últimos três exercícios e a projeção para os dois seguintes (art 12 da LRF).</w:t>
      </w:r>
    </w:p>
    <w:p>
      <w:pPr>
        <w:pStyle w:val="Style8"/>
        <w:keepNext w:val="0"/>
        <w:keepLines w:val="0"/>
        <w:widowControl w:val="0"/>
        <w:shd w:val="clear" w:color="auto" w:fill="auto"/>
        <w:bidi w:val="0"/>
        <w:spacing w:before="0" w:line="29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 </w:t>
      </w:r>
      <w:r>
        <w:rPr>
          <w:color w:val="000000"/>
          <w:spacing w:val="0"/>
          <w:w w:val="100"/>
          <w:position w:val="0"/>
          <w:shd w:val="clear" w:color="auto" w:fill="auto"/>
          <w:lang w:val="pt-PT" w:eastAsia="pt-PT" w:bidi="pt-PT"/>
        </w:rPr>
        <w:t xml:space="preserve">Até 30 dias antes do prazo para encaminhamento da Proposta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 xml:space="preserve">ao Poder Legislativo, o Poder Executivo Municipal colocara à disposição da Câmara Municipal e do Ministério Público, os estudos e as estimativas de receitas para exercícios subsequentes e as </w:t>
      </w:r>
      <w:r>
        <w:rPr>
          <w:color w:val="000000"/>
          <w:spacing w:val="0"/>
          <w:w w:val="100"/>
          <w:position w:val="0"/>
          <w:shd w:val="clear" w:color="auto" w:fill="auto"/>
          <w:lang w:val="pt-BR" w:eastAsia="pt-BR" w:bidi="pt-BR"/>
        </w:rPr>
        <w:t xml:space="preserve">respectivas </w:t>
      </w:r>
      <w:r>
        <w:rPr>
          <w:color w:val="000000"/>
          <w:spacing w:val="0"/>
          <w:w w:val="100"/>
          <w:position w:val="0"/>
          <w:shd w:val="clear" w:color="auto" w:fill="auto"/>
          <w:lang w:val="pt-PT" w:eastAsia="pt-PT" w:bidi="pt-PT"/>
        </w:rPr>
        <w:t>memórias de cálculo (art 12, § 3</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da LRF).</w:t>
      </w:r>
    </w:p>
    <w:p>
      <w:pPr>
        <w:pStyle w:val="Style8"/>
        <w:keepNext w:val="0"/>
        <w:keepLines w:val="0"/>
        <w:widowControl w:val="0"/>
        <w:shd w:val="clear" w:color="auto" w:fill="auto"/>
        <w:bidi w:val="0"/>
        <w:spacing w:before="0"/>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Art.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25 - </w:t>
      </w:r>
      <w:r>
        <w:rPr>
          <w:color w:val="000000"/>
          <w:spacing w:val="0"/>
          <w:w w:val="100"/>
          <w:position w:val="0"/>
          <w:shd w:val="clear" w:color="auto" w:fill="auto"/>
          <w:lang w:val="pt-PT" w:eastAsia="pt-PT" w:bidi="pt-PT"/>
        </w:rPr>
        <w:t>Na execução do orçamento, verificado que o comportamento da receita poderá afetar o cumprimento das metas de resultado primário e nominal, os Poderes Legislativo e Executivo, de forma proporcional as suas dotações e observadas a fonte de recursos, adotarão o mecanismo de limitação de empenhos e movimentação financeira nos montantes necessários, para as dotações abaixo (art. 9</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da LRF):</w:t>
      </w:r>
    </w:p>
    <w:p>
      <w:pPr>
        <w:pStyle w:val="Style8"/>
        <w:keepNext w:val="0"/>
        <w:keepLines w:val="0"/>
        <w:widowControl w:val="0"/>
        <w:numPr>
          <w:ilvl w:val="0"/>
          <w:numId w:val="7"/>
        </w:numPr>
        <w:shd w:val="clear" w:color="auto" w:fill="auto"/>
        <w:tabs>
          <w:tab w:pos="178" w:val="left"/>
        </w:tabs>
        <w:bidi w:val="0"/>
        <w:spacing w:before="0" w:line="240" w:lineRule="auto"/>
        <w:ind w:left="0" w:right="0" w:firstLine="0"/>
        <w:jc w:val="both"/>
      </w:pPr>
      <w:r>
        <w:drawing>
          <wp:anchor distT="0" distB="0" distL="0" distR="0" simplePos="0" relativeHeight="125829381" behindDoc="0" locked="0" layoutInCell="1" allowOverlap="1">
            <wp:simplePos x="0" y="0"/>
            <wp:positionH relativeFrom="page">
              <wp:posOffset>6793865</wp:posOffset>
            </wp:positionH>
            <wp:positionV relativeFrom="paragraph">
              <wp:posOffset>-38100</wp:posOffset>
            </wp:positionV>
            <wp:extent cx="646430" cy="743585"/>
            <wp:wrapSquare wrapText="bothSides"/>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21"/>
                    <a:stretch/>
                  </pic:blipFill>
                  <pic:spPr>
                    <a:xfrm>
                      <a:ext cx="646430" cy="743585"/>
                    </a:xfrm>
                    <a:prstGeom prst="rect"/>
                  </pic:spPr>
                </pic:pic>
              </a:graphicData>
            </a:graphic>
          </wp:anchor>
        </w:drawing>
      </w:r>
      <w:r>
        <w:rPr>
          <w:color w:val="000000"/>
          <w:spacing w:val="0"/>
          <w:w w:val="100"/>
          <w:position w:val="0"/>
          <w:shd w:val="clear" w:color="auto" w:fill="auto"/>
          <w:lang w:val="pt-PT" w:eastAsia="pt-PT" w:bidi="pt-PT"/>
        </w:rPr>
        <w:t>- projetos ou atividades vinculadas a recursos oriundos de transferências voluntárias;</w:t>
      </w:r>
    </w:p>
    <w:p>
      <w:pPr>
        <w:pStyle w:val="Style8"/>
        <w:keepNext w:val="0"/>
        <w:keepLines w:val="0"/>
        <w:widowControl w:val="0"/>
        <w:numPr>
          <w:ilvl w:val="0"/>
          <w:numId w:val="7"/>
        </w:numPr>
        <w:shd w:val="clear" w:color="auto" w:fill="auto"/>
        <w:tabs>
          <w:tab w:pos="276" w:val="left"/>
        </w:tabs>
        <w:bidi w:val="0"/>
        <w:spacing w:before="0" w:after="0" w:line="305" w:lineRule="auto"/>
        <w:ind w:left="0" w:right="0" w:firstLine="0"/>
        <w:jc w:val="both"/>
      </w:pPr>
      <w:r>
        <w:rPr>
          <w:color w:val="000000"/>
          <w:spacing w:val="0"/>
          <w:w w:val="100"/>
          <w:position w:val="0"/>
          <w:shd w:val="clear" w:color="auto" w:fill="auto"/>
          <w:lang w:val="pt-PT" w:eastAsia="pt-PT" w:bidi="pt-PT"/>
        </w:rPr>
        <w:t>- obras em geral, desde que ainda não iniciadas;</w:t>
      </w:r>
    </w:p>
    <w:p>
      <w:pPr>
        <w:pStyle w:val="Style8"/>
        <w:keepNext w:val="0"/>
        <w:keepLines w:val="0"/>
        <w:widowControl w:val="0"/>
        <w:numPr>
          <w:ilvl w:val="0"/>
          <w:numId w:val="7"/>
        </w:numPr>
        <w:shd w:val="clear" w:color="auto" w:fill="auto"/>
        <w:tabs>
          <w:tab w:pos="343" w:val="left"/>
        </w:tabs>
        <w:bidi w:val="0"/>
        <w:spacing w:before="0" w:after="0" w:line="305" w:lineRule="auto"/>
        <w:ind w:left="0" w:right="0" w:firstLine="0"/>
        <w:jc w:val="both"/>
      </w:pPr>
      <w:r>
        <w:rPr>
          <w:color w:val="000000"/>
          <w:spacing w:val="0"/>
          <w:w w:val="100"/>
          <w:position w:val="0"/>
          <w:shd w:val="clear" w:color="auto" w:fill="auto"/>
          <w:lang w:val="pt-PT" w:eastAsia="pt-PT" w:bidi="pt-PT"/>
        </w:rPr>
        <w:t>- dotação para combustíveis, obras, serviços públicos e agricultura; e</w:t>
      </w:r>
    </w:p>
    <w:p>
      <w:pPr>
        <w:pStyle w:val="Style8"/>
        <w:keepNext w:val="0"/>
        <w:keepLines w:val="0"/>
        <w:widowControl w:val="0"/>
        <w:numPr>
          <w:ilvl w:val="0"/>
          <w:numId w:val="7"/>
        </w:numPr>
        <w:shd w:val="clear" w:color="auto" w:fill="auto"/>
        <w:tabs>
          <w:tab w:pos="343" w:val="left"/>
        </w:tabs>
        <w:bidi w:val="0"/>
        <w:spacing w:before="0" w:after="240" w:line="305" w:lineRule="auto"/>
        <w:ind w:left="0" w:right="0" w:firstLine="0"/>
        <w:jc w:val="both"/>
      </w:pPr>
      <w:r>
        <w:rPr>
          <w:color w:val="000000"/>
          <w:spacing w:val="0"/>
          <w:w w:val="100"/>
          <w:position w:val="0"/>
          <w:shd w:val="clear" w:color="auto" w:fill="auto"/>
          <w:lang w:val="pt-PT" w:eastAsia="pt-PT" w:bidi="pt-PT"/>
        </w:rPr>
        <w:t>- dotação para material de consumo e outros serviços de terceiros das diversas atividades.</w:t>
      </w:r>
    </w:p>
    <w:p>
      <w:pPr>
        <w:pStyle w:val="Style8"/>
        <w:keepNext w:val="0"/>
        <w:keepLines w:val="0"/>
        <w:widowControl w:val="0"/>
        <w:shd w:val="clear" w:color="auto" w:fill="auto"/>
        <w:bidi w:val="0"/>
        <w:spacing w:before="0" w:after="240" w:line="298"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 </w:t>
      </w:r>
      <w:r>
        <w:rPr>
          <w:color w:val="000000"/>
          <w:spacing w:val="0"/>
          <w:w w:val="100"/>
          <w:position w:val="0"/>
          <w:shd w:val="clear" w:color="auto" w:fill="auto"/>
          <w:lang w:val="pt-PT" w:eastAsia="pt-PT" w:bidi="pt-PT"/>
        </w:rPr>
        <w:t>Na avaliação do cumprimento das metas bimestrais de arrecadação para implementação ou não do mecanismo da limitação de empenho e movimentação financeira, será considerado ainda o resultado financeiro apurado no Balanço Patrimonial do exercício anterior, em cada fonte de recursos.</w:t>
      </w:r>
    </w:p>
    <w:p>
      <w:pPr>
        <w:pStyle w:val="Style8"/>
        <w:keepNext w:val="0"/>
        <w:keepLines w:val="0"/>
        <w:widowControl w:val="0"/>
        <w:shd w:val="clear" w:color="auto" w:fill="auto"/>
        <w:bidi w:val="0"/>
        <w:spacing w:before="0" w:line="29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ArL 26 - </w:t>
      </w:r>
      <w:r>
        <w:rPr>
          <w:color w:val="000000"/>
          <w:spacing w:val="0"/>
          <w:w w:val="100"/>
          <w:position w:val="0"/>
          <w:shd w:val="clear" w:color="auto" w:fill="auto"/>
          <w:lang w:val="pt-PT" w:eastAsia="pt-PT" w:bidi="pt-PT"/>
        </w:rPr>
        <w:t xml:space="preserve">As Despesas Obrigatórias de Caráter Continuado em relação à Receita Corrente Líquida, programadas para 2025, poderão ser expandidas em até 20%, </w:t>
      </w:r>
      <w:r>
        <w:rPr>
          <w:color w:val="000000"/>
          <w:spacing w:val="0"/>
          <w:w w:val="100"/>
          <w:position w:val="0"/>
          <w:shd w:val="clear" w:color="auto" w:fill="auto"/>
          <w:lang w:val="pt-BR" w:eastAsia="pt-BR" w:bidi="pt-BR"/>
        </w:rPr>
        <w:t xml:space="preserve">tomando-se </w:t>
      </w:r>
      <w:r>
        <w:rPr>
          <w:color w:val="000000"/>
          <w:spacing w:val="0"/>
          <w:w w:val="100"/>
          <w:position w:val="0"/>
          <w:shd w:val="clear" w:color="auto" w:fill="auto"/>
          <w:lang w:val="pt-PT" w:eastAsia="pt-PT" w:bidi="pt-PT"/>
        </w:rPr>
        <w:t xml:space="preserve">por base as Despesas Obrigatórias de Caráter Continuado fixadas na Lei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Anual para 2026.</w:t>
      </w:r>
    </w:p>
    <w:p>
      <w:pPr>
        <w:pStyle w:val="Style8"/>
        <w:keepNext w:val="0"/>
        <w:keepLines w:val="0"/>
        <w:widowControl w:val="0"/>
        <w:shd w:val="clear" w:color="auto" w:fill="auto"/>
        <w:bidi w:val="0"/>
        <w:spacing w:before="0" w:after="4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ArL </w:t>
      </w:r>
      <w:r>
        <w:rPr>
          <w:color w:val="000000"/>
          <w:spacing w:val="0"/>
          <w:w w:val="100"/>
          <w:position w:val="0"/>
          <w:shd w:val="clear" w:color="auto" w:fill="auto"/>
          <w:lang w:val="pt-PT" w:eastAsia="pt-PT" w:bidi="pt-PT"/>
        </w:rPr>
        <w:t>27 - Constituem Riscos Fiscais capazes de afetar o equilíbrio das contas públicas do Município,</w:t>
      </w:r>
    </w:p>
    <w:p>
      <w:pPr>
        <w:pStyle w:val="Style8"/>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pt-PT" w:eastAsia="pt-PT" w:bidi="pt-PT"/>
        </w:rPr>
        <w:t>aqueles constantes do Anexo Próprio desta Lei (art. 4®, § 3® da LRF).</w:t>
      </w:r>
    </w:p>
    <w:p>
      <w:pPr>
        <w:pStyle w:val="Style8"/>
        <w:keepNext w:val="0"/>
        <w:keepLines w:val="0"/>
        <w:widowControl w:val="0"/>
        <w:shd w:val="clear" w:color="auto" w:fill="auto"/>
        <w:bidi w:val="0"/>
        <w:spacing w:before="0" w:after="4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w:t>
      </w:r>
      <w:r>
        <w:rPr>
          <w:color w:val="000000"/>
          <w:spacing w:val="0"/>
          <w:w w:val="100"/>
          <w:position w:val="0"/>
          <w:shd w:val="clear" w:color="auto" w:fill="auto"/>
          <w:lang w:val="pt-PT" w:eastAsia="pt-PT" w:bidi="pt-PT"/>
        </w:rPr>
        <w:t>Os riscos fiscais, caso se concretizem, serão atendidos com recursos constantes de</w:t>
      </w:r>
    </w:p>
    <w:p>
      <w:pPr>
        <w:pStyle w:val="Style8"/>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pt-PT" w:eastAsia="pt-PT" w:bidi="pt-PT"/>
        </w:rPr>
        <w:t>Artigo 43 da Lei Federal N® 4.320/1964.</w:t>
      </w:r>
    </w:p>
    <w:p>
      <w:pPr>
        <w:pStyle w:val="Style8"/>
        <w:keepNext w:val="0"/>
        <w:keepLines w:val="0"/>
        <w:widowControl w:val="0"/>
        <w:shd w:val="clear" w:color="auto" w:fill="auto"/>
        <w:bidi w:val="0"/>
        <w:spacing w:before="0" w:line="300" w:lineRule="auto"/>
        <w:ind w:left="0" w:right="0" w:firstLine="0"/>
        <w:jc w:val="both"/>
      </w:pPr>
      <w:r>
        <w:rPr>
          <w:color w:val="000000"/>
          <w:spacing w:val="0"/>
          <w:w w:val="100"/>
          <w:position w:val="0"/>
          <w:shd w:val="clear" w:color="auto" w:fill="auto"/>
          <w:lang w:val="pt-PT" w:eastAsia="pt-PT" w:bidi="pt-PT"/>
        </w:rPr>
        <w:t>Art. 28 - O Orçamento para o exercício de 2026 poderá destinar recursos para a Reserva de Contingência, não inferiores a 3% das Receitas Correntes Líquidas previstas e 10% do total do orçamento de cada entidade para a abertura de Créditos Adicionais Suplementares, (art. 5®, III da LRF).</w:t>
      </w:r>
    </w:p>
    <w:p>
      <w:pPr>
        <w:pStyle w:val="Style8"/>
        <w:keepNext w:val="0"/>
        <w:keepLines w:val="0"/>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PT" w:eastAsia="pt-PT" w:bidi="pt-PT"/>
        </w:rPr>
        <w:t>§1® - Os recursos da Reserva de Contingência serão destinados ao atendimento de passivos contingentes e outros riscos e eventos fiscais imprevistos, obtenção de resultado primário positivo se for o caso, e também para abertura de Créditos Adicionais Suplementares conforme disposto na</w:t>
      </w:r>
    </w:p>
    <w:p>
      <w:pPr>
        <w:pStyle w:val="Style8"/>
        <w:keepNext w:val="0"/>
        <w:keepLines w:val="0"/>
        <w:widowControl w:val="0"/>
        <w:shd w:val="clear" w:color="auto" w:fill="auto"/>
        <w:bidi w:val="0"/>
        <w:spacing w:before="0" w:line="300" w:lineRule="auto"/>
        <w:ind w:left="0" w:right="0" w:firstLine="0"/>
        <w:jc w:val="both"/>
      </w:pPr>
      <w:r>
        <w:rPr>
          <w:color w:val="000000"/>
          <w:spacing w:val="0"/>
          <w:w w:val="100"/>
          <w:position w:val="0"/>
          <w:shd w:val="clear" w:color="auto" w:fill="auto"/>
          <w:lang w:val="pt-PT" w:eastAsia="pt-PT" w:bidi="pt-PT"/>
        </w:rPr>
        <w:t>Portaria MPO n® 42/1999, art. 5® e Portaria STN n® 163/2001, art 8® (art 5® III, "b" da LRF).</w:t>
      </w:r>
    </w:p>
    <w:p>
      <w:pPr>
        <w:pStyle w:val="Style8"/>
        <w:keepNext w:val="0"/>
        <w:keepLines w:val="0"/>
        <w:widowControl w:val="0"/>
        <w:shd w:val="clear" w:color="auto" w:fill="auto"/>
        <w:bidi w:val="0"/>
        <w:spacing w:before="0" w:after="240" w:line="300" w:lineRule="auto"/>
        <w:ind w:left="0" w:right="0" w:firstLine="0"/>
        <w:jc w:val="both"/>
      </w:pPr>
      <w:r>
        <w:rPr>
          <w:color w:val="000000"/>
          <w:spacing w:val="0"/>
          <w:w w:val="100"/>
          <w:position w:val="0"/>
          <w:shd w:val="clear" w:color="auto" w:fill="auto"/>
          <w:lang w:val="pt-PT" w:eastAsia="pt-PT" w:bidi="pt-PT"/>
        </w:rPr>
        <w:t>§2® - Os recursos da Reserva de Contingência destinados a riscos fiscais, caso estes não se concretizem até o dia 01 de setembro de 2026, poderão ser utilizados por ato do Chefe do Poder Executivo Municipal para abertura de créditos adicionais suplementares de dotações que se tornaram insuficientes.</w:t>
      </w:r>
    </w:p>
    <w:p>
      <w:pPr>
        <w:pStyle w:val="Style8"/>
        <w:keepNext w:val="0"/>
        <w:keepLines w:val="0"/>
        <w:widowControl w:val="0"/>
        <w:shd w:val="clear" w:color="auto" w:fill="auto"/>
        <w:bidi w:val="0"/>
        <w:spacing w:before="0" w:line="288"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29 - </w:t>
      </w:r>
      <w:r>
        <w:rPr>
          <w:color w:val="000000"/>
          <w:spacing w:val="0"/>
          <w:w w:val="100"/>
          <w:position w:val="0"/>
          <w:shd w:val="clear" w:color="auto" w:fill="auto"/>
          <w:lang w:val="pt-PT" w:eastAsia="pt-PT" w:bidi="pt-PT"/>
        </w:rPr>
        <w:t xml:space="preserve">Os investimentos com duração superior a 12 meses só constarão da Lei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Anual se contemplados no Plano Plurianual (arL 5®, § 5® da LRF).</w:t>
      </w:r>
    </w:p>
    <w:p>
      <w:pPr>
        <w:pStyle w:val="Style8"/>
        <w:keepNext w:val="0"/>
        <w:keepLines w:val="0"/>
        <w:widowControl w:val="0"/>
        <w:shd w:val="clear" w:color="auto" w:fill="auto"/>
        <w:bidi w:val="0"/>
        <w:spacing w:before="0" w:line="28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ArL 30 - </w:t>
      </w:r>
      <w:r>
        <w:rPr>
          <w:color w:val="000000"/>
          <w:spacing w:val="0"/>
          <w:w w:val="100"/>
          <w:position w:val="0"/>
          <w:shd w:val="clear" w:color="auto" w:fill="auto"/>
          <w:lang w:val="pt-PT" w:eastAsia="pt-PT" w:bidi="pt-PT"/>
        </w:rPr>
        <w:t xml:space="preserve">O Chefe do Poder Executivo Municipal estabelecerá até 30 dias após a publicação da Lei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Anual, a programação financeira das receitas e despesas e o cronograma de execução mensal ou bimestral para as Unidades Gestoras, se for o caso (art. 8® da LRF).</w:t>
      </w:r>
    </w:p>
    <w:p>
      <w:pPr>
        <w:pStyle w:val="Style8"/>
        <w:keepNext w:val="0"/>
        <w:keepLines w:val="0"/>
        <w:widowControl w:val="0"/>
        <w:shd w:val="clear" w:color="auto" w:fill="auto"/>
        <w:bidi w:val="0"/>
        <w:spacing w:before="0" w:after="260" w:line="288" w:lineRule="auto"/>
        <w:ind w:left="0" w:right="0" w:firstLine="0"/>
        <w:jc w:val="both"/>
        <w:sectPr>
          <w:headerReference w:type="default" r:id="rId23"/>
          <w:footerReference w:type="default" r:id="rId24"/>
          <w:headerReference w:type="first" r:id="rId25"/>
          <w:footerReference w:type="first" r:id="rId26"/>
          <w:footnotePr>
            <w:pos w:val="pageBottom"/>
            <w:numFmt w:val="decimal"/>
            <w:numRestart w:val="continuous"/>
          </w:footnotePr>
          <w:pgSz w:w="11900" w:h="16840"/>
          <w:pgMar w:top="2727" w:left="1234" w:right="1162" w:bottom="1661" w:header="0" w:footer="3" w:gutter="0"/>
          <w:cols w:space="720"/>
          <w:noEndnote/>
          <w:titlePg/>
          <w:rtlGutter w:val="0"/>
          <w:docGrid w:linePitch="360"/>
        </w:sect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ArL 31 - </w:t>
      </w:r>
      <w:r>
        <w:rPr>
          <w:color w:val="000000"/>
          <w:spacing w:val="0"/>
          <w:w w:val="100"/>
          <w:position w:val="0"/>
          <w:shd w:val="clear" w:color="auto" w:fill="auto"/>
          <w:lang w:val="pt-PT" w:eastAsia="pt-PT" w:bidi="pt-PT"/>
        </w:rPr>
        <w:t xml:space="preserve">Os Projetos e Atividades priorizados na Lei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 xml:space="preserve">para 2026 com dotações vinculadas e fontes de recursos oriundos de transferências voluntárias, operações de crédito </w:t>
      </w:r>
    </w:p>
    <w:p>
      <w:pPr>
        <w:pStyle w:val="Style8"/>
        <w:keepNext w:val="0"/>
        <w:keepLines w:val="0"/>
        <w:widowControl w:val="0"/>
        <w:shd w:val="clear" w:color="auto" w:fill="auto"/>
        <w:bidi w:val="0"/>
        <w:spacing w:before="0" w:after="260" w:line="288" w:lineRule="auto"/>
        <w:ind w:left="0" w:right="0" w:firstLine="0"/>
        <w:jc w:val="both"/>
      </w:pPr>
      <w:r>
        <w:rPr>
          <w:color w:val="000000"/>
          <w:spacing w:val="0"/>
          <w:w w:val="100"/>
          <w:position w:val="0"/>
          <w:shd w:val="clear" w:color="auto" w:fill="auto"/>
          <w:lang w:val="pt-PT" w:eastAsia="pt-PT" w:bidi="pt-PT"/>
        </w:rPr>
        <w:t>alienação de bens e outras extraordinárias, só serão executados e utilizados a qualquer título, se ocorrer ou estiver garantido o seu ingresso no fluxo de caixa, respeitado ainda o montante ingressado ou garantido (art 8-, § parágrafo único e 50, Ida LRF).</w:t>
      </w:r>
    </w:p>
    <w:p>
      <w:pPr>
        <w:pStyle w:val="Style8"/>
        <w:keepNext w:val="0"/>
        <w:keepLines w:val="0"/>
        <w:widowControl w:val="0"/>
        <w:shd w:val="clear" w:color="auto" w:fill="auto"/>
        <w:bidi w:val="0"/>
        <w:spacing w:before="0" w:after="260" w:line="295"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32 </w:t>
      </w:r>
      <w:r>
        <w:rPr>
          <w:color w:val="000000"/>
          <w:spacing w:val="0"/>
          <w:w w:val="100"/>
          <w:position w:val="0"/>
          <w:shd w:val="clear" w:color="auto" w:fill="auto"/>
          <w:lang w:val="pt-PT" w:eastAsia="pt-PT" w:bidi="pt-PT"/>
        </w:rPr>
        <w:t>- A renúncia de receita estimada para o exercício de 2026, constante do Anexo Próprio desta Lei, não será considerada para efeito de cálculo do orçamento da receita (Art 4</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 2</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V e art. 14,1 da LRF).</w:t>
      </w:r>
    </w:p>
    <w:p>
      <w:pPr>
        <w:pStyle w:val="Style8"/>
        <w:keepNext w:val="0"/>
        <w:keepLines w:val="0"/>
        <w:widowControl w:val="0"/>
        <w:shd w:val="clear" w:color="auto" w:fill="auto"/>
        <w:bidi w:val="0"/>
        <w:spacing w:before="0" w:after="260" w:line="29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33 - A </w:t>
      </w:r>
      <w:r>
        <w:rPr>
          <w:color w:val="000000"/>
          <w:spacing w:val="0"/>
          <w:w w:val="100"/>
          <w:position w:val="0"/>
          <w:shd w:val="clear" w:color="auto" w:fill="auto"/>
          <w:lang w:val="pt-PT" w:eastAsia="pt-PT" w:bidi="pt-PT"/>
        </w:rPr>
        <w:t>transferência de recursos do Tesouro Municipal a entidades privadas, beneficiará somente aquelas de caráter educativo, assistencial, recreativo, cultural, esportivo, de cooperação técnica e voltadas para o fortalecimento do associativismo municipal e dependerá de autorização em lei específica (Art 4</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,I, "F e 26 da LRF).</w:t>
      </w:r>
    </w:p>
    <w:p>
      <w:pPr>
        <w:pStyle w:val="Style8"/>
        <w:keepNext w:val="0"/>
        <w:keepLines w:val="0"/>
        <w:widowControl w:val="0"/>
        <w:shd w:val="clear" w:color="auto" w:fill="auto"/>
        <w:bidi w:val="0"/>
        <w:spacing w:before="0" w:after="260" w:line="29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 </w:t>
      </w:r>
      <w:r>
        <w:rPr>
          <w:color w:val="000000"/>
          <w:spacing w:val="0"/>
          <w:w w:val="100"/>
          <w:position w:val="0"/>
          <w:shd w:val="clear" w:color="auto" w:fill="auto"/>
          <w:lang w:val="pt-PT" w:eastAsia="pt-PT" w:bidi="pt-PT"/>
        </w:rPr>
        <w:t>As entidades beneficiadas com recursos do Tesouro Municipal deverão prestar contas no prazo de 30 dias, contados do recebimento do recurso, na forma estabelecida pelo serviço de contabilidade municipal (Art 70, parágrafo único da Constituição Federal).</w:t>
      </w:r>
    </w:p>
    <w:p>
      <w:pPr>
        <w:pStyle w:val="Style8"/>
        <w:keepNext w:val="0"/>
        <w:keepLines w:val="0"/>
        <w:widowControl w:val="0"/>
        <w:shd w:val="clear" w:color="auto" w:fill="auto"/>
        <w:bidi w:val="0"/>
        <w:spacing w:before="0" w:after="260" w:line="29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34 - </w:t>
      </w:r>
      <w:r>
        <w:rPr>
          <w:color w:val="000000"/>
          <w:spacing w:val="0"/>
          <w:w w:val="100"/>
          <w:position w:val="0"/>
          <w:shd w:val="clear" w:color="auto" w:fill="auto"/>
          <w:lang w:val="pt-PT" w:eastAsia="pt-PT" w:bidi="pt-PT"/>
        </w:rPr>
        <w:t>Os procedimentos administrativos de estimativa do impacto orçamentário-financeiro e declaração do ordenador da despesa de que trata o art 16, itens I e II da LRF deverão ser inseridos no processo que abriga os autos da licitação ou sua dispensa/inexigibilidade.</w:t>
      </w:r>
    </w:p>
    <w:p>
      <w:pPr>
        <w:pStyle w:val="Style8"/>
        <w:keepNext w:val="0"/>
        <w:keepLines w:val="0"/>
        <w:widowControl w:val="0"/>
        <w:shd w:val="clear" w:color="auto" w:fill="auto"/>
        <w:bidi w:val="0"/>
        <w:spacing w:before="0" w:after="260" w:line="295"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 </w:t>
      </w:r>
      <w:r>
        <w:rPr>
          <w:color w:val="000000"/>
          <w:spacing w:val="0"/>
          <w:w w:val="100"/>
          <w:position w:val="0"/>
          <w:shd w:val="clear" w:color="auto" w:fill="auto"/>
          <w:lang w:val="pt-PT" w:eastAsia="pt-PT" w:bidi="pt-PT"/>
        </w:rPr>
        <w:t>Para efeito do disposto no art 16, § 3</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da LRF, são consideradas despesas irrelevantes, aquelas decorrentes da criação, expansão ou aperfeiçoamento da ação governamental que acarrete aumento da despesa, cujo montante no exercício financeiro de 2026, em cada evento, não exceda ao valor limite para dispensa de licitação, fixado no item I do art. 24 da Lei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8.666/1993,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atualizado (art 16, § 3</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da LRF).</w:t>
      </w:r>
    </w:p>
    <w:p>
      <w:pPr>
        <w:pStyle w:val="Style8"/>
        <w:keepNext w:val="0"/>
        <w:keepLines w:val="0"/>
        <w:widowControl w:val="0"/>
        <w:shd w:val="clear" w:color="auto" w:fill="auto"/>
        <w:bidi w:val="0"/>
        <w:spacing w:before="0" w:after="260" w:line="29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35 - </w:t>
      </w:r>
      <w:r>
        <w:rPr>
          <w:color w:val="000000"/>
          <w:spacing w:val="0"/>
          <w:w w:val="100"/>
          <w:position w:val="0"/>
          <w:shd w:val="clear" w:color="auto" w:fill="auto"/>
          <w:lang w:val="pt-PT" w:eastAsia="pt-PT" w:bidi="pt-PT"/>
        </w:rPr>
        <w:t xml:space="preserve">As obras em andamento e a conservação do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 xml:space="preserve">público terão prioridade sobre projetos novos na </w:t>
      </w:r>
      <w:r>
        <w:rPr>
          <w:color w:val="000000"/>
          <w:spacing w:val="0"/>
          <w:w w:val="100"/>
          <w:position w:val="0"/>
          <w:shd w:val="clear" w:color="auto" w:fill="auto"/>
          <w:lang w:val="pt-BR" w:eastAsia="pt-BR" w:bidi="pt-BR"/>
        </w:rPr>
        <w:t xml:space="preserve">alocação </w:t>
      </w:r>
      <w:r>
        <w:rPr>
          <w:color w:val="000000"/>
          <w:spacing w:val="0"/>
          <w:w w:val="100"/>
          <w:position w:val="0"/>
          <w:shd w:val="clear" w:color="auto" w:fill="auto"/>
          <w:lang w:val="pt-PT" w:eastAsia="pt-PT" w:bidi="pt-PT"/>
        </w:rPr>
        <w:t xml:space="preserve">de recursos </w:t>
      </w:r>
      <w:r>
        <w:rPr>
          <w:color w:val="000000"/>
          <w:spacing w:val="0"/>
          <w:w w:val="100"/>
          <w:position w:val="0"/>
          <w:shd w:val="clear" w:color="auto" w:fill="auto"/>
          <w:lang w:val="pt-BR" w:eastAsia="pt-BR" w:bidi="pt-BR"/>
        </w:rPr>
        <w:t xml:space="preserve">orçamentários, </w:t>
      </w:r>
      <w:r>
        <w:rPr>
          <w:color w:val="000000"/>
          <w:spacing w:val="0"/>
          <w:w w:val="100"/>
          <w:position w:val="0"/>
          <w:shd w:val="clear" w:color="auto" w:fill="auto"/>
          <w:lang w:val="pt-PT" w:eastAsia="pt-PT" w:bidi="pt-PT"/>
        </w:rPr>
        <w:t>salvo projetos programados com recursos de transferência voluntária e operação de crédito (art 45 da LRF).</w:t>
      </w:r>
    </w:p>
    <w:p>
      <w:pPr>
        <w:pStyle w:val="Style8"/>
        <w:keepNext w:val="0"/>
        <w:keepLines w:val="0"/>
        <w:widowControl w:val="0"/>
        <w:shd w:val="clear" w:color="auto" w:fill="auto"/>
        <w:bidi w:val="0"/>
        <w:spacing w:before="0" w:after="260" w:line="295"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36 </w:t>
      </w:r>
      <w:r>
        <w:rPr>
          <w:color w:val="000000"/>
          <w:spacing w:val="0"/>
          <w:w w:val="100"/>
          <w:position w:val="0"/>
          <w:shd w:val="clear" w:color="auto" w:fill="auto"/>
          <w:lang w:val="pt-PT" w:eastAsia="pt-PT" w:bidi="pt-PT"/>
        </w:rPr>
        <w:t xml:space="preserve">- Despesas de competência de outros entes da federação só serão assumidas pela Administração Municipal quando firmados </w:t>
      </w:r>
      <w:r>
        <w:rPr>
          <w:color w:val="000000"/>
          <w:spacing w:val="0"/>
          <w:w w:val="100"/>
          <w:position w:val="0"/>
          <w:shd w:val="clear" w:color="auto" w:fill="auto"/>
          <w:lang w:val="pt-BR" w:eastAsia="pt-BR" w:bidi="pt-BR"/>
        </w:rPr>
        <w:t xml:space="preserve">convênios, </w:t>
      </w:r>
      <w:r>
        <w:rPr>
          <w:color w:val="000000"/>
          <w:spacing w:val="0"/>
          <w:w w:val="100"/>
          <w:position w:val="0"/>
          <w:shd w:val="clear" w:color="auto" w:fill="auto"/>
          <w:lang w:val="pt-PT" w:eastAsia="pt-PT" w:bidi="pt-PT"/>
        </w:rPr>
        <w:t xml:space="preserve">acordos ou ajustes e previstos recursos na lei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(art 62 da LRF).</w:t>
      </w:r>
    </w:p>
    <w:p>
      <w:pPr>
        <w:pStyle w:val="Style8"/>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w:t>
      </w:r>
      <w:r>
        <w:rPr>
          <w:color w:val="000000"/>
          <w:spacing w:val="0"/>
          <w:w w:val="100"/>
          <w:position w:val="0"/>
          <w:shd w:val="clear" w:color="auto" w:fill="auto"/>
          <w:lang w:val="pt-PT" w:eastAsia="pt-PT" w:bidi="pt-PT"/>
        </w:rPr>
        <w:t>37 - A previsão das receitas e a fixação das despesas serão orçadas para 2026 a preços correntes.</w:t>
      </w:r>
    </w:p>
    <w:p>
      <w:pPr>
        <w:pStyle w:val="Style8"/>
        <w:keepNext w:val="0"/>
        <w:keepLines w:val="0"/>
        <w:widowControl w:val="0"/>
        <w:shd w:val="clear" w:color="auto" w:fill="auto"/>
        <w:bidi w:val="0"/>
        <w:spacing w:before="0" w:after="260" w:line="305"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38 - </w:t>
      </w:r>
      <w:r>
        <w:rPr>
          <w:color w:val="000000"/>
          <w:spacing w:val="0"/>
          <w:w w:val="100"/>
          <w:position w:val="0"/>
          <w:shd w:val="clear" w:color="auto" w:fill="auto"/>
          <w:lang w:val="pt-PT" w:eastAsia="pt-PT" w:bidi="pt-PT"/>
        </w:rPr>
        <w:t xml:space="preserve">A execução do orçamento da Despesa obedecerá, dentro de cada Projeto, Atividade ou Operações Especiais, a dotação fixada para cada Grupo de Natureza de Despesa / Modalidade de Aplicação, com apropriação dos gastos nos </w:t>
      </w:r>
      <w:r>
        <w:rPr>
          <w:color w:val="000000"/>
          <w:spacing w:val="0"/>
          <w:w w:val="100"/>
          <w:position w:val="0"/>
          <w:shd w:val="clear" w:color="auto" w:fill="auto"/>
          <w:lang w:val="pt-BR" w:eastAsia="pt-BR" w:bidi="pt-BR"/>
        </w:rPr>
        <w:t xml:space="preserve">respectivos </w:t>
      </w:r>
      <w:r>
        <w:rPr>
          <w:color w:val="000000"/>
          <w:spacing w:val="0"/>
          <w:w w:val="100"/>
          <w:position w:val="0"/>
          <w:shd w:val="clear" w:color="auto" w:fill="auto"/>
          <w:lang w:val="pt-PT" w:eastAsia="pt-PT" w:bidi="pt-PT"/>
        </w:rPr>
        <w:t>elementos de que trata a Portaria STN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163/2001.</w:t>
      </w:r>
    </w:p>
    <w:p>
      <w:pPr>
        <w:pStyle w:val="Style8"/>
        <w:keepNext w:val="0"/>
        <w:keepLines w:val="0"/>
        <w:widowControl w:val="0"/>
        <w:shd w:val="clear" w:color="auto" w:fill="auto"/>
        <w:bidi w:val="0"/>
        <w:spacing w:before="0" w:after="26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 </w:t>
      </w:r>
      <w:r>
        <w:rPr>
          <w:color w:val="000000"/>
          <w:spacing w:val="0"/>
          <w:w w:val="100"/>
          <w:position w:val="0"/>
          <w:shd w:val="clear" w:color="auto" w:fill="auto"/>
          <w:lang w:val="pt-PT" w:eastAsia="pt-PT" w:bidi="pt-PT"/>
        </w:rPr>
        <w:t>A transposição, o remanejamento ou a transferência de recursos de um</w:t>
      </w:r>
    </w:p>
    <w:p>
      <w:pPr>
        <w:pStyle w:val="Style8"/>
        <w:keepNext w:val="0"/>
        <w:keepLines w:val="0"/>
        <w:widowControl w:val="0"/>
        <w:shd w:val="clear" w:color="auto" w:fill="auto"/>
        <w:bidi w:val="0"/>
        <w:spacing w:before="0" w:line="305" w:lineRule="auto"/>
        <w:ind w:left="0" w:right="0" w:firstLine="0"/>
        <w:jc w:val="both"/>
      </w:pPr>
      <w:r>
        <w:rPr>
          <w:color w:val="000000"/>
          <w:spacing w:val="0"/>
          <w:w w:val="100"/>
          <w:position w:val="0"/>
          <w:shd w:val="clear" w:color="auto" w:fill="auto"/>
          <w:lang w:val="pt-PT" w:eastAsia="pt-PT" w:bidi="pt-PT"/>
        </w:rPr>
        <w:t>Grupo de Natureza de Despesa/Modalidade de Aplicação para outro, dentro de cada Projeto, Atividade ou Operações Especiais, poderá ser feita por Decreto do Prefeito Municipal no âmbito do Poder Executivo e por Decreto Legislativo do Presidente da Câmara no âmbito do Poder Legislativo (art. 167, VI da Constituição Federal).</w:t>
      </w:r>
    </w:p>
    <w:p>
      <w:pPr>
        <w:pStyle w:val="Style8"/>
        <w:keepNext w:val="0"/>
        <w:keepLines w:val="0"/>
        <w:widowControl w:val="0"/>
        <w:shd w:val="clear" w:color="auto" w:fill="auto"/>
        <w:bidi w:val="0"/>
        <w:spacing w:before="0"/>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39 - </w:t>
      </w:r>
      <w:r>
        <w:rPr>
          <w:color w:val="000000"/>
          <w:spacing w:val="0"/>
          <w:w w:val="100"/>
          <w:position w:val="0"/>
          <w:shd w:val="clear" w:color="auto" w:fill="auto"/>
          <w:lang w:val="pt-PT" w:eastAsia="pt-PT" w:bidi="pt-PT"/>
        </w:rPr>
        <w:t xml:space="preserve">Durante a execução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de 2026, se o Poder Executivo Municipal for autorizado por lei, poderá incluir novos projetos, atividades ou operações especiais no orçamento das Unidades Gestoras na forma de crédito especial, desde que se enquadre nas prioridades para o exercício de 2026 (art. 167, Ida Constituição Federal).</w:t>
      </w:r>
    </w:p>
    <w:p>
      <w:pPr>
        <w:pStyle w:val="Style8"/>
        <w:keepNext w:val="0"/>
        <w:keepLines w:val="0"/>
        <w:widowControl w:val="0"/>
        <w:shd w:val="clear" w:color="auto" w:fill="auto"/>
        <w:bidi w:val="0"/>
        <w:spacing w:before="0" w:line="288"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40-0 </w:t>
      </w:r>
      <w:r>
        <w:rPr>
          <w:color w:val="000000"/>
          <w:spacing w:val="0"/>
          <w:w w:val="100"/>
          <w:position w:val="0"/>
          <w:shd w:val="clear" w:color="auto" w:fill="auto"/>
          <w:lang w:val="pt-PT" w:eastAsia="pt-PT" w:bidi="pt-PT"/>
        </w:rPr>
        <w:t>controle de custos das ações desenvolvidas pelo Poder Público Municipal, obedecerá ao estabelecido no art. 50, § 3</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da LRF.</w:t>
      </w:r>
    </w:p>
    <w:p>
      <w:pPr>
        <w:pStyle w:val="Style8"/>
        <w:keepNext w:val="0"/>
        <w:keepLines w:val="0"/>
        <w:widowControl w:val="0"/>
        <w:shd w:val="clear" w:color="auto" w:fill="auto"/>
        <w:bidi w:val="0"/>
        <w:spacing w:before="0" w:line="28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 </w:t>
      </w:r>
      <w:r>
        <w:rPr>
          <w:color w:val="000000"/>
          <w:spacing w:val="0"/>
          <w:w w:val="100"/>
          <w:position w:val="0"/>
          <w:shd w:val="clear" w:color="auto" w:fill="auto"/>
          <w:lang w:val="pt-PT" w:eastAsia="pt-PT" w:bidi="pt-PT"/>
        </w:rPr>
        <w:t xml:space="preserve">Os custos serão apurados através de operações </w:t>
      </w:r>
      <w:r>
        <w:rPr>
          <w:color w:val="000000"/>
          <w:spacing w:val="0"/>
          <w:w w:val="100"/>
          <w:position w:val="0"/>
          <w:shd w:val="clear" w:color="auto" w:fill="auto"/>
          <w:lang w:val="pt-BR" w:eastAsia="pt-BR" w:bidi="pt-BR"/>
        </w:rPr>
        <w:t xml:space="preserve">orçamentárias, tomando-se </w:t>
      </w:r>
      <w:r>
        <w:rPr>
          <w:color w:val="000000"/>
          <w:spacing w:val="0"/>
          <w:w w:val="100"/>
          <w:position w:val="0"/>
          <w:shd w:val="clear" w:color="auto" w:fill="auto"/>
          <w:lang w:val="pt-PT" w:eastAsia="pt-PT" w:bidi="pt-PT"/>
        </w:rPr>
        <w:t>por base as metas fiscais previstas nas planilhas das despesas e nas metas físicas realizadas e apuradas ao final do exercício (art. 4</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"e" da LRF).</w:t>
      </w:r>
    </w:p>
    <w:p>
      <w:pPr>
        <w:pStyle w:val="Style8"/>
        <w:keepNext w:val="0"/>
        <w:keepLines w:val="0"/>
        <w:widowControl w:val="0"/>
        <w:shd w:val="clear" w:color="auto" w:fill="auto"/>
        <w:bidi w:val="0"/>
        <w:spacing w:before="0" w:after="560"/>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41 - </w:t>
      </w:r>
      <w:r>
        <w:rPr>
          <w:color w:val="000000"/>
          <w:spacing w:val="0"/>
          <w:w w:val="100"/>
          <w:position w:val="0"/>
          <w:shd w:val="clear" w:color="auto" w:fill="auto"/>
          <w:lang w:val="pt-PT" w:eastAsia="pt-PT" w:bidi="pt-PT"/>
        </w:rPr>
        <w:t xml:space="preserve">Os programas priorizados por esta Lei e contemplados no Plano Plurianua), que integrarem a Lei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de 2026 serão objeto de avaliação permanente pelos responsáveis, de modo a acompanhar o cumprimento dos seus objetivos, corrigir desvios e avaliar seus custos e cumprimento das metas físicas estabelecidas (art. 4</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,1, "e" da LRF).</w:t>
      </w:r>
    </w:p>
    <w:p>
      <w:pPr>
        <w:pStyle w:val="Style2"/>
        <w:keepNext w:val="0"/>
        <w:keepLines w:val="0"/>
        <w:widowControl w:val="0"/>
        <w:numPr>
          <w:ilvl w:val="0"/>
          <w:numId w:val="7"/>
        </w:numPr>
        <w:shd w:val="clear" w:color="auto" w:fill="auto"/>
        <w:tabs>
          <w:tab w:pos="1825" w:val="left"/>
        </w:tabs>
        <w:bidi w:val="0"/>
        <w:spacing w:before="0" w:after="600" w:line="240" w:lineRule="auto"/>
        <w:ind w:left="15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DAS DISPOSIÇÕES SOBRE A DÍVIDA PÚBLICA MUNICIPAL</w:t>
      </w:r>
    </w:p>
    <w:p>
      <w:pPr>
        <w:pStyle w:val="Style8"/>
        <w:keepNext w:val="0"/>
        <w:keepLines w:val="0"/>
        <w:widowControl w:val="0"/>
        <w:shd w:val="clear" w:color="auto" w:fill="auto"/>
        <w:bidi w:val="0"/>
        <w:spacing w:before="0"/>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42 - </w:t>
      </w:r>
      <w:r>
        <w:rPr>
          <w:color w:val="000000"/>
          <w:spacing w:val="0"/>
          <w:w w:val="100"/>
          <w:position w:val="0"/>
          <w:shd w:val="clear" w:color="auto" w:fill="auto"/>
          <w:lang w:val="pt-PT" w:eastAsia="pt-PT" w:bidi="pt-PT"/>
        </w:rPr>
        <w:t xml:space="preserve">A Lei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de 2026 poderá conter autorização para contratação de Operações de Crédito para atendimento à Despesas de Capital, observado o limite de endividamento, de até 50% das Receitas Correntes Líquidas apuradas até o final do semestre anterior a assinatura do contrato, na forma estabelecida na LRF (art. 30, 31 e 32).</w:t>
      </w:r>
    </w:p>
    <w:p>
      <w:pPr>
        <w:pStyle w:val="Style8"/>
        <w:keepNext w:val="0"/>
        <w:keepLines w:val="0"/>
        <w:widowControl w:val="0"/>
        <w:shd w:val="clear" w:color="auto" w:fill="auto"/>
        <w:bidi w:val="0"/>
        <w:spacing w:before="0" w:line="288"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43 - </w:t>
      </w:r>
      <w:r>
        <w:rPr>
          <w:color w:val="000000"/>
          <w:spacing w:val="0"/>
          <w:w w:val="100"/>
          <w:position w:val="0"/>
          <w:shd w:val="clear" w:color="auto" w:fill="auto"/>
          <w:lang w:val="pt-PT" w:eastAsia="pt-PT" w:bidi="pt-PT"/>
        </w:rPr>
        <w:t>A contratação de operações de crédito dependerá de autorização em lei específica (art. 32, Parágrafo Único da LRF).</w:t>
      </w:r>
    </w:p>
    <w:p>
      <w:pPr>
        <w:pStyle w:val="Style8"/>
        <w:keepNext w:val="0"/>
        <w:keepLines w:val="0"/>
        <w:widowControl w:val="0"/>
        <w:shd w:val="clear" w:color="auto" w:fill="auto"/>
        <w:bidi w:val="0"/>
        <w:spacing w:before="0" w:after="560" w:line="29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44 - </w:t>
      </w:r>
      <w:r>
        <w:rPr>
          <w:color w:val="000000"/>
          <w:spacing w:val="0"/>
          <w:w w:val="100"/>
          <w:position w:val="0"/>
          <w:shd w:val="clear" w:color="auto" w:fill="auto"/>
          <w:lang w:val="pt-PT" w:eastAsia="pt-PT" w:bidi="pt-PT"/>
        </w:rPr>
        <w:t>Ultrapassado o limite de endividamento definido na legislação pertinente e enquanto perdurar o excesso, o Poder Executivo obterá resultado primário necessário através da limitação de empenho e movimentação financeira (art. 31, §l</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11 da LRF).</w:t>
      </w:r>
    </w:p>
    <w:p>
      <w:pPr>
        <w:pStyle w:val="Style2"/>
        <w:keepNext w:val="0"/>
        <w:keepLines w:val="0"/>
        <w:widowControl w:val="0"/>
        <w:numPr>
          <w:ilvl w:val="0"/>
          <w:numId w:val="7"/>
        </w:numPr>
        <w:shd w:val="clear" w:color="auto" w:fill="auto"/>
        <w:tabs>
          <w:tab w:pos="2191" w:val="left"/>
        </w:tabs>
        <w:bidi w:val="0"/>
        <w:spacing w:before="0" w:after="600" w:line="240" w:lineRule="auto"/>
        <w:ind w:left="18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DAS DISPOSIÇÕES SOBRE DESPESAS COM PESSOAL</w:t>
      </w:r>
    </w:p>
    <w:p>
      <w:pPr>
        <w:pStyle w:val="Style8"/>
        <w:keepNext w:val="0"/>
        <w:keepLines w:val="0"/>
        <w:widowControl w:val="0"/>
        <w:shd w:val="clear" w:color="auto" w:fill="auto"/>
        <w:bidi w:val="0"/>
        <w:spacing w:before="0" w:after="26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45 - </w:t>
      </w:r>
      <w:r>
        <w:rPr>
          <w:color w:val="000000"/>
          <w:spacing w:val="0"/>
          <w:w w:val="100"/>
          <w:position w:val="0"/>
          <w:shd w:val="clear" w:color="auto" w:fill="auto"/>
          <w:lang w:val="pt-PT" w:eastAsia="pt-PT" w:bidi="pt-PT"/>
        </w:rPr>
        <w:t xml:space="preserve">O Executivo e o Legislativo Municipal, mediante lei autorizativa, poderão em 2026, criar </w:t>
      </w:r>
      <w:r>
        <w:rPr>
          <w:color w:val="000000"/>
          <w:spacing w:val="0"/>
          <w:w w:val="100"/>
          <w:position w:val="0"/>
          <w:shd w:val="clear" w:color="auto" w:fill="auto"/>
          <w:lang w:val="pt-PT" w:eastAsia="pt-PT" w:bidi="pt-PT"/>
        </w:rPr>
        <w:t>cargos e funções, alterar a estrutura de carreira, corrigir ou aumentar a remuneração de servidores, conceder vantagens, admitir pessoal aprovado em concurso público ou caráter temporário na forma de lei, observados os limites e as regras da LRE (art. 169, §1°, II da Constituição Federal).</w:t>
      </w:r>
    </w:p>
    <w:p>
      <w:pPr>
        <w:pStyle w:val="Style8"/>
        <w:keepNext w:val="0"/>
        <w:keepLines w:val="0"/>
        <w:widowControl w:val="0"/>
        <w:shd w:val="clear" w:color="auto" w:fill="auto"/>
        <w:bidi w:val="0"/>
        <w:spacing w:before="0" w:after="260" w:line="27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 </w:t>
      </w:r>
      <w:r>
        <w:rPr>
          <w:color w:val="000000"/>
          <w:spacing w:val="0"/>
          <w:w w:val="100"/>
          <w:position w:val="0"/>
          <w:shd w:val="clear" w:color="auto" w:fill="auto"/>
          <w:lang w:val="pt-PT" w:eastAsia="pt-PT" w:bidi="pt-PT"/>
        </w:rPr>
        <w:t>Os recursos para as despesas decorrentes destes atos deverão estar previstos na lei de orçamento para 2026.</w:t>
      </w:r>
    </w:p>
    <w:p>
      <w:pPr>
        <w:pStyle w:val="Style8"/>
        <w:keepNext w:val="0"/>
        <w:keepLines w:val="0"/>
        <w:widowControl w:val="0"/>
        <w:shd w:val="clear" w:color="auto" w:fill="auto"/>
        <w:bidi w:val="0"/>
        <w:spacing w:before="0" w:after="260" w:line="334"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46 </w:t>
      </w:r>
      <w:r>
        <w:rPr>
          <w:color w:val="000000"/>
          <w:spacing w:val="0"/>
          <w:w w:val="100"/>
          <w:position w:val="0"/>
          <w:shd w:val="clear" w:color="auto" w:fill="auto"/>
          <w:lang w:val="pt-PT" w:eastAsia="pt-PT" w:bidi="pt-PT"/>
        </w:rPr>
        <w:t xml:space="preserve">- Ressalvada a hipótese do inciso X do artigo 37 da Constituição Federal, a despesa total com pessoal de cada um dos Poderes em 2026, Executivo e Legislativo, não excederá em Percentual da Receita Corrente Líquida, a despesa verificada no exercício de 2025, acrescida de 5%, obedecido o limites prudencial de 51,30% e 5,70% da Receita Corrente Líquida, </w:t>
      </w:r>
      <w:r>
        <w:rPr>
          <w:color w:val="000000"/>
          <w:spacing w:val="0"/>
          <w:w w:val="100"/>
          <w:position w:val="0"/>
          <w:shd w:val="clear" w:color="auto" w:fill="auto"/>
          <w:lang w:val="pt-BR" w:eastAsia="pt-BR" w:bidi="pt-BR"/>
        </w:rPr>
        <w:t xml:space="preserve">respectivamente </w:t>
      </w:r>
      <w:r>
        <w:rPr>
          <w:color w:val="000000"/>
          <w:spacing w:val="0"/>
          <w:w w:val="100"/>
          <w:position w:val="0"/>
          <w:shd w:val="clear" w:color="auto" w:fill="auto"/>
          <w:lang w:val="pt-PT" w:eastAsia="pt-PT" w:bidi="pt-PT"/>
        </w:rPr>
        <w:t xml:space="preserve">(art. 71 da LRF).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ArL 47 - </w:t>
      </w:r>
      <w:r>
        <w:rPr>
          <w:color w:val="000000"/>
          <w:spacing w:val="0"/>
          <w:w w:val="100"/>
          <w:position w:val="0"/>
          <w:shd w:val="clear" w:color="auto" w:fill="auto"/>
          <w:lang w:val="pt-PT" w:eastAsia="pt-PT" w:bidi="pt-PT"/>
        </w:rPr>
        <w:t xml:space="preserve">Nos casos de necessidade temporária, de </w:t>
      </w:r>
      <w:r>
        <w:rPr>
          <w:color w:val="000000"/>
          <w:spacing w:val="0"/>
          <w:w w:val="100"/>
          <w:position w:val="0"/>
          <w:shd w:val="clear" w:color="auto" w:fill="auto"/>
          <w:lang w:val="pt-BR" w:eastAsia="pt-BR" w:bidi="pt-BR"/>
        </w:rPr>
        <w:t xml:space="preserve">excepcional </w:t>
      </w:r>
      <w:r>
        <w:rPr>
          <w:color w:val="000000"/>
          <w:spacing w:val="0"/>
          <w:w w:val="100"/>
          <w:position w:val="0"/>
          <w:shd w:val="clear" w:color="auto" w:fill="auto"/>
          <w:lang w:val="pt-PT" w:eastAsia="pt-PT" w:bidi="pt-PT"/>
        </w:rPr>
        <w:t xml:space="preserve">interesse público,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justificado pela autoridade competente, a Administração Municipal poderá autorizar a realização de horas extras pelos servidores, quando as despesas com pessoal não excederem a 95% do limite estabelecido no art. 20,111 da LRF (art. 22, parágrafo único, V da LRF).</w:t>
      </w:r>
    </w:p>
    <w:p>
      <w:pPr>
        <w:pStyle w:val="Style8"/>
        <w:keepNext w:val="0"/>
        <w:keepLines w:val="0"/>
        <w:widowControl w:val="0"/>
        <w:shd w:val="clear" w:color="auto" w:fill="auto"/>
        <w:bidi w:val="0"/>
        <w:spacing w:before="0" w:after="260" w:line="288"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48 - </w:t>
      </w:r>
      <w:r>
        <w:rPr>
          <w:color w:val="000000"/>
          <w:spacing w:val="0"/>
          <w:w w:val="100"/>
          <w:position w:val="0"/>
          <w:shd w:val="clear" w:color="auto" w:fill="auto"/>
          <w:lang w:val="pt-PT" w:eastAsia="pt-PT" w:bidi="pt-PT"/>
        </w:rPr>
        <w:t>O Executivo Municipal adotará as seguintes medidas para reduzir as despesas com pessoal caso elas ultrapassem os limites estabelecidos na LRF (arL 19 e 20):</w:t>
      </w:r>
    </w:p>
    <w:p>
      <w:pPr>
        <w:pStyle w:val="Style8"/>
        <w:keepNext w:val="0"/>
        <w:keepLines w:val="0"/>
        <w:widowControl w:val="0"/>
        <w:numPr>
          <w:ilvl w:val="0"/>
          <w:numId w:val="9"/>
        </w:numPr>
        <w:shd w:val="clear" w:color="auto" w:fill="auto"/>
        <w:tabs>
          <w:tab w:pos="228" w:val="left"/>
        </w:tabs>
        <w:bidi w:val="0"/>
        <w:spacing w:before="0" w:after="0" w:line="302" w:lineRule="auto"/>
        <w:ind w:left="0" w:right="0" w:firstLine="0"/>
        <w:jc w:val="both"/>
      </w:pPr>
      <w:r>
        <w:rPr>
          <w:color w:val="000000"/>
          <w:spacing w:val="0"/>
          <w:w w:val="100"/>
          <w:position w:val="0"/>
          <w:shd w:val="clear" w:color="auto" w:fill="auto"/>
          <w:lang w:val="pt-PT" w:eastAsia="pt-PT" w:bidi="pt-PT"/>
        </w:rPr>
        <w:t>- eliminação de vantagens concedidas a servidores;</w:t>
      </w:r>
    </w:p>
    <w:p>
      <w:pPr>
        <w:pStyle w:val="Style8"/>
        <w:keepNext w:val="0"/>
        <w:keepLines w:val="0"/>
        <w:widowControl w:val="0"/>
        <w:numPr>
          <w:ilvl w:val="0"/>
          <w:numId w:val="9"/>
        </w:numPr>
        <w:shd w:val="clear" w:color="auto" w:fill="auto"/>
        <w:tabs>
          <w:tab w:pos="255" w:val="left"/>
        </w:tabs>
        <w:bidi w:val="0"/>
        <w:spacing w:before="0" w:after="0" w:line="302" w:lineRule="auto"/>
        <w:ind w:left="0" w:right="0" w:firstLine="0"/>
        <w:jc w:val="both"/>
      </w:pPr>
      <w:r>
        <w:rPr>
          <w:color w:val="000000"/>
          <w:spacing w:val="0"/>
          <w:w w:val="100"/>
          <w:position w:val="0"/>
          <w:shd w:val="clear" w:color="auto" w:fill="auto"/>
          <w:lang w:val="pt-PT" w:eastAsia="pt-PT" w:bidi="pt-PT"/>
        </w:rPr>
        <w:t>- eliminação das despesas com horas-extras;</w:t>
      </w:r>
    </w:p>
    <w:p>
      <w:pPr>
        <w:pStyle w:val="Style8"/>
        <w:keepNext w:val="0"/>
        <w:keepLines w:val="0"/>
        <w:widowControl w:val="0"/>
        <w:numPr>
          <w:ilvl w:val="0"/>
          <w:numId w:val="9"/>
        </w:numPr>
        <w:shd w:val="clear" w:color="auto" w:fill="auto"/>
        <w:tabs>
          <w:tab w:pos="313" w:val="left"/>
        </w:tabs>
        <w:bidi w:val="0"/>
        <w:spacing w:before="0" w:after="0" w:line="302" w:lineRule="auto"/>
        <w:ind w:left="0" w:right="0" w:firstLine="0"/>
        <w:jc w:val="both"/>
      </w:pPr>
      <w:r>
        <w:rPr>
          <w:color w:val="000000"/>
          <w:spacing w:val="0"/>
          <w:w w:val="100"/>
          <w:position w:val="0"/>
          <w:shd w:val="clear" w:color="auto" w:fill="auto"/>
          <w:lang w:val="pt-PT" w:eastAsia="pt-PT" w:bidi="pt-PT"/>
        </w:rPr>
        <w:t>- exoneração de servidores ocupantes de cargo em comissão;</w:t>
      </w:r>
    </w:p>
    <w:p>
      <w:pPr>
        <w:pStyle w:val="Style8"/>
        <w:keepNext w:val="0"/>
        <w:keepLines w:val="0"/>
        <w:widowControl w:val="0"/>
        <w:numPr>
          <w:ilvl w:val="0"/>
          <w:numId w:val="9"/>
        </w:numPr>
        <w:shd w:val="clear" w:color="auto" w:fill="auto"/>
        <w:tabs>
          <w:tab w:pos="313" w:val="left"/>
        </w:tabs>
        <w:bidi w:val="0"/>
        <w:spacing w:before="0" w:after="260" w:line="302" w:lineRule="auto"/>
        <w:ind w:left="0" w:right="0" w:firstLine="0"/>
        <w:jc w:val="both"/>
      </w:pPr>
      <w:r>
        <w:rPr>
          <w:color w:val="000000"/>
          <w:spacing w:val="0"/>
          <w:w w:val="100"/>
          <w:position w:val="0"/>
          <w:shd w:val="clear" w:color="auto" w:fill="auto"/>
          <w:lang w:val="pt-PT" w:eastAsia="pt-PT" w:bidi="pt-PT"/>
        </w:rPr>
        <w:t>- demissão de servidores admitidos em caráter temporário.</w:t>
      </w:r>
    </w:p>
    <w:p>
      <w:pPr>
        <w:pStyle w:val="Style8"/>
        <w:keepNext w:val="0"/>
        <w:keepLines w:val="0"/>
        <w:widowControl w:val="0"/>
        <w:shd w:val="clear" w:color="auto" w:fill="auto"/>
        <w:bidi w:val="0"/>
        <w:spacing w:before="0" w:after="260" w:line="298"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49 - </w:t>
      </w:r>
      <w:r>
        <w:rPr>
          <w:color w:val="000000"/>
          <w:spacing w:val="0"/>
          <w:w w:val="100"/>
          <w:position w:val="0"/>
          <w:shd w:val="clear" w:color="auto" w:fill="auto"/>
          <w:lang w:val="pt-PT" w:eastAsia="pt-PT" w:bidi="pt-PT"/>
        </w:rPr>
        <w:t xml:space="preserve">Para efeito desta Lei e registros </w:t>
      </w:r>
      <w:r>
        <w:rPr>
          <w:color w:val="000000"/>
          <w:spacing w:val="0"/>
          <w:w w:val="100"/>
          <w:position w:val="0"/>
          <w:shd w:val="clear" w:color="auto" w:fill="auto"/>
          <w:lang w:val="pt-BR" w:eastAsia="pt-BR" w:bidi="pt-BR"/>
        </w:rPr>
        <w:t xml:space="preserve">contábeis, entende-se </w:t>
      </w:r>
      <w:r>
        <w:rPr>
          <w:color w:val="000000"/>
          <w:spacing w:val="0"/>
          <w:w w:val="100"/>
          <w:position w:val="0"/>
          <w:shd w:val="clear" w:color="auto" w:fill="auto"/>
          <w:lang w:val="pt-PT" w:eastAsia="pt-PT" w:bidi="pt-PT"/>
        </w:rPr>
        <w:t xml:space="preserve">como </w:t>
      </w:r>
      <w:r>
        <w:rPr>
          <w:color w:val="000000"/>
          <w:spacing w:val="0"/>
          <w:w w:val="100"/>
          <w:position w:val="0"/>
          <w:shd w:val="clear" w:color="auto" w:fill="auto"/>
          <w:lang w:val="pt-BR" w:eastAsia="pt-BR" w:bidi="pt-BR"/>
        </w:rPr>
        <w:t xml:space="preserve">terceirização </w:t>
      </w:r>
      <w:r>
        <w:rPr>
          <w:color w:val="000000"/>
          <w:spacing w:val="0"/>
          <w:w w:val="100"/>
          <w:position w:val="0"/>
          <w:shd w:val="clear" w:color="auto" w:fill="auto"/>
          <w:lang w:val="pt-PT" w:eastAsia="pt-PT" w:bidi="pt-PT"/>
        </w:rPr>
        <w:t xml:space="preserve">de </w:t>
      </w:r>
      <w:r>
        <w:rPr>
          <w:color w:val="000000"/>
          <w:spacing w:val="0"/>
          <w:w w:val="100"/>
          <w:position w:val="0"/>
          <w:shd w:val="clear" w:color="auto" w:fill="auto"/>
          <w:lang w:val="pt-BR" w:eastAsia="pt-BR" w:bidi="pt-BR"/>
        </w:rPr>
        <w:t xml:space="preserve">mão-de-obra </w:t>
      </w:r>
      <w:r>
        <w:rPr>
          <w:color w:val="000000"/>
          <w:spacing w:val="0"/>
          <w:w w:val="100"/>
          <w:position w:val="0"/>
          <w:shd w:val="clear" w:color="auto" w:fill="auto"/>
          <w:lang w:val="pt-PT" w:eastAsia="pt-PT" w:bidi="pt-PT"/>
        </w:rPr>
        <w:t>referente substituição de servidores de que trata o art. 18, §1</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da LRF, a contratação de </w:t>
      </w:r>
      <w:r>
        <w:rPr>
          <w:color w:val="000000"/>
          <w:spacing w:val="0"/>
          <w:w w:val="100"/>
          <w:position w:val="0"/>
          <w:shd w:val="clear" w:color="auto" w:fill="auto"/>
          <w:lang w:val="pt-BR" w:eastAsia="pt-BR" w:bidi="pt-BR"/>
        </w:rPr>
        <w:t xml:space="preserve">mão-de-obra </w:t>
      </w:r>
      <w:r>
        <w:rPr>
          <w:color w:val="000000"/>
          <w:spacing w:val="0"/>
          <w:w w:val="100"/>
          <w:position w:val="0"/>
          <w:shd w:val="clear" w:color="auto" w:fill="auto"/>
          <w:lang w:val="pt-PT" w:eastAsia="pt-PT" w:bidi="pt-PT"/>
        </w:rPr>
        <w:t>cujas atividades ou funções guardem relação com atividades ou funções previstas no Plano de Cargos da Administração Municipal, ou ainda, atividades próprias da Administração Pública, desde que, em ambos os casos, não haja utilização de materiais ou equipamentos de propriedade do contratado ou de terceiros.</w:t>
      </w:r>
    </w:p>
    <w:p>
      <w:pPr>
        <w:pStyle w:val="Style8"/>
        <w:keepNext w:val="0"/>
        <w:keepLines w:val="0"/>
        <w:widowControl w:val="0"/>
        <w:shd w:val="clear" w:color="auto" w:fill="auto"/>
        <w:bidi w:val="0"/>
        <w:spacing w:before="0" w:after="560" w:line="298"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 </w:t>
      </w:r>
      <w:r>
        <w:rPr>
          <w:color w:val="000000"/>
          <w:spacing w:val="0"/>
          <w:w w:val="100"/>
          <w:position w:val="0"/>
          <w:shd w:val="clear" w:color="auto" w:fill="auto"/>
          <w:lang w:val="pt-PT" w:eastAsia="pt-PT" w:bidi="pt-PT"/>
        </w:rPr>
        <w:t xml:space="preserve">Quando a contratação de </w:t>
      </w:r>
      <w:r>
        <w:rPr>
          <w:color w:val="000000"/>
          <w:spacing w:val="0"/>
          <w:w w:val="100"/>
          <w:position w:val="0"/>
          <w:shd w:val="clear" w:color="auto" w:fill="auto"/>
          <w:lang w:val="pt-BR" w:eastAsia="pt-BR" w:bidi="pt-BR"/>
        </w:rPr>
        <w:t xml:space="preserve">mão-de-obra </w:t>
      </w:r>
      <w:r>
        <w:rPr>
          <w:color w:val="000000"/>
          <w:spacing w:val="0"/>
          <w:w w:val="100"/>
          <w:position w:val="0"/>
          <w:shd w:val="clear" w:color="auto" w:fill="auto"/>
          <w:lang w:val="pt-PT" w:eastAsia="pt-PT" w:bidi="pt-PT"/>
        </w:rPr>
        <w:t xml:space="preserve">envolver também fornecimento de materiais ou utilização de equipamentos de propriedade do contratado ou de terceiros, por não </w:t>
      </w:r>
      <w:r>
        <w:rPr>
          <w:color w:val="000000"/>
          <w:spacing w:val="0"/>
          <w:w w:val="100"/>
          <w:position w:val="0"/>
          <w:shd w:val="clear" w:color="auto" w:fill="auto"/>
          <w:lang w:val="pt-BR" w:eastAsia="pt-BR" w:bidi="pt-BR"/>
        </w:rPr>
        <w:t xml:space="preserve">caracterizar </w:t>
      </w:r>
      <w:r>
        <w:rPr>
          <w:color w:val="000000"/>
          <w:spacing w:val="0"/>
          <w:w w:val="100"/>
          <w:position w:val="0"/>
          <w:shd w:val="clear" w:color="auto" w:fill="auto"/>
          <w:lang w:val="pt-PT" w:eastAsia="pt-PT" w:bidi="pt-PT"/>
        </w:rPr>
        <w:t xml:space="preserve">substituição de servidores, a despesa será classificada em outros elementos de despesa que não o "34 - Outras Despesas de Pessoal decorrentes de Contratos de </w:t>
      </w:r>
      <w:r>
        <w:rPr>
          <w:color w:val="000000"/>
          <w:spacing w:val="0"/>
          <w:w w:val="100"/>
          <w:position w:val="0"/>
          <w:shd w:val="clear" w:color="auto" w:fill="auto"/>
          <w:lang w:val="pt-BR" w:eastAsia="pt-BR" w:bidi="pt-BR"/>
        </w:rPr>
        <w:t>Terceirização".</w:t>
      </w:r>
    </w:p>
    <w:p>
      <w:pPr>
        <w:pStyle w:val="Style2"/>
        <w:keepNext w:val="0"/>
        <w:keepLines w:val="0"/>
        <w:widowControl w:val="0"/>
        <w:numPr>
          <w:ilvl w:val="0"/>
          <w:numId w:val="7"/>
        </w:numPr>
        <w:shd w:val="clear" w:color="auto" w:fill="auto"/>
        <w:tabs>
          <w:tab w:pos="409" w:val="left"/>
        </w:tabs>
        <w:bidi w:val="0"/>
        <w:spacing w:before="0" w:after="60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DAS DISPOSIÇÕES SOBRE ALTERAÇÃO NA LEGISLAÇÃO TRIBUTÁRIA</w:t>
      </w:r>
    </w:p>
    <w:p>
      <w:pPr>
        <w:pStyle w:val="Style8"/>
        <w:keepNext w:val="0"/>
        <w:keepLines w:val="0"/>
        <w:widowControl w:val="0"/>
        <w:shd w:val="clear" w:color="auto" w:fill="auto"/>
        <w:bidi w:val="0"/>
        <w:spacing w:before="0" w:after="0" w:line="240" w:lineRule="auto"/>
        <w:ind w:left="0" w:right="0" w:firstLine="0"/>
        <w:jc w:val="both"/>
        <w:sectPr>
          <w:headerReference w:type="default" r:id="rId27"/>
          <w:footerReference w:type="default" r:id="rId28"/>
          <w:footnotePr>
            <w:pos w:val="pageBottom"/>
            <w:numFmt w:val="decimal"/>
            <w:numRestart w:val="continuous"/>
          </w:footnotePr>
          <w:type w:val="continuous"/>
          <w:pgSz w:w="11900" w:h="16840"/>
          <w:pgMar w:top="2727" w:left="1234" w:right="1162" w:bottom="1661"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50 - </w:t>
      </w:r>
      <w:r>
        <w:rPr>
          <w:color w:val="000000"/>
          <w:spacing w:val="0"/>
          <w:w w:val="100"/>
          <w:position w:val="0"/>
          <w:shd w:val="clear" w:color="auto" w:fill="auto"/>
          <w:lang w:val="pt-PT" w:eastAsia="pt-PT" w:bidi="pt-PT"/>
        </w:rPr>
        <w:t xml:space="preserve">O Executivo Municipal, quando autorizado em lei, poderá conceder ou ampliar </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 xml:space="preserve">fiscal de natureza tributária com vistas a estimular o crescimento </w:t>
      </w:r>
      <w:r>
        <w:rPr>
          <w:color w:val="000000"/>
          <w:spacing w:val="0"/>
          <w:w w:val="100"/>
          <w:position w:val="0"/>
          <w:shd w:val="clear" w:color="auto" w:fill="auto"/>
          <w:lang w:val="pt-BR" w:eastAsia="pt-BR" w:bidi="pt-BR"/>
        </w:rPr>
        <w:t xml:space="preserve">econômico, </w:t>
      </w:r>
      <w:r>
        <w:rPr>
          <w:color w:val="000000"/>
          <w:spacing w:val="0"/>
          <w:w w:val="100"/>
          <w:position w:val="0"/>
          <w:shd w:val="clear" w:color="auto" w:fill="auto"/>
          <w:lang w:val="pt-PT" w:eastAsia="pt-PT" w:bidi="pt-PT"/>
        </w:rPr>
        <w:t>a geração de empregos e renda, ou beneficiar contribuintes integrantes de classes menos favorecidas, devendo esses benefícios ser considerados no cálculo do orçamento da receita e serem objeto de estudos do seu</w:t>
      </w:r>
    </w:p>
    <w:p>
      <w:pPr>
        <w:pStyle w:val="Style8"/>
        <w:keepNext w:val="0"/>
        <w:keepLines w:val="0"/>
        <w:widowControl w:val="0"/>
        <w:shd w:val="clear" w:color="auto" w:fill="auto"/>
        <w:bidi w:val="0"/>
        <w:spacing w:before="0" w:after="300" w:line="290" w:lineRule="auto"/>
        <w:ind w:left="0" w:right="0" w:firstLine="0"/>
        <w:jc w:val="both"/>
      </w:pPr>
      <w:r>
        <mc:AlternateContent>
          <mc:Choice Requires="wps">
            <w:drawing>
              <wp:anchor distT="0" distB="0" distL="0" distR="0" simplePos="0" relativeHeight="125829382" behindDoc="0" locked="0" layoutInCell="1" allowOverlap="1">
                <wp:simplePos x="0" y="0"/>
                <wp:positionH relativeFrom="page">
                  <wp:posOffset>5328285</wp:posOffset>
                </wp:positionH>
                <wp:positionV relativeFrom="paragraph">
                  <wp:posOffset>12700</wp:posOffset>
                </wp:positionV>
                <wp:extent cx="1456690" cy="189230"/>
                <wp:wrapSquare wrapText="bothSides"/>
                <wp:docPr id="40" name="Shape 40"/>
                <a:graphic xmlns:a="http://schemas.openxmlformats.org/drawingml/2006/main">
                  <a:graphicData uri="http://schemas.microsoft.com/office/word/2010/wordprocessingShape">
                    <wps:wsp>
                      <wps:cNvSpPr txBox="1"/>
                      <wps:spPr>
                        <a:xfrm>
                          <a:ext cx="1456690" cy="1892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 nos dois subsequentes</w:t>
                            </w:r>
                          </w:p>
                        </w:txbxContent>
                      </wps:txbx>
                      <wps:bodyPr wrap="none" lIns="0" tIns="0" rIns="0" bIns="0">
                        <a:noAutoFit/>
                      </wps:bodyPr>
                    </wps:wsp>
                  </a:graphicData>
                </a:graphic>
              </wp:anchor>
            </w:drawing>
          </mc:Choice>
          <mc:Fallback>
            <w:pict>
              <v:shape id="_x0000_s1066" type="#_x0000_t202" style="position:absolute;margin-left:419.55000000000001pt;margin-top:1.pt;width:114.7pt;height:14.9pt;z-index:-125829371;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 nos dois subsequentes</w:t>
                      </w:r>
                    </w:p>
                  </w:txbxContent>
                </v:textbox>
                <w10:wrap type="square" anchorx="page"/>
              </v:shape>
            </w:pict>
          </mc:Fallback>
        </mc:AlternateContent>
      </w:r>
      <w:r>
        <w:rPr>
          <w:color w:val="000000"/>
          <w:spacing w:val="0"/>
          <w:w w:val="100"/>
          <w:position w:val="0"/>
          <w:shd w:val="clear" w:color="auto" w:fill="auto"/>
          <w:lang w:val="pt-PT" w:eastAsia="pt-PT" w:bidi="pt-PT"/>
        </w:rPr>
        <w:t xml:space="preserve">impacto </w:t>
      </w:r>
      <w:r>
        <w:rPr>
          <w:color w:val="000000"/>
          <w:spacing w:val="0"/>
          <w:w w:val="100"/>
          <w:position w:val="0"/>
          <w:shd w:val="clear" w:color="auto" w:fill="auto"/>
          <w:lang w:val="pt-BR" w:eastAsia="pt-BR" w:bidi="pt-BR"/>
        </w:rPr>
        <w:t xml:space="preserve">orçamentário </w:t>
      </w:r>
      <w:r>
        <w:rPr>
          <w:color w:val="000000"/>
          <w:spacing w:val="0"/>
          <w:w w:val="100"/>
          <w:position w:val="0"/>
          <w:shd w:val="clear" w:color="auto" w:fill="auto"/>
          <w:lang w:val="pt-PT" w:eastAsia="pt-PT" w:bidi="pt-PT"/>
        </w:rPr>
        <w:t>e financeiro no exercício em que iniciar sua vigência (art. 14 da LRF).</w:t>
      </w:r>
    </w:p>
    <w:p>
      <w:pPr>
        <w:pStyle w:val="Style8"/>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51 - </w:t>
      </w:r>
      <w:r>
        <w:rPr>
          <w:color w:val="000000"/>
          <w:spacing w:val="0"/>
          <w:w w:val="100"/>
          <w:position w:val="0"/>
          <w:shd w:val="clear" w:color="auto" w:fill="auto"/>
          <w:lang w:val="pt-PT" w:eastAsia="pt-PT" w:bidi="pt-PT"/>
        </w:rPr>
        <w:t>Os tributos lançados e não arrecadados, inscritos em dívida ativa, cujos custos para cobrança</w:t>
      </w:r>
    </w:p>
    <w:p>
      <w:pPr>
        <w:pStyle w:val="Style8"/>
        <w:keepNext w:val="0"/>
        <w:keepLines w:val="0"/>
        <w:widowControl w:val="0"/>
        <w:shd w:val="clear" w:color="auto" w:fill="auto"/>
        <w:bidi w:val="0"/>
        <w:spacing w:before="0" w:after="300" w:line="240" w:lineRule="auto"/>
        <w:ind w:left="0" w:right="0" w:firstLine="0"/>
        <w:jc w:val="both"/>
      </w:pPr>
      <w:r>
        <mc:AlternateContent>
          <mc:Choice Requires="wps">
            <w:drawing>
              <wp:anchor distT="0" distB="0" distL="0" distR="152400" simplePos="0" relativeHeight="125829384" behindDoc="0" locked="0" layoutInCell="1" allowOverlap="1">
                <wp:simplePos x="0" y="0"/>
                <wp:positionH relativeFrom="page">
                  <wp:posOffset>6181725</wp:posOffset>
                </wp:positionH>
                <wp:positionV relativeFrom="paragraph">
                  <wp:posOffset>12700</wp:posOffset>
                </wp:positionV>
                <wp:extent cx="450850" cy="170815"/>
                <wp:wrapSquare wrapText="bothSides"/>
                <wp:docPr id="42" name="Shape 42"/>
                <a:graphic xmlns:a="http://schemas.openxmlformats.org/drawingml/2006/main">
                  <a:graphicData uri="http://schemas.microsoft.com/office/word/2010/wordprocessingShape">
                    <wps:wsp>
                      <wps:cNvSpPr txBox="1"/>
                      <wps:spPr>
                        <a:xfrm>
                          <a:ext cx="450850" cy="17081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lei, não</w:t>
                            </w:r>
                          </w:p>
                        </w:txbxContent>
                      </wps:txbx>
                      <wps:bodyPr wrap="none" lIns="0" tIns="0" rIns="0" bIns="0">
                        <a:noAutoFit/>
                      </wps:bodyPr>
                    </wps:wsp>
                  </a:graphicData>
                </a:graphic>
              </wp:anchor>
            </w:drawing>
          </mc:Choice>
          <mc:Fallback>
            <w:pict>
              <v:shape id="_x0000_s1068" type="#_x0000_t202" style="position:absolute;margin-left:486.75pt;margin-top:1.pt;width:35.5pt;height:13.449999999999999pt;z-index:-125829369;mso-wrap-distance-left:0;mso-wrap-distance-right:12.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lei, não</w:t>
                      </w:r>
                    </w:p>
                  </w:txbxContent>
                </v:textbox>
                <w10:wrap type="square" anchorx="page"/>
              </v:shape>
            </w:pict>
          </mc:Fallback>
        </mc:AlternateContent>
      </w:r>
      <w:r>
        <mc:AlternateContent>
          <mc:Choice Requires="wps">
            <w:drawing>
              <wp:anchor distT="0" distB="0" distL="457200" distR="0" simplePos="0" relativeHeight="125829386" behindDoc="0" locked="0" layoutInCell="1" allowOverlap="1">
                <wp:simplePos x="0" y="0"/>
                <wp:positionH relativeFrom="page">
                  <wp:posOffset>6638925</wp:posOffset>
                </wp:positionH>
                <wp:positionV relativeFrom="paragraph">
                  <wp:posOffset>12700</wp:posOffset>
                </wp:positionV>
                <wp:extent cx="146050" cy="170815"/>
                <wp:wrapSquare wrapText="bothSides"/>
                <wp:docPr id="44" name="Shape 44"/>
                <a:graphic xmlns:a="http://schemas.openxmlformats.org/drawingml/2006/main">
                  <a:graphicData uri="http://schemas.microsoft.com/office/word/2010/wordprocessingShape">
                    <wps:wsp>
                      <wps:cNvSpPr txBox="1"/>
                      <wps:spPr>
                        <a:xfrm>
                          <a:ext cx="146050" cy="17081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se</w:t>
                            </w:r>
                          </w:p>
                        </w:txbxContent>
                      </wps:txbx>
                      <wps:bodyPr wrap="none" lIns="0" tIns="0" rIns="0" bIns="0">
                        <a:noAutoFit/>
                      </wps:bodyPr>
                    </wps:wsp>
                  </a:graphicData>
                </a:graphic>
              </wp:anchor>
            </w:drawing>
          </mc:Choice>
          <mc:Fallback>
            <w:pict>
              <v:shape id="_x0000_s1070" type="#_x0000_t202" style="position:absolute;margin-left:522.75pt;margin-top:1.pt;width:11.5pt;height:13.449999999999999pt;z-index:-125829367;mso-wrap-distance-left:36.pt;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se</w:t>
                      </w:r>
                    </w:p>
                  </w:txbxContent>
                </v:textbox>
                <w10:wrap type="square" anchorx="page"/>
              </v:shape>
            </w:pict>
          </mc:Fallback>
        </mc:AlternateContent>
      </w:r>
      <w:r>
        <w:rPr>
          <w:color w:val="000000"/>
          <w:spacing w:val="0"/>
          <w:w w:val="100"/>
          <w:position w:val="0"/>
          <w:shd w:val="clear" w:color="auto" w:fill="auto"/>
          <w:lang w:val="pt-PT" w:eastAsia="pt-PT" w:bidi="pt-PT"/>
        </w:rPr>
        <w:t xml:space="preserve">sejam superiores ao crédito tributário, poderão ser cancelados, mediante autorização em </w:t>
      </w:r>
      <w:r>
        <w:rPr>
          <w:color w:val="000000"/>
          <w:spacing w:val="0"/>
          <w:w w:val="100"/>
          <w:position w:val="0"/>
          <w:shd w:val="clear" w:color="auto" w:fill="auto"/>
          <w:lang w:val="pt-PT" w:eastAsia="pt-PT" w:bidi="pt-PT"/>
        </w:rPr>
        <w:t>constituindo como renúncia de receita (art. 14, §3</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da LRF).</w:t>
      </w:r>
    </w:p>
    <w:p>
      <w:pPr>
        <w:pStyle w:val="Style8"/>
        <w:keepNext w:val="0"/>
        <w:keepLines w:val="0"/>
        <w:widowControl w:val="0"/>
        <w:shd w:val="clear" w:color="auto" w:fill="auto"/>
        <w:bidi w:val="0"/>
        <w:spacing w:before="0" w:after="560" w:line="28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w:t>
      </w:r>
      <w:r>
        <w:rPr>
          <w:color w:val="000000"/>
          <w:spacing w:val="0"/>
          <w:w w:val="100"/>
          <w:position w:val="0"/>
          <w:shd w:val="clear" w:color="auto" w:fill="auto"/>
          <w:lang w:val="pt-PT" w:eastAsia="pt-PT" w:bidi="pt-PT"/>
        </w:rPr>
        <w:t>52 - O ato que conceder ou ampliar incentivo, isenção ou benefício de natureza tributária ou financeira constante do Orçamento da Receita, somente entrará em vigor após adoção de medidas de compensação (art. 14, §2</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da LRF).</w:t>
      </w:r>
    </w:p>
    <w:p>
      <w:pPr>
        <w:pStyle w:val="Style2"/>
        <w:keepNext w:val="0"/>
        <w:keepLines w:val="0"/>
        <w:widowControl w:val="0"/>
        <w:numPr>
          <w:ilvl w:val="0"/>
          <w:numId w:val="7"/>
        </w:numPr>
        <w:shd w:val="clear" w:color="auto" w:fill="auto"/>
        <w:tabs>
          <w:tab w:pos="3625" w:val="left"/>
        </w:tabs>
        <w:bidi w:val="0"/>
        <w:spacing w:before="0" w:after="600" w:line="240" w:lineRule="auto"/>
        <w:ind w:left="312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DAS DISPOSIÇÕES GERAIS</w:t>
      </w:r>
    </w:p>
    <w:p>
      <w:pPr>
        <w:pStyle w:val="Style8"/>
        <w:keepNext w:val="0"/>
        <w:keepLines w:val="0"/>
        <w:widowControl w:val="0"/>
        <w:shd w:val="clear" w:color="auto" w:fill="auto"/>
        <w:bidi w:val="0"/>
        <w:spacing w:before="0" w:after="300" w:line="29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w:t>
      </w:r>
      <w:r>
        <w:rPr>
          <w:color w:val="000000"/>
          <w:spacing w:val="0"/>
          <w:w w:val="100"/>
          <w:position w:val="0"/>
          <w:shd w:val="clear" w:color="auto" w:fill="auto"/>
          <w:lang w:val="pt-PT" w:eastAsia="pt-PT" w:bidi="pt-PT"/>
        </w:rPr>
        <w:t xml:space="preserve">53 - O Executivo Municipal enviará a proposta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à Câmara Municipal no prazo estabelecido na Lei Orgânica do Município, caso não esteja previsto, será obedecido o que dispõe o artigo 4</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da Lei 06/91 de 22/01/1991, que a apreciará e a devolverá para sanção até o encerramento do período legislativo anual.</w:t>
      </w:r>
    </w:p>
    <w:p>
      <w:pPr>
        <w:pStyle w:val="Style8"/>
        <w:keepNext w:val="0"/>
        <w:keepLines w:val="0"/>
        <w:widowControl w:val="0"/>
        <w:shd w:val="clear" w:color="auto" w:fill="auto"/>
        <w:bidi w:val="0"/>
        <w:spacing w:before="0" w:line="290" w:lineRule="auto"/>
        <w:ind w:left="0" w:right="0" w:firstLine="0"/>
        <w:jc w:val="both"/>
      </w:pPr>
      <w:r>
        <w:rPr>
          <w:color w:val="000000"/>
          <w:spacing w:val="0"/>
          <w:w w:val="100"/>
          <w:position w:val="0"/>
          <w:shd w:val="clear" w:color="auto" w:fill="auto"/>
          <w:lang w:val="pt-PT" w:eastAsia="pt-PT" w:bidi="pt-PT"/>
        </w:rPr>
        <w:t>§1</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 A Câmara Municipal não entrará em recesso enquanto não cumprir o disposto no "caput" deste artigo.</w:t>
      </w:r>
    </w:p>
    <w:p>
      <w:pPr>
        <w:pStyle w:val="Style8"/>
        <w:keepNext w:val="0"/>
        <w:keepLines w:val="0"/>
        <w:widowControl w:val="0"/>
        <w:shd w:val="clear" w:color="auto" w:fill="auto"/>
        <w:bidi w:val="0"/>
        <w:spacing w:before="0" w:line="300" w:lineRule="auto"/>
        <w:ind w:left="0" w:right="0" w:firstLine="0"/>
        <w:jc w:val="both"/>
      </w:pPr>
      <w:r>
        <w:rPr>
          <w:color w:val="000000"/>
          <w:spacing w:val="0"/>
          <w:w w:val="100"/>
          <w:position w:val="0"/>
          <w:shd w:val="clear" w:color="auto" w:fill="auto"/>
          <w:lang w:val="pt-PT" w:eastAsia="pt-PT" w:bidi="pt-PT"/>
        </w:rPr>
        <w:t>§2</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 Se o projeto de lei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 xml:space="preserve">anual não for encaminhado à sanção até o início do exercício financeiro de 2026, fica o Executivo Municipal autorizado a executar a proposta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 xml:space="preserve">na forma original, até a sanção da </w:t>
      </w:r>
      <w:r>
        <w:rPr>
          <w:color w:val="000000"/>
          <w:spacing w:val="0"/>
          <w:w w:val="100"/>
          <w:position w:val="0"/>
          <w:shd w:val="clear" w:color="auto" w:fill="auto"/>
          <w:lang w:val="pt-BR" w:eastAsia="pt-BR" w:bidi="pt-BR"/>
        </w:rPr>
        <w:t xml:space="preserve">respectiva </w:t>
      </w:r>
      <w:r>
        <w:rPr>
          <w:color w:val="000000"/>
          <w:spacing w:val="0"/>
          <w:w w:val="100"/>
          <w:position w:val="0"/>
          <w:shd w:val="clear" w:color="auto" w:fill="auto"/>
          <w:lang w:val="pt-PT" w:eastAsia="pt-PT" w:bidi="pt-PT"/>
        </w:rPr>
        <w:t xml:space="preserve">lei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anual.</w:t>
      </w:r>
    </w:p>
    <w:p>
      <w:pPr>
        <w:pStyle w:val="Style8"/>
        <w:keepNext w:val="0"/>
        <w:keepLines w:val="0"/>
        <w:widowControl w:val="0"/>
        <w:shd w:val="clear" w:color="auto" w:fill="auto"/>
        <w:bidi w:val="0"/>
        <w:spacing w:before="0" w:line="298" w:lineRule="auto"/>
        <w:ind w:left="0" w:right="0" w:firstLine="0"/>
        <w:jc w:val="both"/>
      </w:pPr>
      <w:r>
        <w:rPr>
          <w:color w:val="000000"/>
          <w:spacing w:val="0"/>
          <w:w w:val="100"/>
          <w:position w:val="0"/>
          <w:shd w:val="clear" w:color="auto" w:fill="auto"/>
          <w:lang w:val="pt-PT" w:eastAsia="pt-PT" w:bidi="pt-PT"/>
        </w:rPr>
        <w:t>§3</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 O limite de remanejamento por anulação total ou parcial das dotações </w:t>
      </w:r>
      <w:r>
        <w:rPr>
          <w:color w:val="000000"/>
          <w:spacing w:val="0"/>
          <w:w w:val="100"/>
          <w:position w:val="0"/>
          <w:shd w:val="clear" w:color="auto" w:fill="auto"/>
          <w:lang w:val="pt-BR" w:eastAsia="pt-BR" w:bidi="pt-BR"/>
        </w:rPr>
        <w:t xml:space="preserve">orçamentárias </w:t>
      </w:r>
      <w:r>
        <w:rPr>
          <w:color w:val="000000"/>
          <w:spacing w:val="0"/>
          <w:w w:val="100"/>
          <w:position w:val="0"/>
          <w:shd w:val="clear" w:color="auto" w:fill="auto"/>
          <w:lang w:val="pt-PT" w:eastAsia="pt-PT" w:bidi="pt-PT"/>
        </w:rPr>
        <w:t xml:space="preserve">será de 60% da despesa fixada, 100% para suplementação por excesso de arrecadação e 100% para o </w:t>
      </w:r>
      <w:r>
        <w:rPr>
          <w:color w:val="000000"/>
          <w:spacing w:val="0"/>
          <w:w w:val="100"/>
          <w:position w:val="0"/>
          <w:shd w:val="clear" w:color="auto" w:fill="auto"/>
          <w:lang w:val="pt-BR" w:eastAsia="pt-BR" w:bidi="pt-BR"/>
        </w:rPr>
        <w:t xml:space="preserve">superávit </w:t>
      </w:r>
      <w:r>
        <w:rPr>
          <w:color w:val="000000"/>
          <w:spacing w:val="0"/>
          <w:w w:val="100"/>
          <w:position w:val="0"/>
          <w:shd w:val="clear" w:color="auto" w:fill="auto"/>
          <w:lang w:val="pt-PT" w:eastAsia="pt-PT" w:bidi="pt-PT"/>
        </w:rPr>
        <w:t xml:space="preserve">financeiro, conforme artigos 40, 41, 42 e 43 da Lei Federal 4.320/64, não entrando no compito dos percentuais as suplementações com Pessoal, excesso de arrecadação, </w:t>
      </w:r>
      <w:r>
        <w:rPr>
          <w:color w:val="000000"/>
          <w:spacing w:val="0"/>
          <w:w w:val="100"/>
          <w:position w:val="0"/>
          <w:shd w:val="clear" w:color="auto" w:fill="auto"/>
          <w:lang w:val="pt-BR" w:eastAsia="pt-BR" w:bidi="pt-BR"/>
        </w:rPr>
        <w:t xml:space="preserve">superávit </w:t>
      </w:r>
      <w:r>
        <w:rPr>
          <w:color w:val="000000"/>
          <w:spacing w:val="0"/>
          <w:w w:val="100"/>
          <w:position w:val="0"/>
          <w:shd w:val="clear" w:color="auto" w:fill="auto"/>
          <w:lang w:val="pt-PT" w:eastAsia="pt-PT" w:bidi="pt-PT"/>
        </w:rPr>
        <w:t xml:space="preserve">Financeiro, </w:t>
      </w:r>
      <w:r>
        <w:rPr>
          <w:color w:val="000000"/>
          <w:spacing w:val="0"/>
          <w:w w:val="100"/>
          <w:position w:val="0"/>
          <w:shd w:val="clear" w:color="auto" w:fill="auto"/>
          <w:lang w:val="pt-BR" w:eastAsia="pt-BR" w:bidi="pt-BR"/>
        </w:rPr>
        <w:t xml:space="preserve">Convênios, </w:t>
      </w:r>
      <w:r>
        <w:rPr>
          <w:color w:val="000000"/>
          <w:spacing w:val="0"/>
          <w:w w:val="100"/>
          <w:position w:val="0"/>
          <w:shd w:val="clear" w:color="auto" w:fill="auto"/>
          <w:lang w:val="pt-PT" w:eastAsia="pt-PT" w:bidi="pt-PT"/>
        </w:rPr>
        <w:t>Emendas Individuais e de bancada</w:t>
      </w:r>
    </w:p>
    <w:p>
      <w:pPr>
        <w:pStyle w:val="Style8"/>
        <w:keepNext w:val="0"/>
        <w:keepLines w:val="0"/>
        <w:widowControl w:val="0"/>
        <w:shd w:val="clear" w:color="auto" w:fill="auto"/>
        <w:bidi w:val="0"/>
        <w:spacing w:before="0" w:line="288"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54 - </w:t>
      </w:r>
      <w:r>
        <w:rPr>
          <w:color w:val="000000"/>
          <w:spacing w:val="0"/>
          <w:w w:val="100"/>
          <w:position w:val="0"/>
          <w:shd w:val="clear" w:color="auto" w:fill="auto"/>
          <w:lang w:val="pt-PT" w:eastAsia="pt-PT" w:bidi="pt-PT"/>
        </w:rPr>
        <w:t>Serão considerados legais as despesas com multas e juros pelo eventual atraso no pagamento de compromissos assumidos, motivados por insuficiência de tesouraria.</w:t>
      </w:r>
    </w:p>
    <w:p>
      <w:pPr>
        <w:pStyle w:val="Style8"/>
        <w:keepNext w:val="0"/>
        <w:keepLines w:val="0"/>
        <w:widowControl w:val="0"/>
        <w:shd w:val="clear" w:color="auto" w:fill="auto"/>
        <w:bidi w:val="0"/>
        <w:spacing w:before="0" w:line="288"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55 - </w:t>
      </w:r>
      <w:r>
        <w:rPr>
          <w:color w:val="000000"/>
          <w:spacing w:val="0"/>
          <w:w w:val="100"/>
          <w:position w:val="0"/>
          <w:shd w:val="clear" w:color="auto" w:fill="auto"/>
          <w:lang w:val="pt-PT" w:eastAsia="pt-PT" w:bidi="pt-PT"/>
        </w:rPr>
        <w:t>Os créditos especiais e extraordinários, abertos nos últimos quatro meses do exercício, poderão ser reabertos no exercício subsequente, por Decreto do Executivo.</w:t>
      </w:r>
    </w:p>
    <w:p>
      <w:pPr>
        <w:pStyle w:val="Style8"/>
        <w:keepNext w:val="0"/>
        <w:keepLines w:val="0"/>
        <w:widowControl w:val="0"/>
        <w:shd w:val="clear" w:color="auto" w:fill="auto"/>
        <w:bidi w:val="0"/>
        <w:spacing w:before="0" w:line="27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56 - </w:t>
      </w:r>
      <w:r>
        <w:rPr>
          <w:color w:val="000000"/>
          <w:spacing w:val="0"/>
          <w:w w:val="100"/>
          <w:position w:val="0"/>
          <w:shd w:val="clear" w:color="auto" w:fill="auto"/>
          <w:lang w:val="pt-PT" w:eastAsia="pt-PT" w:bidi="pt-PT"/>
        </w:rPr>
        <w:t xml:space="preserve">O Executivo Municipal está autorizado a assinar </w:t>
      </w:r>
      <w:r>
        <w:rPr>
          <w:color w:val="000000"/>
          <w:spacing w:val="0"/>
          <w:w w:val="100"/>
          <w:position w:val="0"/>
          <w:shd w:val="clear" w:color="auto" w:fill="auto"/>
          <w:lang w:val="pt-BR" w:eastAsia="pt-BR" w:bidi="pt-BR"/>
        </w:rPr>
        <w:t xml:space="preserve">convênios </w:t>
      </w:r>
      <w:r>
        <w:rPr>
          <w:color w:val="000000"/>
          <w:spacing w:val="0"/>
          <w:w w:val="100"/>
          <w:position w:val="0"/>
          <w:shd w:val="clear" w:color="auto" w:fill="auto"/>
          <w:lang w:val="pt-PT" w:eastAsia="pt-PT" w:bidi="pt-PT"/>
        </w:rPr>
        <w:t>com o Governo Federal e</w:t>
      </w:r>
      <w:r>
        <w:br w:type="page"/>
      </w:r>
    </w:p>
    <w:p>
      <w:pPr>
        <w:pStyle w:val="Style8"/>
        <w:keepNext w:val="0"/>
        <w:keepLines w:val="0"/>
        <w:widowControl w:val="0"/>
        <w:shd w:val="clear" w:color="auto" w:fill="auto"/>
        <w:bidi w:val="0"/>
        <w:spacing w:before="0" w:line="300" w:lineRule="auto"/>
        <w:ind w:left="0" w:right="0" w:firstLine="0"/>
        <w:jc w:val="both"/>
      </w:pPr>
      <w:r>
        <w:rPr>
          <w:color w:val="000000"/>
          <w:spacing w:val="0"/>
          <w:w w:val="100"/>
          <w:position w:val="0"/>
          <w:shd w:val="clear" w:color="auto" w:fill="auto"/>
          <w:lang w:val="pt-PT" w:eastAsia="pt-PT" w:bidi="pt-PT"/>
        </w:rPr>
        <w:t>Estadual através de seus órgãos da administração direta ou indireta, para realização de obras ou serviços de competência ou não do Município.</w:t>
      </w:r>
    </w:p>
    <w:p>
      <w:pPr>
        <w:pStyle w:val="Style8"/>
        <w:keepNext w:val="0"/>
        <w:keepLines w:val="0"/>
        <w:widowControl w:val="0"/>
        <w:shd w:val="clear" w:color="auto" w:fill="auto"/>
        <w:bidi w:val="0"/>
        <w:spacing w:before="0" w:line="27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ArL </w:t>
      </w:r>
      <w:r>
        <w:rPr>
          <w:color w:val="000000"/>
          <w:spacing w:val="0"/>
          <w:w w:val="100"/>
          <w:position w:val="0"/>
          <w:shd w:val="clear" w:color="auto" w:fill="auto"/>
          <w:lang w:val="pt-PT" w:eastAsia="pt-PT" w:bidi="pt-PT"/>
        </w:rPr>
        <w:t>57-0 repasse ao poder Legislativo obedecerá ao disposto no artigo 29 'A' da CF, combinado com os artigos 4</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e 5</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da Resolução 19/2012 do Tribunal de Contas do Estado do Amazonas.</w:t>
      </w:r>
    </w:p>
    <w:p>
      <w:pPr>
        <w:pStyle w:val="Style8"/>
        <w:keepNext w:val="0"/>
        <w:keepLines w:val="0"/>
        <w:widowControl w:val="0"/>
        <w:shd w:val="clear" w:color="auto" w:fill="auto"/>
        <w:bidi w:val="0"/>
        <w:spacing w:before="0"/>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58 - </w:t>
      </w:r>
      <w:r>
        <w:rPr>
          <w:color w:val="000000"/>
          <w:spacing w:val="0"/>
          <w:w w:val="100"/>
          <w:position w:val="0"/>
          <w:shd w:val="clear" w:color="auto" w:fill="auto"/>
          <w:lang w:val="pt-PT" w:eastAsia="pt-PT" w:bidi="pt-PT"/>
        </w:rPr>
        <w:t>De conformidade com o estabelecido pelo §2</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do Art 168 da CF, incluído pela emenda complementar 109/21, os saldos financeiros </w:t>
      </w:r>
      <w:r>
        <w:rPr>
          <w:color w:val="000000"/>
          <w:spacing w:val="0"/>
          <w:w w:val="100"/>
          <w:position w:val="0"/>
          <w:shd w:val="clear" w:color="auto" w:fill="auto"/>
          <w:lang w:val="pt-BR" w:eastAsia="pt-BR" w:bidi="pt-BR"/>
        </w:rPr>
        <w:t xml:space="preserve">descomprometidos </w:t>
      </w:r>
      <w:r>
        <w:rPr>
          <w:color w:val="000000"/>
          <w:spacing w:val="0"/>
          <w:w w:val="100"/>
          <w:position w:val="0"/>
          <w:shd w:val="clear" w:color="auto" w:fill="auto"/>
          <w:lang w:val="pt-PT" w:eastAsia="pt-PT" w:bidi="pt-PT"/>
        </w:rPr>
        <w:t xml:space="preserve">que </w:t>
      </w:r>
      <w:r>
        <w:rPr>
          <w:color w:val="000000"/>
          <w:spacing w:val="0"/>
          <w:w w:val="100"/>
          <w:position w:val="0"/>
          <w:shd w:val="clear" w:color="auto" w:fill="auto"/>
          <w:lang w:val="pt-BR" w:eastAsia="pt-BR" w:bidi="pt-BR"/>
        </w:rPr>
        <w:t xml:space="preserve">remanescerem, </w:t>
      </w:r>
      <w:r>
        <w:rPr>
          <w:color w:val="000000"/>
          <w:spacing w:val="0"/>
          <w:w w:val="100"/>
          <w:position w:val="0"/>
          <w:shd w:val="clear" w:color="auto" w:fill="auto"/>
          <w:lang w:val="pt-PT" w:eastAsia="pt-PT" w:bidi="pt-PT"/>
        </w:rPr>
        <w:t>oriundos do duodécimo ao legislativo, deverá ser restituído ao caixa único do Tesouro do ente, ou terá seu valor deduzido das primeiras parcelas de repasse concedido no ano seguinte.</w:t>
      </w:r>
    </w:p>
    <w:p>
      <w:pPr>
        <w:pStyle w:val="Style8"/>
        <w:keepNext w:val="0"/>
        <w:keepLines w:val="0"/>
        <w:widowControl w:val="0"/>
        <w:shd w:val="clear" w:color="auto" w:fill="auto"/>
        <w:bidi w:val="0"/>
        <w:spacing w:before="0" w:after="74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59 - </w:t>
      </w:r>
      <w:r>
        <w:rPr>
          <w:color w:val="000000"/>
          <w:spacing w:val="0"/>
          <w:w w:val="100"/>
          <w:position w:val="0"/>
          <w:shd w:val="clear" w:color="auto" w:fill="auto"/>
          <w:lang w:val="pt-PT" w:eastAsia="pt-PT" w:bidi="pt-PT"/>
        </w:rPr>
        <w:t>Esta Lei entrará em vigor na data de sua publicação.</w:t>
      </w:r>
    </w:p>
    <w:p>
      <w:pPr>
        <w:pStyle w:val="Style8"/>
        <w:keepNext w:val="0"/>
        <w:keepLines w:val="0"/>
        <w:widowControl w:val="0"/>
        <w:shd w:val="clear" w:color="auto" w:fill="auto"/>
        <w:bidi w:val="0"/>
        <w:spacing w:before="0" w:after="680" w:line="240" w:lineRule="auto"/>
        <w:ind w:left="0" w:right="0" w:firstLine="0"/>
        <w:jc w:val="center"/>
      </w:pPr>
      <w:r>
        <w:drawing>
          <wp:anchor distT="0" distB="0" distL="0" distR="0" simplePos="0" relativeHeight="125829388" behindDoc="0" locked="0" layoutInCell="1" allowOverlap="1">
            <wp:simplePos x="0" y="0"/>
            <wp:positionH relativeFrom="page">
              <wp:posOffset>3282950</wp:posOffset>
            </wp:positionH>
            <wp:positionV relativeFrom="paragraph">
              <wp:posOffset>177800</wp:posOffset>
            </wp:positionV>
            <wp:extent cx="871855" cy="585470"/>
            <wp:wrapTight wrapText="bothSides">
              <wp:wrapPolygon>
                <wp:start x="0" y="0"/>
                <wp:lineTo x="21600" y="0"/>
                <wp:lineTo x="21600" y="15300"/>
                <wp:lineTo x="12235" y="15300"/>
                <wp:lineTo x="12235" y="18900"/>
                <wp:lineTo x="21600" y="18900"/>
                <wp:lineTo x="21600" y="21600"/>
                <wp:lineTo x="0" y="21600"/>
                <wp:lineTo x="0" y="0"/>
              </wp:wrapPolygon>
            </wp:wrapTight>
            <wp:docPr id="46" name="Shape 46"/>
            <a:graphic xmlns:a="http://schemas.openxmlformats.org/drawingml/2006/main">
              <a:graphicData uri="http://schemas.openxmlformats.org/drawingml/2006/picture">
                <pic:pic xmlns:pic="http://schemas.openxmlformats.org/drawingml/2006/picture">
                  <pic:nvPicPr>
                    <pic:cNvPr id="47" name="Picture box 47"/>
                    <pic:cNvPicPr/>
                  </pic:nvPicPr>
                  <pic:blipFill>
                    <a:blip r:embed="rId29"/>
                    <a:stretch/>
                  </pic:blipFill>
                  <pic:spPr>
                    <a:xfrm>
                      <a:ext cx="871855" cy="585470"/>
                    </a:xfrm>
                    <a:prstGeom prst="rect"/>
                  </pic:spPr>
                </pic:pic>
              </a:graphicData>
            </a:graphic>
          </wp:anchor>
        </w:drawing>
      </w:r>
      <w:r>
        <w:rPr>
          <w:color w:val="000000"/>
          <w:spacing w:val="0"/>
          <w:w w:val="100"/>
          <w:position w:val="0"/>
          <w:shd w:val="clear" w:color="auto" w:fill="auto"/>
          <w:lang w:val="pt-PT" w:eastAsia="pt-PT" w:bidi="pt-PT"/>
        </w:rPr>
        <w:t>MAUÉS - AM, 21 DE JULHO DE 2025.</w:t>
      </w:r>
    </w:p>
    <w:p>
      <w:pPr>
        <w:pStyle w:val="Style8"/>
        <w:keepNext w:val="0"/>
        <w:keepLines w:val="0"/>
        <w:widowControl w:val="0"/>
        <w:shd w:val="clear" w:color="auto" w:fill="auto"/>
        <w:bidi w:val="0"/>
        <w:spacing w:before="0" w:after="600" w:line="276" w:lineRule="auto"/>
        <w:ind w:left="0" w:right="0" w:firstLine="0"/>
        <w:jc w:val="both"/>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MACELLY C A DEISOUZA VERAS </w:t>
      </w:r>
      <w:r>
        <w:rPr>
          <w:color w:val="000000"/>
          <w:spacing w:val="0"/>
          <w:w w:val="100"/>
          <w:position w:val="0"/>
          <w:shd w:val="clear" w:color="auto" w:fill="auto"/>
          <w:lang w:val="pt-BR" w:eastAsia="pt-BR" w:bidi="pt-BR"/>
        </w:rPr>
        <w:t xml:space="preserve">Prefeita </w:t>
      </w:r>
      <w:r>
        <w:rPr>
          <w:color w:val="000000"/>
          <w:spacing w:val="0"/>
          <w:w w:val="100"/>
          <w:position w:val="0"/>
          <w:shd w:val="clear" w:color="auto" w:fill="auto"/>
          <w:lang w:val="pt-PT" w:eastAsia="pt-PT" w:bidi="pt-PT"/>
        </w:rPr>
        <w:t>Municipal He Maués</w:t>
      </w:r>
    </w:p>
    <w:p>
      <w:pPr>
        <w:pStyle w:val="Style8"/>
        <w:keepNext w:val="0"/>
        <w:keepLines w:val="0"/>
        <w:widowControl w:val="0"/>
        <w:shd w:val="clear" w:color="auto" w:fill="auto"/>
        <w:bidi w:val="0"/>
        <w:spacing w:before="0" w:after="440" w:line="312" w:lineRule="auto"/>
        <w:ind w:left="0" w:right="0" w:firstLine="0"/>
        <w:jc w:val="center"/>
        <w:sectPr>
          <w:headerReference w:type="default" r:id="rId31"/>
          <w:footerReference w:type="default" r:id="rId32"/>
          <w:footnotePr>
            <w:pos w:val="pageBottom"/>
            <w:numFmt w:val="decimal"/>
            <w:numRestart w:val="continuous"/>
          </w:footnotePr>
          <w:type w:val="continuous"/>
          <w:pgSz w:w="11900" w:h="16840"/>
          <w:pgMar w:top="2727" w:left="1234" w:right="1162" w:bottom="1661" w:header="0" w:footer="3" w:gutter="0"/>
          <w:cols w:space="720"/>
          <w:noEndnote/>
          <w:rtlGutter w:val="0"/>
          <w:docGrid w:linePitch="360"/>
        </w:sectPr>
      </w:pPr>
      <w:r>
        <w:rPr>
          <w:color w:val="000000"/>
          <w:spacing w:val="0"/>
          <w:w w:val="100"/>
          <w:position w:val="0"/>
          <w:shd w:val="clear" w:color="auto" w:fill="auto"/>
          <w:lang w:val="pt-PT" w:eastAsia="pt-PT" w:bidi="pt-PT"/>
        </w:rPr>
        <w:t>PUBLICADA A PRESENTE LEI NO DIÁRIO OFICIAL DOS MUNICÍPIOS DO ESTADO DO AMAZONAS, de</w:t>
        <w:br/>
        <w:t>acordo com a lei municipal n° 177, de 26/10/2009.</w:t>
      </w:r>
    </w:p>
    <w:p>
      <w:pPr>
        <w:pStyle w:val="Style16"/>
        <w:keepNext w:val="0"/>
        <w:keepLines w:val="0"/>
        <w:widowControl w:val="0"/>
        <w:pBdr>
          <w:bottom w:val="single" w:sz="4" w:space="0" w:color="auto"/>
        </w:pBdr>
        <w:shd w:val="clear" w:color="auto" w:fill="auto"/>
        <w:bidi w:val="0"/>
        <w:spacing w:before="0" w:after="280" w:line="240" w:lineRule="auto"/>
        <w:ind w:left="4200" w:right="0" w:firstLine="0"/>
        <w:jc w:val="left"/>
      </w:pPr>
      <w:r>
        <mc:AlternateContent>
          <mc:Choice Requires="wps">
            <w:drawing>
              <wp:anchor distT="0" distB="0" distL="114300" distR="114300" simplePos="0" relativeHeight="125829389" behindDoc="0" locked="0" layoutInCell="1" allowOverlap="1">
                <wp:simplePos x="0" y="0"/>
                <wp:positionH relativeFrom="page">
                  <wp:posOffset>142875</wp:posOffset>
                </wp:positionH>
                <wp:positionV relativeFrom="paragraph">
                  <wp:posOffset>12700</wp:posOffset>
                </wp:positionV>
                <wp:extent cx="847090" cy="140335"/>
                <wp:wrapSquare wrapText="bothSides"/>
                <wp:docPr id="53" name="Shape 53"/>
                <a:graphic xmlns:a="http://schemas.openxmlformats.org/drawingml/2006/main">
                  <a:graphicData uri="http://schemas.microsoft.com/office/word/2010/wordprocessingShape">
                    <wps:wsp>
                      <wps:cNvSpPr txBox="1"/>
                      <wps:spPr>
                        <a:xfrm>
                          <a:ext cx="847090" cy="14033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22/07/2025, 16:20</w:t>
                            </w:r>
                          </w:p>
                        </w:txbxContent>
                      </wps:txbx>
                      <wps:bodyPr wrap="none" lIns="0" tIns="0" rIns="0" bIns="0">
                        <a:noAutoFit/>
                      </wps:bodyPr>
                    </wps:wsp>
                  </a:graphicData>
                </a:graphic>
              </wp:anchor>
            </w:drawing>
          </mc:Choice>
          <mc:Fallback>
            <w:pict>
              <v:shape id="_x0000_s1079" type="#_x0000_t202" style="position:absolute;margin-left:11.25pt;margin-top:1.pt;width:66.700000000000003pt;height:11.050000000000001pt;z-index:-125829364;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22/07/2025, 16:20</w:t>
                      </w:r>
                    </w:p>
                  </w:txbxContent>
                </v:textbox>
                <w10:wrap type="square" anchorx="page"/>
              </v:shape>
            </w:pict>
          </mc:Fallback>
        </mc:AlternateContent>
      </w:r>
      <w:r>
        <w:rPr>
          <w:color w:val="000000"/>
          <w:spacing w:val="0"/>
          <w:w w:val="100"/>
          <w:position w:val="0"/>
          <w:shd w:val="clear" w:color="auto" w:fill="auto"/>
          <w:lang w:val="pt-PT" w:eastAsia="pt-PT" w:bidi="pt-PT"/>
        </w:rPr>
        <w:t>Município de Maués</w:t>
      </w:r>
    </w:p>
    <w:p>
      <w:pPr>
        <w:pStyle w:val="Style18"/>
        <w:keepNext w:val="0"/>
        <w:keepLines w:val="0"/>
        <w:widowControl w:val="0"/>
        <w:pBdr>
          <w:bottom w:val="single" w:sz="4" w:space="0" w:color="auto"/>
        </w:pBdr>
        <w:shd w:val="clear" w:color="auto" w:fill="auto"/>
        <w:bidi w:val="0"/>
        <w:spacing w:before="0" w:after="580" w:line="262" w:lineRule="auto"/>
        <w:ind w:left="0" w:right="32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ESTADO DO AMAZONAS</w:t>
        <w:br/>
        <w:t>MUNICÍPIO DE MAUÉS</w:t>
      </w:r>
    </w:p>
    <w:p>
      <w:pPr>
        <w:pStyle w:val="Style21"/>
        <w:keepNext w:val="0"/>
        <w:keepLines w:val="0"/>
        <w:widowControl w:val="0"/>
        <w:shd w:val="clear" w:color="auto" w:fill="auto"/>
        <w:bidi w:val="0"/>
        <w:spacing w:before="0"/>
        <w:ind w:lef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SECRETARIA MUN. DE ADMINISTRAÇÃO E PLANEJAMENTO</w:t>
        <w:br/>
        <w:t>LEI MUNICIPAL N° 478, DE 21 DE JULHO DE 2025.</w:t>
      </w:r>
    </w:p>
    <w:p>
      <w:pPr>
        <w:pStyle w:val="Style18"/>
        <w:keepNext w:val="0"/>
        <w:keepLines w:val="0"/>
        <w:widowControl w:val="0"/>
        <w:shd w:val="clear" w:color="auto" w:fill="auto"/>
        <w:bidi w:val="0"/>
        <w:spacing w:before="0" w:line="240" w:lineRule="auto"/>
        <w:ind w:left="352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DISPÕE SOBRE AS DIRETRIZES PARA A ELABORAÇÃO DA LEI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lang w:val="pt-PT" w:eastAsia="pt-PT" w:bidi="pt-PT"/>
        </w:rPr>
        <w:t>PARA O EXERCÍCIO DE 2026, E DÁ OUTRAS PROVIDÊNCIAS.</w:t>
      </w:r>
    </w:p>
    <w:p>
      <w:pPr>
        <w:pStyle w:val="Style18"/>
        <w:keepNext w:val="0"/>
        <w:keepLines w:val="0"/>
        <w:widowControl w:val="0"/>
        <w:shd w:val="clear" w:color="auto" w:fill="auto"/>
        <w:bidi w:val="0"/>
        <w:spacing w:before="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A </w:t>
      </w:r>
      <w:r>
        <w:rPr>
          <w:rFonts w:ascii="Times New Roman" w:eastAsia="Times New Roman" w:hAnsi="Times New Roman" w:cs="Times New Roman"/>
          <w:b/>
          <w:bCs/>
          <w:color w:val="000000"/>
          <w:spacing w:val="0"/>
          <w:w w:val="100"/>
          <w:position w:val="0"/>
          <w:shd w:val="clear" w:color="auto" w:fill="auto"/>
          <w:lang w:val="pt-BR" w:eastAsia="pt-BR" w:bidi="pt-BR"/>
        </w:rPr>
        <w:t xml:space="preserve">PREFEITA </w:t>
      </w:r>
      <w:r>
        <w:rPr>
          <w:rFonts w:ascii="Times New Roman" w:eastAsia="Times New Roman" w:hAnsi="Times New Roman" w:cs="Times New Roman"/>
          <w:b/>
          <w:bCs/>
          <w:color w:val="000000"/>
          <w:spacing w:val="0"/>
          <w:w w:val="100"/>
          <w:position w:val="0"/>
          <w:shd w:val="clear" w:color="auto" w:fill="auto"/>
          <w:lang w:val="pt-PT" w:eastAsia="pt-PT" w:bidi="pt-PT"/>
        </w:rPr>
        <w:t>MUNICIPAL DE MAUÉS</w:t>
      </w:r>
      <w:r>
        <w:rPr>
          <w:rFonts w:ascii="Times New Roman" w:eastAsia="Times New Roman" w:hAnsi="Times New Roman" w:cs="Times New Roman"/>
          <w:color w:val="000000"/>
          <w:spacing w:val="0"/>
          <w:w w:val="100"/>
          <w:position w:val="0"/>
          <w:shd w:val="clear" w:color="auto" w:fill="auto"/>
          <w:lang w:val="pt-PT" w:eastAsia="pt-PT" w:bidi="pt-PT"/>
        </w:rPr>
        <w:t>, Estado Amazonas, faz saber a todos os habitantes do Município, que encaminhou para análise e aprovação na Câmara Municipal a seguinte:</w:t>
      </w:r>
    </w:p>
    <w:p>
      <w:pPr>
        <w:pStyle w:val="Style18"/>
        <w:keepNext w:val="0"/>
        <w:keepLines w:val="0"/>
        <w:widowControl w:val="0"/>
        <w:shd w:val="clear" w:color="auto" w:fill="auto"/>
        <w:bidi w:val="0"/>
        <w:spacing w:before="0" w:line="240" w:lineRule="auto"/>
        <w:ind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L E I:</w:t>
      </w:r>
    </w:p>
    <w:p>
      <w:pPr>
        <w:pStyle w:val="Style18"/>
        <w:keepNext w:val="0"/>
        <w:keepLines w:val="0"/>
        <w:widowControl w:val="0"/>
        <w:shd w:val="clear" w:color="auto" w:fill="auto"/>
        <w:bidi w:val="0"/>
        <w:spacing w:before="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Art. 1° </w:t>
      </w:r>
      <w:r>
        <w:rPr>
          <w:rFonts w:ascii="Times New Roman" w:eastAsia="Times New Roman" w:hAnsi="Times New Roman" w:cs="Times New Roman"/>
          <w:color w:val="000000"/>
          <w:spacing w:val="0"/>
          <w:w w:val="100"/>
          <w:position w:val="0"/>
          <w:shd w:val="clear" w:color="auto" w:fill="auto"/>
          <w:lang w:val="pt-PT" w:eastAsia="pt-PT" w:bidi="pt-PT"/>
        </w:rPr>
        <w:t>- O Orçamento do Município de MAUÉS, Estado Amazonas, para o exercício de 2026 será elaborado e executado observando as diretrizes, objetivos, prioridades e metas estabelecidas nesta lei, compreendendo:</w:t>
      </w:r>
    </w:p>
    <w:p>
      <w:pPr>
        <w:pStyle w:val="Style18"/>
        <w:keepNext w:val="0"/>
        <w:keepLines w:val="0"/>
        <w:widowControl w:val="0"/>
        <w:numPr>
          <w:ilvl w:val="0"/>
          <w:numId w:val="11"/>
        </w:numPr>
        <w:shd w:val="clear" w:color="auto" w:fill="auto"/>
        <w:tabs>
          <w:tab w:pos="2528" w:val="left"/>
        </w:tabs>
        <w:bidi w:val="0"/>
        <w:spacing w:before="0" w:after="0" w:line="240" w:lineRule="auto"/>
        <w:ind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as Metas Fiscais;</w:t>
      </w:r>
    </w:p>
    <w:p>
      <w:pPr>
        <w:pStyle w:val="Style18"/>
        <w:keepNext w:val="0"/>
        <w:keepLines w:val="0"/>
        <w:widowControl w:val="0"/>
        <w:numPr>
          <w:ilvl w:val="0"/>
          <w:numId w:val="11"/>
        </w:numPr>
        <w:shd w:val="clear" w:color="auto" w:fill="auto"/>
        <w:tabs>
          <w:tab w:pos="2570" w:val="left"/>
        </w:tabs>
        <w:bidi w:val="0"/>
        <w:spacing w:before="0" w:after="0" w:line="240" w:lineRule="auto"/>
        <w:ind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as Prioridades da Administração Municipal;</w:t>
      </w:r>
    </w:p>
    <w:p>
      <w:pPr>
        <w:pStyle w:val="Style18"/>
        <w:keepNext w:val="0"/>
        <w:keepLines w:val="0"/>
        <w:widowControl w:val="0"/>
        <w:numPr>
          <w:ilvl w:val="0"/>
          <w:numId w:val="11"/>
        </w:numPr>
        <w:shd w:val="clear" w:color="auto" w:fill="auto"/>
        <w:tabs>
          <w:tab w:pos="2633" w:val="left"/>
        </w:tabs>
        <w:bidi w:val="0"/>
        <w:spacing w:before="0" w:after="0" w:line="240" w:lineRule="auto"/>
        <w:ind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a Estrutura dos Orçamentos;</w:t>
      </w:r>
    </w:p>
    <w:p>
      <w:pPr>
        <w:pStyle w:val="Style18"/>
        <w:keepNext w:val="0"/>
        <w:keepLines w:val="0"/>
        <w:widowControl w:val="0"/>
        <w:numPr>
          <w:ilvl w:val="0"/>
          <w:numId w:val="11"/>
        </w:numPr>
        <w:shd w:val="clear" w:color="auto" w:fill="auto"/>
        <w:tabs>
          <w:tab w:pos="2642" w:val="left"/>
        </w:tabs>
        <w:bidi w:val="0"/>
        <w:spacing w:before="0" w:after="0" w:line="240" w:lineRule="auto"/>
        <w:ind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as Diretrizes para a Elaboração do Orçamento do Município;</w:t>
      </w:r>
    </w:p>
    <w:p>
      <w:pPr>
        <w:pStyle w:val="Style18"/>
        <w:keepNext w:val="0"/>
        <w:keepLines w:val="0"/>
        <w:widowControl w:val="0"/>
        <w:numPr>
          <w:ilvl w:val="0"/>
          <w:numId w:val="11"/>
        </w:numPr>
        <w:shd w:val="clear" w:color="auto" w:fill="auto"/>
        <w:tabs>
          <w:tab w:pos="2642" w:val="left"/>
        </w:tabs>
        <w:bidi w:val="0"/>
        <w:spacing w:before="0" w:after="0" w:line="240" w:lineRule="auto"/>
        <w:ind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as Disposições sobre a Dívida Pública Municipal;</w:t>
      </w:r>
    </w:p>
    <w:p>
      <w:pPr>
        <w:pStyle w:val="Style18"/>
        <w:keepNext w:val="0"/>
        <w:keepLines w:val="0"/>
        <w:widowControl w:val="0"/>
        <w:numPr>
          <w:ilvl w:val="0"/>
          <w:numId w:val="11"/>
        </w:numPr>
        <w:shd w:val="clear" w:color="auto" w:fill="auto"/>
        <w:tabs>
          <w:tab w:pos="2638" w:val="left"/>
        </w:tabs>
        <w:bidi w:val="0"/>
        <w:spacing w:before="0" w:after="0" w:line="240" w:lineRule="auto"/>
        <w:ind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as Disposições sobre Despesas com Pessoal;</w:t>
      </w:r>
    </w:p>
    <w:p>
      <w:pPr>
        <w:pStyle w:val="Style18"/>
        <w:keepNext w:val="0"/>
        <w:keepLines w:val="0"/>
        <w:widowControl w:val="0"/>
        <w:numPr>
          <w:ilvl w:val="0"/>
          <w:numId w:val="11"/>
        </w:numPr>
        <w:shd w:val="clear" w:color="auto" w:fill="auto"/>
        <w:tabs>
          <w:tab w:pos="2695" w:val="left"/>
        </w:tabs>
        <w:bidi w:val="0"/>
        <w:spacing w:before="0" w:after="0" w:line="240" w:lineRule="auto"/>
        <w:ind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as Disposições sobre Alterações na Legislação Tributária; e</w:t>
      </w:r>
    </w:p>
    <w:p>
      <w:pPr>
        <w:pStyle w:val="Style18"/>
        <w:keepNext w:val="0"/>
        <w:keepLines w:val="0"/>
        <w:widowControl w:val="0"/>
        <w:numPr>
          <w:ilvl w:val="0"/>
          <w:numId w:val="11"/>
        </w:numPr>
        <w:shd w:val="clear" w:color="auto" w:fill="auto"/>
        <w:tabs>
          <w:tab w:pos="2758" w:val="left"/>
        </w:tabs>
        <w:bidi w:val="0"/>
        <w:spacing w:before="0" w:line="240" w:lineRule="auto"/>
        <w:ind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as Disposições Gerais.</w:t>
      </w:r>
    </w:p>
    <w:p>
      <w:pPr>
        <w:pStyle w:val="Style18"/>
        <w:keepNext w:val="0"/>
        <w:keepLines w:val="0"/>
        <w:widowControl w:val="0"/>
        <w:shd w:val="clear" w:color="auto" w:fill="auto"/>
        <w:bidi w:val="0"/>
        <w:spacing w:before="0" w:line="240" w:lineRule="auto"/>
        <w:ind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1 - DAS METAS FISCAIS</w:t>
      </w:r>
    </w:p>
    <w:p>
      <w:pPr>
        <w:pStyle w:val="Style18"/>
        <w:keepNext w:val="0"/>
        <w:keepLines w:val="0"/>
        <w:widowControl w:val="0"/>
        <w:shd w:val="clear" w:color="auto" w:fill="auto"/>
        <w:bidi w:val="0"/>
        <w:spacing w:before="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Art. 2° </w:t>
      </w:r>
      <w:r>
        <w:rPr>
          <w:rFonts w:ascii="Times New Roman" w:eastAsia="Times New Roman" w:hAnsi="Times New Roman" w:cs="Times New Roman"/>
          <w:color w:val="000000"/>
          <w:spacing w:val="0"/>
          <w:w w:val="100"/>
          <w:position w:val="0"/>
          <w:shd w:val="clear" w:color="auto" w:fill="auto"/>
          <w:lang w:val="pt-PT" w:eastAsia="pt-PT" w:bidi="pt-PT"/>
        </w:rPr>
        <w:t>- Em cumprimento ao estabelecido no artigo 4° da Lei Complementar n° 101, de 4 de maio de 2000, as metas fiscais de receitas, despesas, resultado primário, nominal e montante da dívida pública para o exercício de 2026, estão identificados nos Demonstrativos desta Lei, em conformidade com a Portaria STN n° 1.447, de 14 de junho de 2022.</w:t>
      </w:r>
    </w:p>
    <w:p>
      <w:pPr>
        <w:pStyle w:val="Style18"/>
        <w:keepNext w:val="0"/>
        <w:keepLines w:val="0"/>
        <w:widowControl w:val="0"/>
        <w:shd w:val="clear" w:color="auto" w:fill="auto"/>
        <w:bidi w:val="0"/>
        <w:spacing w:before="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Art. 3° </w:t>
      </w:r>
      <w:r>
        <w:rPr>
          <w:rFonts w:ascii="Times New Roman" w:eastAsia="Times New Roman" w:hAnsi="Times New Roman" w:cs="Times New Roman"/>
          <w:color w:val="000000"/>
          <w:spacing w:val="0"/>
          <w:w w:val="100"/>
          <w:position w:val="0"/>
          <w:shd w:val="clear" w:color="auto" w:fill="auto"/>
          <w:lang w:val="pt-PT" w:eastAsia="pt-PT" w:bidi="pt-PT"/>
        </w:rPr>
        <w:t xml:space="preserve">- A Lei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lang w:val="pt-PT" w:eastAsia="pt-PT" w:bidi="pt-PT"/>
        </w:rPr>
        <w:t>Anual abrangerá as Entidades da Administração Direta, Indireta constituídas pelas Autarquias, Fundações, Fundos, Empresas Públicas e Sociedades de Economia Mista que recebem recursos do Orçamento Fiscal e da Seguridade Social.</w:t>
      </w:r>
    </w:p>
    <w:p>
      <w:pPr>
        <w:pStyle w:val="Style18"/>
        <w:keepNext w:val="0"/>
        <w:keepLines w:val="0"/>
        <w:widowControl w:val="0"/>
        <w:shd w:val="clear" w:color="auto" w:fill="auto"/>
        <w:bidi w:val="0"/>
        <w:spacing w:before="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Art. 4° </w:t>
      </w:r>
      <w:r>
        <w:rPr>
          <w:rFonts w:ascii="Times New Roman" w:eastAsia="Times New Roman" w:hAnsi="Times New Roman" w:cs="Times New Roman"/>
          <w:color w:val="000000"/>
          <w:spacing w:val="0"/>
          <w:w w:val="100"/>
          <w:position w:val="0"/>
          <w:shd w:val="clear" w:color="auto" w:fill="auto"/>
          <w:lang w:val="pt-PT" w:eastAsia="pt-PT" w:bidi="pt-PT"/>
        </w:rPr>
        <w:t xml:space="preserve">- O Anexo de Riscos Fiscais, § 3° do art. 4° da LRF, obedece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determinações do MANUAL DE DEMONSTRATIVOS FISCAIS DA Portaria STN n° 1.447, de 14 de junho de 2022.</w:t>
      </w:r>
    </w:p>
    <w:p>
      <w:pPr>
        <w:pStyle w:val="Style18"/>
        <w:keepNext w:val="0"/>
        <w:keepLines w:val="0"/>
        <w:widowControl w:val="0"/>
        <w:shd w:val="clear" w:color="auto" w:fill="auto"/>
        <w:bidi w:val="0"/>
        <w:spacing w:before="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Art. 5° </w:t>
      </w:r>
      <w:r>
        <w:rPr>
          <w:rFonts w:ascii="Times New Roman" w:eastAsia="Times New Roman" w:hAnsi="Times New Roman" w:cs="Times New Roman"/>
          <w:color w:val="000000"/>
          <w:spacing w:val="0"/>
          <w:w w:val="100"/>
          <w:position w:val="0"/>
          <w:shd w:val="clear" w:color="auto" w:fill="auto"/>
          <w:lang w:val="pt-PT" w:eastAsia="pt-PT" w:bidi="pt-PT"/>
        </w:rPr>
        <w:t>- Os Anexos de Riscos Fiscais e Metas Fiscais desta Lei, constituem-se dos seguintes:</w:t>
      </w:r>
    </w:p>
    <w:p>
      <w:pPr>
        <w:pStyle w:val="Style18"/>
        <w:keepNext w:val="0"/>
        <w:keepLines w:val="0"/>
        <w:widowControl w:val="0"/>
        <w:shd w:val="clear" w:color="auto" w:fill="auto"/>
        <w:bidi w:val="0"/>
        <w:spacing w:before="0" w:after="0" w:line="240" w:lineRule="auto"/>
        <w:ind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01.00.00 PARTE I </w:t>
      </w:r>
      <w:r>
        <w:rPr>
          <w:rFonts w:ascii="Times New Roman" w:eastAsia="Times New Roman" w:hAnsi="Times New Roman" w:cs="Times New Roman"/>
          <w:color w:val="000000"/>
          <w:spacing w:val="0"/>
          <w:w w:val="100"/>
          <w:position w:val="0"/>
          <w:shd w:val="clear" w:color="auto" w:fill="auto"/>
          <w:lang w:val="pt-PT" w:eastAsia="pt-PT" w:bidi="pt-PT"/>
        </w:rPr>
        <w:t>ANEXO DE RISCOS FISCAIS.</w:t>
      </w:r>
    </w:p>
    <w:p>
      <w:pPr>
        <w:pStyle w:val="Style18"/>
        <w:keepNext w:val="0"/>
        <w:keepLines w:val="0"/>
        <w:widowControl w:val="0"/>
        <w:shd w:val="clear" w:color="auto" w:fill="auto"/>
        <w:bidi w:val="0"/>
        <w:spacing w:before="0" w:after="0" w:line="240" w:lineRule="auto"/>
        <w:ind w:firstLine="0"/>
        <w:jc w:val="both"/>
      </w:pPr>
      <w:r>
        <w:rPr>
          <w:rFonts w:ascii="Times New Roman" w:eastAsia="Times New Roman" w:hAnsi="Times New Roman" w:cs="Times New Roman"/>
          <w:color w:val="000000"/>
          <w:spacing w:val="0"/>
          <w:w w:val="100"/>
          <w:position w:val="0"/>
          <w:shd w:val="clear" w:color="auto" w:fill="auto"/>
          <w:lang w:val="pt-PT" w:eastAsia="pt-PT" w:bidi="pt-PT"/>
        </w:rPr>
        <w:t>01.01.00 DEMONSTRATIVO DE RISCOS FISCAIS E PROVIDÊNCIAS.</w:t>
      </w:r>
    </w:p>
    <w:p>
      <w:pPr>
        <w:pStyle w:val="Style18"/>
        <w:keepNext w:val="0"/>
        <w:keepLines w:val="0"/>
        <w:widowControl w:val="0"/>
        <w:shd w:val="clear" w:color="auto" w:fill="auto"/>
        <w:bidi w:val="0"/>
        <w:spacing w:before="0" w:after="0" w:line="240" w:lineRule="auto"/>
        <w:ind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02.00.00 PARTE II </w:t>
      </w:r>
      <w:r>
        <w:rPr>
          <w:rFonts w:ascii="Times New Roman" w:eastAsia="Times New Roman" w:hAnsi="Times New Roman" w:cs="Times New Roman"/>
          <w:color w:val="000000"/>
          <w:spacing w:val="0"/>
          <w:w w:val="100"/>
          <w:position w:val="0"/>
          <w:shd w:val="clear" w:color="auto" w:fill="auto"/>
          <w:lang w:val="pt-PT" w:eastAsia="pt-PT" w:bidi="pt-PT"/>
        </w:rPr>
        <w:t>ANEXO DE METASFISCAIS</w:t>
      </w:r>
    </w:p>
    <w:p>
      <w:pPr>
        <w:pStyle w:val="Style18"/>
        <w:keepNext w:val="0"/>
        <w:keepLines w:val="0"/>
        <w:widowControl w:val="0"/>
        <w:shd w:val="clear" w:color="auto" w:fill="auto"/>
        <w:bidi w:val="0"/>
        <w:spacing w:before="0" w:after="0" w:line="240" w:lineRule="auto"/>
        <w:ind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02.01.00 DEMONSTRATIVO 1 - METAS ANUAIS.</w:t>
      </w:r>
    </w:p>
    <w:p>
      <w:pPr>
        <w:pStyle w:val="Style18"/>
        <w:keepNext w:val="0"/>
        <w:keepLines w:val="0"/>
        <w:widowControl w:val="0"/>
        <w:shd w:val="clear" w:color="auto" w:fill="auto"/>
        <w:tabs>
          <w:tab w:pos="5502" w:val="left"/>
        </w:tabs>
        <w:bidi w:val="0"/>
        <w:spacing w:before="0" w:after="0" w:line="240" w:lineRule="auto"/>
        <w:ind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02.02.00 DEMONSTRATIVO 2</w:t>
        <w:tab/>
      </w:r>
      <w:r>
        <w:rPr>
          <w:rFonts w:ascii="Times New Roman" w:eastAsia="Times New Roman" w:hAnsi="Times New Roman" w:cs="Times New Roman"/>
          <w:color w:val="000000"/>
          <w:spacing w:val="0"/>
          <w:w w:val="100"/>
          <w:position w:val="0"/>
          <w:shd w:val="clear" w:color="auto" w:fill="auto"/>
          <w:lang w:val="pt-PT" w:eastAsia="pt-PT" w:bidi="pt-PT"/>
        </w:rPr>
        <w:t>- AVALIAÇÃO DO</w:t>
      </w:r>
    </w:p>
    <w:p>
      <w:pPr>
        <w:pStyle w:val="Style18"/>
        <w:keepNext w:val="0"/>
        <w:keepLines w:val="0"/>
        <w:widowControl w:val="0"/>
        <w:shd w:val="clear" w:color="auto" w:fill="auto"/>
        <w:bidi w:val="0"/>
        <w:spacing w:before="0" w:after="0" w:line="240" w:lineRule="auto"/>
        <w:ind w:firstLine="0"/>
        <w:jc w:val="both"/>
      </w:pPr>
      <w:r>
        <w:rPr>
          <w:rFonts w:ascii="Times New Roman" w:eastAsia="Times New Roman" w:hAnsi="Times New Roman" w:cs="Times New Roman"/>
          <w:color w:val="000000"/>
          <w:spacing w:val="0"/>
          <w:w w:val="100"/>
          <w:position w:val="0"/>
          <w:shd w:val="clear" w:color="auto" w:fill="auto"/>
          <w:lang w:val="pt-PT" w:eastAsia="pt-PT" w:bidi="pt-PT"/>
        </w:rPr>
        <w:t>CUMPRIMENTO DAS METAS FISCAIS DO EXERCÍCIO ANTERIOR.</w:t>
      </w:r>
    </w:p>
    <w:p>
      <w:pPr>
        <w:pStyle w:val="Style18"/>
        <w:keepNext w:val="0"/>
        <w:keepLines w:val="0"/>
        <w:widowControl w:val="0"/>
        <w:shd w:val="clear" w:color="auto" w:fill="auto"/>
        <w:bidi w:val="0"/>
        <w:spacing w:before="0" w:after="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02.03.00 DEMONSTRATIVO 3 </w:t>
      </w:r>
      <w:r>
        <w:rPr>
          <w:rFonts w:ascii="Times New Roman" w:eastAsia="Times New Roman" w:hAnsi="Times New Roman" w:cs="Times New Roman"/>
          <w:color w:val="000000"/>
          <w:spacing w:val="0"/>
          <w:w w:val="100"/>
          <w:position w:val="0"/>
          <w:shd w:val="clear" w:color="auto" w:fill="auto"/>
          <w:lang w:val="pt-PT" w:eastAsia="pt-PT" w:bidi="pt-PT"/>
        </w:rPr>
        <w:t>- METAS FISCAIS ATUAIS COMPARADAS COM AS FIXADAS NOS TRÊS EXERCÍCIOS ANTERIORES.</w:t>
      </w:r>
    </w:p>
    <w:p>
      <w:pPr>
        <w:pStyle w:val="Style18"/>
        <w:keepNext w:val="0"/>
        <w:keepLines w:val="0"/>
        <w:widowControl w:val="0"/>
        <w:shd w:val="clear" w:color="auto" w:fill="auto"/>
        <w:bidi w:val="0"/>
        <w:spacing w:before="0" w:after="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02.04.00 DEMONSTRATIVO 4 </w:t>
      </w:r>
      <w:r>
        <w:rPr>
          <w:rFonts w:ascii="Times New Roman" w:eastAsia="Times New Roman" w:hAnsi="Times New Roman" w:cs="Times New Roman"/>
          <w:color w:val="000000"/>
          <w:spacing w:val="0"/>
          <w:w w:val="100"/>
          <w:position w:val="0"/>
          <w:shd w:val="clear" w:color="auto" w:fill="auto"/>
          <w:lang w:val="pt-PT" w:eastAsia="pt-PT" w:bidi="pt-PT"/>
        </w:rPr>
        <w:t xml:space="preserve">- EVOLUÇÃO DO </w:t>
      </w:r>
      <w:r>
        <w:rPr>
          <w:rFonts w:ascii="Times New Roman" w:eastAsia="Times New Roman" w:hAnsi="Times New Roman" w:cs="Times New Roman"/>
          <w:color w:val="000000"/>
          <w:spacing w:val="0"/>
          <w:w w:val="100"/>
          <w:position w:val="0"/>
          <w:shd w:val="clear" w:color="auto" w:fill="auto"/>
          <w:lang w:val="pt-BR" w:eastAsia="pt-BR" w:bidi="pt-BR"/>
        </w:rPr>
        <w:t xml:space="preserve">PATRIMÔNIO </w:t>
      </w:r>
      <w:r>
        <w:rPr>
          <w:rFonts w:ascii="Times New Roman" w:eastAsia="Times New Roman" w:hAnsi="Times New Roman" w:cs="Times New Roman"/>
          <w:color w:val="000000"/>
          <w:spacing w:val="0"/>
          <w:w w:val="100"/>
          <w:position w:val="0"/>
          <w:shd w:val="clear" w:color="auto" w:fill="auto"/>
          <w:lang w:val="pt-PT" w:eastAsia="pt-PT" w:bidi="pt-PT"/>
        </w:rPr>
        <w:t>LÍQUIDO.</w:t>
      </w:r>
    </w:p>
    <w:p>
      <w:pPr>
        <w:pStyle w:val="Style18"/>
        <w:keepNext w:val="0"/>
        <w:keepLines w:val="0"/>
        <w:widowControl w:val="0"/>
        <w:shd w:val="clear" w:color="auto" w:fill="auto"/>
        <w:bidi w:val="0"/>
        <w:spacing w:before="0" w:after="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02.05.00 DEMONSTRATIVO 5 </w:t>
      </w:r>
      <w:r>
        <w:rPr>
          <w:rFonts w:ascii="Times New Roman" w:eastAsia="Times New Roman" w:hAnsi="Times New Roman" w:cs="Times New Roman"/>
          <w:color w:val="000000"/>
          <w:spacing w:val="0"/>
          <w:w w:val="100"/>
          <w:position w:val="0"/>
          <w:shd w:val="clear" w:color="auto" w:fill="auto"/>
          <w:lang w:val="pt-PT" w:eastAsia="pt-PT" w:bidi="pt-PT"/>
        </w:rPr>
        <w:t>- ORIGEM E APLICAÇÃO DOS RECURSOS OBTIDOS COM A ALIENAÇÃO DE ATIVOS.</w:t>
      </w:r>
    </w:p>
    <w:p>
      <w:pPr>
        <w:pStyle w:val="Style18"/>
        <w:keepNext w:val="0"/>
        <w:keepLines w:val="0"/>
        <w:widowControl w:val="0"/>
        <w:shd w:val="clear" w:color="auto" w:fill="auto"/>
        <w:bidi w:val="0"/>
        <w:spacing w:before="0" w:line="240" w:lineRule="auto"/>
        <w:ind w:left="0" w:right="32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 xml:space="preserve">02.06.00 DEMONSTRATIVO 6 </w:t>
      </w:r>
      <w:r>
        <w:rPr>
          <w:rFonts w:ascii="Times New Roman" w:eastAsia="Times New Roman" w:hAnsi="Times New Roman" w:cs="Times New Roman"/>
          <w:color w:val="000000"/>
          <w:spacing w:val="0"/>
          <w:w w:val="100"/>
          <w:position w:val="0"/>
          <w:shd w:val="clear" w:color="auto" w:fill="auto"/>
          <w:lang w:val="pt-PT" w:eastAsia="pt-PT" w:bidi="pt-PT"/>
        </w:rPr>
        <w:t>- AVALIAÇÃO DA SITUAÇÃO</w:t>
        <w:br/>
        <w:t>FINANCEIRA E ATUARIAL DO REGIME PRÓPRIO DE</w:t>
      </w:r>
      <w:r>
        <w:br w:type="page"/>
      </w:r>
    </w:p>
    <w:p>
      <w:pPr>
        <w:pStyle w:val="Style16"/>
        <w:keepNext w:val="0"/>
        <w:keepLines w:val="0"/>
        <w:widowControl w:val="0"/>
        <w:shd w:val="clear" w:color="auto" w:fill="auto"/>
        <w:bidi w:val="0"/>
        <w:spacing w:before="0" w:after="80" w:line="240" w:lineRule="auto"/>
        <w:ind w:left="4200" w:right="0" w:firstLine="0"/>
        <w:jc w:val="left"/>
      </w:pPr>
      <w:r>
        <mc:AlternateContent>
          <mc:Choice Requires="wps">
            <w:drawing>
              <wp:anchor distT="0" distB="0" distL="114300" distR="114300" simplePos="0" relativeHeight="125829391" behindDoc="0" locked="0" layoutInCell="1" allowOverlap="1">
                <wp:simplePos x="0" y="0"/>
                <wp:positionH relativeFrom="page">
                  <wp:posOffset>142875</wp:posOffset>
                </wp:positionH>
                <wp:positionV relativeFrom="paragraph">
                  <wp:posOffset>12700</wp:posOffset>
                </wp:positionV>
                <wp:extent cx="847090" cy="140335"/>
                <wp:wrapSquare wrapText="bothSides"/>
                <wp:docPr id="55" name="Shape 55"/>
                <a:graphic xmlns:a="http://schemas.openxmlformats.org/drawingml/2006/main">
                  <a:graphicData uri="http://schemas.microsoft.com/office/word/2010/wordprocessingShape">
                    <wps:wsp>
                      <wps:cNvSpPr txBox="1"/>
                      <wps:spPr>
                        <a:xfrm>
                          <a:ext cx="847090" cy="14033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22/07/2025, 16:20</w:t>
                            </w:r>
                          </w:p>
                        </w:txbxContent>
                      </wps:txbx>
                      <wps:bodyPr wrap="none" lIns="0" tIns="0" rIns="0" bIns="0">
                        <a:noAutoFit/>
                      </wps:bodyPr>
                    </wps:wsp>
                  </a:graphicData>
                </a:graphic>
              </wp:anchor>
            </w:drawing>
          </mc:Choice>
          <mc:Fallback>
            <w:pict>
              <v:shape id="_x0000_s1081" type="#_x0000_t202" style="position:absolute;margin-left:11.25pt;margin-top:1.pt;width:66.700000000000003pt;height:11.050000000000001pt;z-index:-125829362;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22/07/2025, 16:20</w:t>
                      </w:r>
                    </w:p>
                  </w:txbxContent>
                </v:textbox>
                <w10:wrap type="square" anchorx="page"/>
              </v:shape>
            </w:pict>
          </mc:Fallback>
        </mc:AlternateContent>
      </w:r>
      <w:r>
        <w:rPr>
          <w:color w:val="000000"/>
          <w:spacing w:val="0"/>
          <w:w w:val="100"/>
          <w:position w:val="0"/>
          <w:shd w:val="clear" w:color="auto" w:fill="auto"/>
          <w:lang w:val="pt-PT" w:eastAsia="pt-PT" w:bidi="pt-PT"/>
        </w:rPr>
        <w:t>Município de Maués</w:t>
      </w:r>
    </w:p>
    <w:p>
      <w:pPr>
        <w:pStyle w:val="Style18"/>
        <w:keepNext w:val="0"/>
        <w:keepLines w:val="0"/>
        <w:widowControl w:val="0"/>
        <w:shd w:val="clear" w:color="auto" w:fill="auto"/>
        <w:bidi w:val="0"/>
        <w:spacing w:before="0" w:after="0" w:line="240" w:lineRule="auto"/>
        <w:ind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PREVIDÊNCIA DOS SERVIDORES.</w:t>
      </w:r>
    </w:p>
    <w:p>
      <w:pPr>
        <w:pStyle w:val="Style18"/>
        <w:keepNext w:val="0"/>
        <w:keepLines w:val="0"/>
        <w:widowControl w:val="0"/>
        <w:shd w:val="clear" w:color="auto" w:fill="auto"/>
        <w:tabs>
          <w:tab w:pos="5574" w:val="left"/>
        </w:tabs>
        <w:bidi w:val="0"/>
        <w:spacing w:before="0" w:after="0" w:line="240" w:lineRule="auto"/>
        <w:ind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02.07.00 DEMONSTRATIVO 7</w:t>
        <w:tab/>
      </w:r>
      <w:r>
        <w:rPr>
          <w:rFonts w:ascii="Times New Roman" w:eastAsia="Times New Roman" w:hAnsi="Times New Roman" w:cs="Times New Roman"/>
          <w:color w:val="000000"/>
          <w:spacing w:val="0"/>
          <w:w w:val="100"/>
          <w:position w:val="0"/>
          <w:shd w:val="clear" w:color="auto" w:fill="auto"/>
          <w:lang w:val="pt-PT" w:eastAsia="pt-PT" w:bidi="pt-PT"/>
        </w:rPr>
        <w:t>- ESTIMATIVA E</w:t>
      </w:r>
    </w:p>
    <w:p>
      <w:pPr>
        <w:pStyle w:val="Style18"/>
        <w:keepNext w:val="0"/>
        <w:keepLines w:val="0"/>
        <w:widowControl w:val="0"/>
        <w:shd w:val="clear" w:color="auto" w:fill="auto"/>
        <w:bidi w:val="0"/>
        <w:spacing w:before="0" w:after="0" w:line="240" w:lineRule="auto"/>
        <w:ind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COMPENSAÇÃO DA RENÚNCIA DE RECEITA.</w:t>
      </w:r>
    </w:p>
    <w:p>
      <w:pPr>
        <w:pStyle w:val="Style18"/>
        <w:keepNext w:val="0"/>
        <w:keepLines w:val="0"/>
        <w:widowControl w:val="0"/>
        <w:shd w:val="clear" w:color="auto" w:fill="auto"/>
        <w:bidi w:val="0"/>
        <w:spacing w:before="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02.08.00 DEMONSTRATIVO 8 </w:t>
      </w:r>
      <w:r>
        <w:rPr>
          <w:rFonts w:ascii="Times New Roman" w:eastAsia="Times New Roman" w:hAnsi="Times New Roman" w:cs="Times New Roman"/>
          <w:color w:val="000000"/>
          <w:spacing w:val="0"/>
          <w:w w:val="100"/>
          <w:position w:val="0"/>
          <w:shd w:val="clear" w:color="auto" w:fill="auto"/>
          <w:lang w:val="pt-PT" w:eastAsia="pt-PT" w:bidi="pt-PT"/>
        </w:rPr>
        <w:t>- MARGEM DE EXPANSÃO DAS DESPESAS OBRIGATÓRIAS DE CARÁTER CONTINUADO.</w:t>
      </w:r>
    </w:p>
    <w:p>
      <w:pPr>
        <w:pStyle w:val="Style18"/>
        <w:keepNext w:val="0"/>
        <w:keepLines w:val="0"/>
        <w:widowControl w:val="0"/>
        <w:shd w:val="clear" w:color="auto" w:fill="auto"/>
        <w:bidi w:val="0"/>
        <w:spacing w:before="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Parágrafo Único </w:t>
      </w:r>
      <w:r>
        <w:rPr>
          <w:rFonts w:ascii="Times New Roman" w:eastAsia="Times New Roman" w:hAnsi="Times New Roman" w:cs="Times New Roman"/>
          <w:color w:val="000000"/>
          <w:spacing w:val="0"/>
          <w:w w:val="100"/>
          <w:position w:val="0"/>
          <w:shd w:val="clear" w:color="auto" w:fill="auto"/>
          <w:lang w:val="pt-PT" w:eastAsia="pt-PT" w:bidi="pt-PT"/>
        </w:rPr>
        <w:t>- Os Demonstrativos referidos neste artigo, serão apurados em cada Unidade Gestora e a sua consolidação constituirá nas Metas Fiscais do Município.</w:t>
      </w:r>
    </w:p>
    <w:p>
      <w:pPr>
        <w:pStyle w:val="Style18"/>
        <w:keepNext w:val="0"/>
        <w:keepLines w:val="0"/>
        <w:widowControl w:val="0"/>
        <w:shd w:val="clear" w:color="auto" w:fill="auto"/>
        <w:bidi w:val="0"/>
        <w:spacing w:before="0" w:line="240" w:lineRule="auto"/>
        <w:ind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RISCOS FISCAIS E PROVIDÊNCIAS</w:t>
      </w:r>
    </w:p>
    <w:p>
      <w:pPr>
        <w:pStyle w:val="Style18"/>
        <w:keepNext w:val="0"/>
        <w:keepLines w:val="0"/>
        <w:widowControl w:val="0"/>
        <w:shd w:val="clear" w:color="auto" w:fill="auto"/>
        <w:bidi w:val="0"/>
        <w:spacing w:before="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Art. 6° </w:t>
      </w:r>
      <w:r>
        <w:rPr>
          <w:rFonts w:ascii="Times New Roman" w:eastAsia="Times New Roman" w:hAnsi="Times New Roman" w:cs="Times New Roman"/>
          <w:color w:val="000000"/>
          <w:spacing w:val="0"/>
          <w:w w:val="100"/>
          <w:position w:val="0"/>
          <w:shd w:val="clear" w:color="auto" w:fill="auto"/>
          <w:lang w:val="pt-PT" w:eastAsia="pt-PT" w:bidi="pt-PT"/>
        </w:rPr>
        <w:t xml:space="preserve">- Em cumprimento ao § 3° do Art. 4° da LRF a Lei de Diretrizes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Orçamentárias </w:t>
      </w:r>
      <w:r>
        <w:rPr>
          <w:rFonts w:ascii="Times New Roman" w:eastAsia="Times New Roman" w:hAnsi="Times New Roman" w:cs="Times New Roman"/>
          <w:color w:val="000000"/>
          <w:spacing w:val="0"/>
          <w:w w:val="100"/>
          <w:position w:val="0"/>
          <w:shd w:val="clear" w:color="auto" w:fill="auto"/>
          <w:lang w:val="pt-PT" w:eastAsia="pt-PT" w:bidi="pt-PT"/>
        </w:rPr>
        <w:t>- LDO 2026, deverá conter o Anexo de Riscos Fiscais e Providências.</w:t>
      </w:r>
    </w:p>
    <w:p>
      <w:pPr>
        <w:pStyle w:val="Style18"/>
        <w:keepNext w:val="0"/>
        <w:keepLines w:val="0"/>
        <w:widowControl w:val="0"/>
        <w:shd w:val="clear" w:color="auto" w:fill="auto"/>
        <w:bidi w:val="0"/>
        <w:spacing w:before="0" w:line="240" w:lineRule="auto"/>
        <w:ind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METAS ANUAIS</w:t>
      </w:r>
    </w:p>
    <w:p>
      <w:pPr>
        <w:pStyle w:val="Style18"/>
        <w:keepNext w:val="0"/>
        <w:keepLines w:val="0"/>
        <w:widowControl w:val="0"/>
        <w:shd w:val="clear" w:color="auto" w:fill="auto"/>
        <w:bidi w:val="0"/>
        <w:spacing w:before="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Art. 7° </w:t>
      </w:r>
      <w:r>
        <w:rPr>
          <w:rFonts w:ascii="Times New Roman" w:eastAsia="Times New Roman" w:hAnsi="Times New Roman" w:cs="Times New Roman"/>
          <w:color w:val="000000"/>
          <w:spacing w:val="0"/>
          <w:w w:val="100"/>
          <w:position w:val="0"/>
          <w:shd w:val="clear" w:color="auto" w:fill="auto"/>
          <w:lang w:val="pt-PT" w:eastAsia="pt-PT" w:bidi="pt-PT"/>
        </w:rPr>
        <w:t>- Em cumprimento ao§ 1°, do art. 4°, da Lei de Complementar n° 101/2000, o Demonstrativo 1- Metas Anuais, será elaborado em valores Correntes e Constantes, relativos à Receitas, Despesas, Resultado Primário e Nominal e Montante da Dívida Pública, para o Exercício de Referência 2026 e para os dois seguintes.</w:t>
      </w:r>
    </w:p>
    <w:p>
      <w:pPr>
        <w:pStyle w:val="Style18"/>
        <w:keepNext w:val="0"/>
        <w:keepLines w:val="0"/>
        <w:widowControl w:val="0"/>
        <w:shd w:val="clear" w:color="auto" w:fill="auto"/>
        <w:bidi w:val="0"/>
        <w:spacing w:before="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§1° </w:t>
      </w:r>
      <w:r>
        <w:rPr>
          <w:rFonts w:ascii="Times New Roman" w:eastAsia="Times New Roman" w:hAnsi="Times New Roman" w:cs="Times New Roman"/>
          <w:color w:val="000000"/>
          <w:spacing w:val="0"/>
          <w:w w:val="100"/>
          <w:position w:val="0"/>
          <w:shd w:val="clear" w:color="auto" w:fill="auto"/>
          <w:lang w:val="pt-PT" w:eastAsia="pt-PT" w:bidi="pt-PT"/>
        </w:rPr>
        <w:t>- Os valores correntes dos exercícios de 2026, 2027 e 2028 deverão levar em conta a previsão de aumento ou redução das despesas de caráter continuado, resultantes da concessão de aumento salarial, incremento de programas ou atividades incentivadas, inclusão ou eliminação de programas, projetos ou atividades. Os valores constantes, utilizam o parâmetro do Índice Oficial de Inflação Anual, dentre os sugeridos pela Portaria STN n° 1.447, de 14 de junho de 2022.</w:t>
      </w:r>
    </w:p>
    <w:p>
      <w:pPr>
        <w:pStyle w:val="Style18"/>
        <w:keepNext w:val="0"/>
        <w:keepLines w:val="0"/>
        <w:widowControl w:val="0"/>
        <w:shd w:val="clear" w:color="auto" w:fill="auto"/>
        <w:bidi w:val="0"/>
        <w:spacing w:before="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§2° </w:t>
      </w:r>
      <w:r>
        <w:rPr>
          <w:rFonts w:ascii="Times New Roman" w:eastAsia="Times New Roman" w:hAnsi="Times New Roman" w:cs="Times New Roman"/>
          <w:color w:val="000000"/>
          <w:spacing w:val="0"/>
          <w:w w:val="100"/>
          <w:position w:val="0"/>
          <w:shd w:val="clear" w:color="auto" w:fill="auto"/>
          <w:lang w:val="pt-PT" w:eastAsia="pt-PT" w:bidi="pt-PT"/>
        </w:rPr>
        <w:t xml:space="preserve">- Os valores da coluna "% </w:t>
      </w:r>
      <w:r>
        <w:rPr>
          <w:rFonts w:ascii="Times New Roman" w:eastAsia="Times New Roman" w:hAnsi="Times New Roman" w:cs="Times New Roman"/>
          <w:color w:val="000000"/>
          <w:spacing w:val="0"/>
          <w:w w:val="100"/>
          <w:position w:val="0"/>
          <w:shd w:val="clear" w:color="auto" w:fill="auto"/>
          <w:lang w:val="pt-BR" w:eastAsia="pt-BR" w:bidi="pt-BR"/>
        </w:rPr>
        <w:t xml:space="preserve">PIB", </w:t>
      </w:r>
      <w:r>
        <w:rPr>
          <w:rFonts w:ascii="Times New Roman" w:eastAsia="Times New Roman" w:hAnsi="Times New Roman" w:cs="Times New Roman"/>
          <w:color w:val="000000"/>
          <w:spacing w:val="0"/>
          <w:w w:val="100"/>
          <w:position w:val="0"/>
          <w:shd w:val="clear" w:color="auto" w:fill="auto"/>
          <w:lang w:val="pt-PT" w:eastAsia="pt-PT" w:bidi="pt-PT"/>
        </w:rPr>
        <w:t>são calculados mediante a aplicação do cálculo dos valores correntes, divididos pelo PIB Estadual, multiplicados por 100.</w:t>
      </w:r>
    </w:p>
    <w:p>
      <w:pPr>
        <w:pStyle w:val="Style18"/>
        <w:keepNext w:val="0"/>
        <w:keepLines w:val="0"/>
        <w:widowControl w:val="0"/>
        <w:shd w:val="clear" w:color="auto" w:fill="auto"/>
        <w:bidi w:val="0"/>
        <w:spacing w:before="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§3° </w:t>
      </w:r>
      <w:r>
        <w:rPr>
          <w:rFonts w:ascii="Times New Roman" w:eastAsia="Times New Roman" w:hAnsi="Times New Roman" w:cs="Times New Roman"/>
          <w:color w:val="000000"/>
          <w:spacing w:val="0"/>
          <w:w w:val="100"/>
          <w:position w:val="0"/>
          <w:shd w:val="clear" w:color="auto" w:fill="auto"/>
          <w:lang w:val="pt-PT" w:eastAsia="pt-PT" w:bidi="pt-PT"/>
        </w:rPr>
        <w:t>- Em cumprimento ao estabelecido na Portaria STN n° 1.447, de 14 de junho de 2022, as METAS ANUAIS DA LDO 2026 contam com o cálculo do percentual em relação à Receita Corrente Líquida do respectivo Estado da Federação.</w:t>
      </w:r>
    </w:p>
    <w:p>
      <w:pPr>
        <w:pStyle w:val="Style18"/>
        <w:keepNext w:val="0"/>
        <w:keepLines w:val="0"/>
        <w:widowControl w:val="0"/>
        <w:shd w:val="clear" w:color="auto" w:fill="auto"/>
        <w:bidi w:val="0"/>
        <w:spacing w:before="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AVALIAÇÃO DO CUMPRIMENTO DAS METAS FISCAIS DO EXERCÍCIO ANTERIOR</w:t>
      </w:r>
    </w:p>
    <w:p>
      <w:pPr>
        <w:pStyle w:val="Style18"/>
        <w:keepNext w:val="0"/>
        <w:keepLines w:val="0"/>
        <w:widowControl w:val="0"/>
        <w:shd w:val="clear" w:color="auto" w:fill="auto"/>
        <w:bidi w:val="0"/>
        <w:spacing w:before="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Art. 8° </w:t>
      </w:r>
      <w:r>
        <w:rPr>
          <w:rFonts w:ascii="Times New Roman" w:eastAsia="Times New Roman" w:hAnsi="Times New Roman" w:cs="Times New Roman"/>
          <w:color w:val="000000"/>
          <w:spacing w:val="0"/>
          <w:w w:val="100"/>
          <w:position w:val="0"/>
          <w:shd w:val="clear" w:color="auto" w:fill="auto"/>
          <w:lang w:val="pt-PT" w:eastAsia="pt-PT" w:bidi="pt-PT"/>
        </w:rPr>
        <w:t>- Atendendo ao disposto no § 2°, inciso I, do Art. 4° da LRF, o Demonstrativo 2 - Avaliação do Cumprimento das Metas Fiscais do Exercício Anterior, tem como finalidade estabelecer um comparativo entre as metas fixadas e o resultado obtido no exercício orçamentário anterior, de Receitas, Despesas, Resultado Primário e Nominal, Dívida Pública Consolidada e Dívida Consolidada Líquida, incluindo análise dos fatores determinantes do alcance ou não dos valores estabelecidos como metas.</w:t>
      </w:r>
    </w:p>
    <w:p>
      <w:pPr>
        <w:pStyle w:val="Style18"/>
        <w:keepNext w:val="0"/>
        <w:keepLines w:val="0"/>
        <w:widowControl w:val="0"/>
        <w:shd w:val="clear" w:color="auto" w:fill="auto"/>
        <w:bidi w:val="0"/>
        <w:spacing w:before="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Parágrafo único </w:t>
      </w:r>
      <w:r>
        <w:rPr>
          <w:rFonts w:ascii="Times New Roman" w:eastAsia="Times New Roman" w:hAnsi="Times New Roman" w:cs="Times New Roman"/>
          <w:color w:val="000000"/>
          <w:spacing w:val="0"/>
          <w:w w:val="100"/>
          <w:position w:val="0"/>
          <w:shd w:val="clear" w:color="auto" w:fill="auto"/>
          <w:lang w:val="pt-PT" w:eastAsia="pt-PT" w:bidi="pt-PT"/>
        </w:rPr>
        <w:t>- Em cumprimento ao estabelecido na Portaria STN n° 1.447, de 14 de junho de 2022, as METAS FISCAIS DO EXERCÍCIO ANTERIOR da LDO 2026, passam a conter o cálculo do percentual em relação à Receita Corrente Líquida do respectivo ente da Federação.</w:t>
      </w:r>
    </w:p>
    <w:p>
      <w:pPr>
        <w:pStyle w:val="Style18"/>
        <w:keepNext w:val="0"/>
        <w:keepLines w:val="0"/>
        <w:widowControl w:val="0"/>
        <w:shd w:val="clear" w:color="auto" w:fill="auto"/>
        <w:bidi w:val="0"/>
        <w:spacing w:before="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METAS FISCAIS ATUAIS COMPARADAS COM AS FIXADAS NOS TRÊS EXERCÍCIOS ANTERIORES</w:t>
      </w:r>
    </w:p>
    <w:p>
      <w:pPr>
        <w:pStyle w:val="Style18"/>
        <w:keepNext w:val="0"/>
        <w:keepLines w:val="0"/>
        <w:widowControl w:val="0"/>
        <w:shd w:val="clear" w:color="auto" w:fill="auto"/>
        <w:bidi w:val="0"/>
        <w:spacing w:before="0" w:line="240"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Art.9° </w:t>
      </w:r>
      <w:r>
        <w:rPr>
          <w:rFonts w:ascii="Times New Roman" w:eastAsia="Times New Roman" w:hAnsi="Times New Roman" w:cs="Times New Roman"/>
          <w:color w:val="000000"/>
          <w:spacing w:val="0"/>
          <w:w w:val="100"/>
          <w:position w:val="0"/>
          <w:shd w:val="clear" w:color="auto" w:fill="auto"/>
          <w:lang w:val="pt-PT" w:eastAsia="pt-PT" w:bidi="pt-PT"/>
        </w:rPr>
        <w:t xml:space="preserve">- De acordo com o§ 2°, item II, do Art. 4° da LRF, o Demonstrativo 3 - Metas Fiscais Atuais Comparadas com as Fixadas nos Três Exercícios Anteriores, de Receitas, Despesas, Resultado Primário e Nominal, Dívida Pública Consolidada e Dívida Consolidada Líquida, deverão estar instruídos com memória e metodologia de cálculo que justifiquem os resultados pretendidos, comparando-as com as fixadas nos três exercícios anteriores e evidenciando a consistência delas com as premissas e os objetivos da Política </w:t>
      </w:r>
      <w:r>
        <w:rPr>
          <w:rFonts w:ascii="Times New Roman" w:eastAsia="Times New Roman" w:hAnsi="Times New Roman" w:cs="Times New Roman"/>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color w:val="000000"/>
          <w:spacing w:val="0"/>
          <w:w w:val="100"/>
          <w:position w:val="0"/>
          <w:shd w:val="clear" w:color="auto" w:fill="auto"/>
          <w:lang w:val="pt-PT" w:eastAsia="pt-PT" w:bidi="pt-PT"/>
        </w:rPr>
        <w:t>Nacional.</w:t>
      </w:r>
      <w:r>
        <w:br w:type="page"/>
      </w:r>
    </w:p>
    <w:tbl>
      <w:tblPr>
        <w:tblOverlap w:val="never"/>
        <w:jc w:val="left"/>
        <w:tblLayout w:type="fixed"/>
      </w:tblPr>
      <w:tblGrid>
        <w:gridCol w:w="2102"/>
        <w:gridCol w:w="5966"/>
      </w:tblGrid>
      <w:tr>
        <w:trPr>
          <w:trHeight w:val="23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22/07/2025, 16:20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360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 xml:space="preserve">Município de </w:t>
            </w:r>
            <w:r>
              <w:rPr>
                <w:rFonts w:ascii="Arial" w:eastAsia="Arial" w:hAnsi="Arial" w:cs="Arial"/>
                <w:color w:val="000000"/>
                <w:spacing w:val="0"/>
                <w:w w:val="100"/>
                <w:position w:val="0"/>
                <w:sz w:val="16"/>
                <w:szCs w:val="16"/>
                <w:shd w:val="clear" w:color="auto" w:fill="auto"/>
                <w:lang w:val="pt-PT" w:eastAsia="pt-PT" w:bidi="pt-PT"/>
              </w:rPr>
              <w:t>Maués</w:t>
            </w:r>
          </w:p>
        </w:tc>
      </w:tr>
      <w:tr>
        <w:trPr>
          <w:trHeight w:val="15178"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Parágrafo Único </w:t>
            </w:r>
            <w:r>
              <w:rPr>
                <w:rFonts w:ascii="Times New Roman" w:eastAsia="Times New Roman" w:hAnsi="Times New Roman" w:cs="Times New Roman"/>
                <w:color w:val="000000"/>
                <w:spacing w:val="0"/>
                <w:w w:val="100"/>
                <w:position w:val="0"/>
                <w:shd w:val="clear" w:color="auto" w:fill="auto"/>
                <w:lang w:val="pt-BR" w:eastAsia="pt-BR" w:bidi="pt-BR"/>
              </w:rPr>
              <w:t>- Objetivando maior consistência e subsídio às análises, os valores devem ser demonstrados em valores correntes e constantes, utilizando-se os mesmos índices já comentados no Demonstrativo 1.</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EVOLUÇÃO DO PATRIMÔNIO LÍQUIDO</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10 </w:t>
            </w:r>
            <w:r>
              <w:rPr>
                <w:rFonts w:ascii="Times New Roman" w:eastAsia="Times New Roman" w:hAnsi="Times New Roman" w:cs="Times New Roman"/>
                <w:color w:val="000000"/>
                <w:spacing w:val="0"/>
                <w:w w:val="100"/>
                <w:position w:val="0"/>
                <w:shd w:val="clear" w:color="auto" w:fill="auto"/>
                <w:lang w:val="pt-BR" w:eastAsia="pt-BR" w:bidi="pt-BR"/>
              </w:rPr>
              <w:t>- Em obediência ao § 2°, inciso III, do Art. 4° da LRF, o Demonstrativo 4 - Evolução do Patrimônio Líquido, deve traduzir as variações do Patrimônio de cada Ente do Município e sua Consolidação.</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Parágrafo Único </w:t>
            </w:r>
            <w:r>
              <w:rPr>
                <w:rFonts w:ascii="Times New Roman" w:eastAsia="Times New Roman" w:hAnsi="Times New Roman" w:cs="Times New Roman"/>
                <w:color w:val="000000"/>
                <w:spacing w:val="0"/>
                <w:w w:val="100"/>
                <w:position w:val="0"/>
                <w:shd w:val="clear" w:color="auto" w:fill="auto"/>
                <w:lang w:val="pt-BR" w:eastAsia="pt-BR" w:bidi="pt-BR"/>
              </w:rPr>
              <w:t>- O Demonstrativo apresentará em separado a situação do Patrimônio Líquido do Regime Previdenciário.</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ORIGEM E APLICAÇÃO DOS RECURSOS OBTIDOS COM A ALIENAÇÃO DE ATIVOS</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11 </w:t>
            </w:r>
            <w:r>
              <w:rPr>
                <w:rFonts w:ascii="Times New Roman" w:eastAsia="Times New Roman" w:hAnsi="Times New Roman" w:cs="Times New Roman"/>
                <w:color w:val="000000"/>
                <w:spacing w:val="0"/>
                <w:w w:val="100"/>
                <w:position w:val="0"/>
                <w:shd w:val="clear" w:color="auto" w:fill="auto"/>
                <w:lang w:val="pt-BR" w:eastAsia="pt-BR" w:bidi="pt-BR"/>
              </w:rPr>
              <w:t>- O §2°, inciso III, do Art. 4° da LRF, que trata da Evolução do Patrimônio Líquido, estabelece também, que os recursos obtidos com a alienação de ativos que integram o referido patrimônio, devem ser reaplicados em despesas de capital, salvo se destinada por lei aos regimes de previdência social, geral ou próprio dos servidores públicos. O Demonstrativo 5 - Origem e Aplicação dos Recursos Obtidos com a Alienação de Ativos, deve estabelecer de onde foram obtidos os recursos e onde foram aplicados.</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Parágrafo Único </w:t>
            </w:r>
            <w:r>
              <w:rPr>
                <w:rFonts w:ascii="Times New Roman" w:eastAsia="Times New Roman" w:hAnsi="Times New Roman" w:cs="Times New Roman"/>
                <w:color w:val="000000"/>
                <w:spacing w:val="0"/>
                <w:w w:val="100"/>
                <w:position w:val="0"/>
                <w:shd w:val="clear" w:color="auto" w:fill="auto"/>
                <w:lang w:val="pt-BR" w:eastAsia="pt-BR" w:bidi="pt-BR"/>
              </w:rPr>
              <w:t>- O Demonstrativo apresentará em separado a situação do Patrimônio Líquido do Regime Previdenciário.</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AVALIAÇÃO DA SITUAÇÃO FINANCEIRA E ATUARIAL DO REGIME PRÓPRIO DA PREVIDÊNCIA DOS SERVIDORES PÚBLICOS</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12 </w:t>
            </w:r>
            <w:r>
              <w:rPr>
                <w:rFonts w:ascii="Times New Roman" w:eastAsia="Times New Roman" w:hAnsi="Times New Roman" w:cs="Times New Roman"/>
                <w:color w:val="000000"/>
                <w:spacing w:val="0"/>
                <w:w w:val="100"/>
                <w:position w:val="0"/>
                <w:shd w:val="clear" w:color="auto" w:fill="auto"/>
                <w:lang w:val="pt-BR" w:eastAsia="pt-BR" w:bidi="pt-BR"/>
              </w:rPr>
              <w:t>- Em razão do que está estabelecido no §2°, inciso IV, alínea "a", do Art. 4°, da LRF, o Anexo de Metas Fiscais integrante da Lei de Diretrizes Orçamentárias - LDO, deverá conter a avaliação da situação financeira e atuarial do regime próprio dos servidores municipais, nos três últimos exercícios. O Demonstrativo 6 - Avaliação da Situação Financeira e Atuarial do Regime Próprio de Previdência dos Servidores Públicos, seguindo o modelo da Portaria STN n° 1.447, de 14 de junho de 2022, estabelece um comparativo de Receitas e Despesas Previdenciárias, terminando por apurar o Resultado Previdenciário e a Disponibilidade Financeira do RPPS.</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ESTIMATIVA E COMPENSAÇÃO DA RENÚNCIA DE RECEITA</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13 </w:t>
            </w:r>
            <w:r>
              <w:rPr>
                <w:rFonts w:ascii="Times New Roman" w:eastAsia="Times New Roman" w:hAnsi="Times New Roman" w:cs="Times New Roman"/>
                <w:color w:val="000000"/>
                <w:spacing w:val="0"/>
                <w:w w:val="100"/>
                <w:position w:val="0"/>
                <w:shd w:val="clear" w:color="auto" w:fill="auto"/>
                <w:lang w:val="pt-BR" w:eastAsia="pt-BR" w:bidi="pt-BR"/>
              </w:rPr>
              <w:t>- Conforme estabelecido no §2°, inciso V, do Art. 4°, da LRF, o Anexo de Metas Fiscais deverá conter um demonstrativo que indique a natureza da renúncia fiscal e sua compensação, de maneira a propiciar o equilíbrio das contas públicas.</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§1° </w:t>
            </w:r>
            <w:r>
              <w:rPr>
                <w:rFonts w:ascii="Times New Roman" w:eastAsia="Times New Roman" w:hAnsi="Times New Roman" w:cs="Times New Roman"/>
                <w:color w:val="000000"/>
                <w:spacing w:val="0"/>
                <w:w w:val="100"/>
                <w:position w:val="0"/>
                <w:shd w:val="clear" w:color="auto" w:fill="auto"/>
                <w:lang w:val="pt-BR" w:eastAsia="pt-BR" w:bidi="pt-BR"/>
              </w:rPr>
              <w:t>- A renúncia compreende incentivos fiscais, anistia, remissão, subsídio, crédito presumido, etc.</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§2° </w:t>
            </w:r>
            <w:r>
              <w:rPr>
                <w:rFonts w:ascii="Times New Roman" w:eastAsia="Times New Roman" w:hAnsi="Times New Roman" w:cs="Times New Roman"/>
                <w:color w:val="000000"/>
                <w:spacing w:val="0"/>
                <w:w w:val="100"/>
                <w:position w:val="0"/>
                <w:shd w:val="clear" w:color="auto" w:fill="auto"/>
                <w:lang w:val="pt-BR" w:eastAsia="pt-BR" w:bidi="pt-BR"/>
              </w:rPr>
              <w:t>- A compensação será acompanhada de medidas provenientes do aumento da receita, elevação de alíquotas, ampliação da base de cálculo, majoração ou criação de tributo ou contribuição.</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MARGEM DE EXPANSÃO DAS DESPESAS OBRIGATÓRIAS DE CARÁTER CONTINUADO.</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14 </w:t>
            </w:r>
            <w:r>
              <w:rPr>
                <w:rFonts w:ascii="Times New Roman" w:eastAsia="Times New Roman" w:hAnsi="Times New Roman" w:cs="Times New Roman"/>
                <w:color w:val="000000"/>
                <w:spacing w:val="0"/>
                <w:w w:val="100"/>
                <w:position w:val="0"/>
                <w:shd w:val="clear" w:color="auto" w:fill="auto"/>
                <w:lang w:val="pt-BR" w:eastAsia="pt-BR" w:bidi="pt-BR"/>
              </w:rPr>
              <w:t>- O Art. 17, da LRF, considera obrigatória de caráter continuado a despesa corrente derivada de lei, medida provisória ou ato administrativo normativo que fixem para o ente obrigação legal de sua execução por um período superior a dois exercícios.</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Parágrafo Único </w:t>
            </w:r>
            <w:r>
              <w:rPr>
                <w:rFonts w:ascii="Times New Roman" w:eastAsia="Times New Roman" w:hAnsi="Times New Roman" w:cs="Times New Roman"/>
                <w:color w:val="000000"/>
                <w:spacing w:val="0"/>
                <w:w w:val="100"/>
                <w:position w:val="0"/>
                <w:shd w:val="clear" w:color="auto" w:fill="auto"/>
                <w:lang w:val="pt-BR" w:eastAsia="pt-BR" w:bidi="pt-BR"/>
              </w:rPr>
              <w:t>- O Demonstrativo 8 - Margem de Expansão das Despesas de Caráter Continuado, destina-se a permitir possível inclusão de eventuais programas, projetos ou atividades que venham caracterizar a criação de despesas de caráter continuado.</w:t>
            </w:r>
          </w:p>
        </w:tc>
      </w:tr>
    </w:tbl>
    <w:p>
      <w:pPr>
        <w:sectPr>
          <w:headerReference w:type="default" r:id="rId33"/>
          <w:footerReference w:type="default" r:id="rId34"/>
          <w:footnotePr>
            <w:pos w:val="pageBottom"/>
            <w:numFmt w:val="decimal"/>
            <w:numRestart w:val="continuous"/>
          </w:footnotePr>
          <w:pgSz w:w="11900" w:h="16840"/>
          <w:pgMar w:top="260" w:left="853" w:right="1619" w:bottom="526" w:header="0" w:footer="3" w:gutter="0"/>
          <w:pgNumType w:start="1"/>
          <w:cols w:space="720"/>
          <w:noEndnote/>
          <w:rtlGutter w:val="0"/>
          <w:docGrid w:linePitch="360"/>
        </w:sectPr>
      </w:pPr>
    </w:p>
    <w:tbl>
      <w:tblPr>
        <w:tblOverlap w:val="never"/>
        <w:jc w:val="center"/>
        <w:tblLayout w:type="fixed"/>
      </w:tblPr>
      <w:tblGrid>
        <w:gridCol w:w="2102"/>
        <w:gridCol w:w="5966"/>
      </w:tblGrid>
      <w:tr>
        <w:trPr>
          <w:trHeight w:val="23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22/07/2025, 16:20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360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 xml:space="preserve">Município de </w:t>
            </w:r>
            <w:r>
              <w:rPr>
                <w:rFonts w:ascii="Arial" w:eastAsia="Arial" w:hAnsi="Arial" w:cs="Arial"/>
                <w:color w:val="000000"/>
                <w:spacing w:val="0"/>
                <w:w w:val="100"/>
                <w:position w:val="0"/>
                <w:sz w:val="16"/>
                <w:szCs w:val="16"/>
                <w:shd w:val="clear" w:color="auto" w:fill="auto"/>
                <w:lang w:val="pt-PT" w:eastAsia="pt-PT" w:bidi="pt-PT"/>
              </w:rPr>
              <w:t>Maués</w:t>
            </w:r>
          </w:p>
        </w:tc>
      </w:tr>
      <w:tr>
        <w:trPr>
          <w:trHeight w:val="15389"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MEMÓRIA E METODOLOGIA DE CÁLCULO DAS METAS ANUAIS DE RECEITAS, DESPESAS, RESULTADO PRIMÁRIO, RESULTADO NOMINAL E MONTANTE DA DÍVIDA PÚBLICA.</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METODOLOGIA E MEMÓRIA DE CÁLCULO DAS METAS ANUAIS DAS RECEITAS E DESPESAS.</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15 </w:t>
            </w:r>
            <w:r>
              <w:rPr>
                <w:rFonts w:ascii="Times New Roman" w:eastAsia="Times New Roman" w:hAnsi="Times New Roman" w:cs="Times New Roman"/>
                <w:color w:val="000000"/>
                <w:spacing w:val="0"/>
                <w:w w:val="100"/>
                <w:position w:val="0"/>
                <w:shd w:val="clear" w:color="auto" w:fill="auto"/>
                <w:lang w:val="pt-BR" w:eastAsia="pt-BR" w:bidi="pt-BR"/>
              </w:rPr>
              <w:t>- O §2°, inciso II, do Art. 4°, da LRF</w:t>
            </w:r>
            <w:r>
              <w:rPr>
                <w:rFonts w:ascii="Times New Roman" w:eastAsia="Times New Roman" w:hAnsi="Times New Roman" w:cs="Times New Roman"/>
                <w:b/>
                <w:bCs/>
                <w:color w:val="000000"/>
                <w:spacing w:val="0"/>
                <w:w w:val="100"/>
                <w:position w:val="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lang w:val="pt-BR" w:eastAsia="pt-BR" w:bidi="pt-BR"/>
              </w:rPr>
              <w:t>determina que o demonstrativo de Metas Anuais seja instruído com memória e metodologia de cálculo que justifiquem os resultados pretendidos, comparando-as com as fixadas nos três exercícios anteriores, e evidenciando a consistência delas com as premissas e os objetivos da política econômica nacional.</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Parágrafo Único </w:t>
            </w:r>
            <w:r>
              <w:rPr>
                <w:rFonts w:ascii="Times New Roman" w:eastAsia="Times New Roman" w:hAnsi="Times New Roman" w:cs="Times New Roman"/>
                <w:color w:val="000000"/>
                <w:spacing w:val="0"/>
                <w:w w:val="100"/>
                <w:position w:val="0"/>
                <w:shd w:val="clear" w:color="auto" w:fill="auto"/>
                <w:lang w:val="pt-BR" w:eastAsia="pt-BR" w:bidi="pt-BR"/>
              </w:rPr>
              <w:t>- De conformidade com a Portaria STN n° 1.447, de 14 de junho de 2022, a base de dados da receita e da despesa constitui- se dos valores arrecadados na receita realizada e na despesa executada nos três exercícios anteriores e das previsões para 2026, 2027 e 2028.</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METODOLOGIA E MEMÓRIA DE CÁLCULO DAS METAS ANUAIS DOS RESULTADOS PRIMÁRIO E NOMINAL.</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16 </w:t>
            </w:r>
            <w:r>
              <w:rPr>
                <w:rFonts w:ascii="Times New Roman" w:eastAsia="Times New Roman" w:hAnsi="Times New Roman" w:cs="Times New Roman"/>
                <w:color w:val="000000"/>
                <w:spacing w:val="0"/>
                <w:w w:val="100"/>
                <w:position w:val="0"/>
                <w:shd w:val="clear" w:color="auto" w:fill="auto"/>
                <w:lang w:val="pt-BR" w:eastAsia="pt-BR" w:bidi="pt-BR"/>
              </w:rPr>
              <w:t>- A finalidade do conceito de Resultado Primário é indicar se os níveis de gastos orçamentários, são compatíveis com sua arrecadação, ou seja, se as receitas não -financeiras são capazes de suportar as despesas não-financeiras.</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17 </w:t>
            </w:r>
            <w:r>
              <w:rPr>
                <w:rFonts w:ascii="Times New Roman" w:eastAsia="Times New Roman" w:hAnsi="Times New Roman" w:cs="Times New Roman"/>
                <w:color w:val="000000"/>
                <w:spacing w:val="0"/>
                <w:w w:val="100"/>
                <w:position w:val="0"/>
                <w:shd w:val="clear" w:color="auto" w:fill="auto"/>
                <w:lang w:val="pt-BR" w:eastAsia="pt-BR" w:bidi="pt-BR"/>
              </w:rPr>
              <w:t>- O cálculo do Resultado Nominal, deverá obedecer a metodologia determinada pelo Governo Federal, com regulamentação pela STN.</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§1° </w:t>
            </w:r>
            <w:r>
              <w:rPr>
                <w:rFonts w:ascii="Times New Roman" w:eastAsia="Times New Roman" w:hAnsi="Times New Roman" w:cs="Times New Roman"/>
                <w:color w:val="000000"/>
                <w:spacing w:val="0"/>
                <w:w w:val="100"/>
                <w:position w:val="0"/>
                <w:shd w:val="clear" w:color="auto" w:fill="auto"/>
                <w:lang w:val="pt-BR" w:eastAsia="pt-BR" w:bidi="pt-BR"/>
              </w:rPr>
              <w:t>- O cálculo da Meta de Resultado Primário deverá obedecer à metodologia estabelecida pelo Governo Federal, através das Portarias expedidas pela STN - Secretaria do Tesouro Nacional e às normas da contabilidade pública.</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§2° </w:t>
            </w:r>
            <w:r>
              <w:rPr>
                <w:rFonts w:ascii="Times New Roman" w:eastAsia="Times New Roman" w:hAnsi="Times New Roman" w:cs="Times New Roman"/>
                <w:color w:val="000000"/>
                <w:spacing w:val="0"/>
                <w:w w:val="100"/>
                <w:position w:val="0"/>
                <w:shd w:val="clear" w:color="auto" w:fill="auto"/>
                <w:lang w:val="pt-BR" w:eastAsia="pt-BR" w:bidi="pt-BR"/>
              </w:rPr>
              <w:t xml:space="preserve">- O cálculo das Metas Anuais do Resultado Nominal, deverá levar em conta a Dívida Consolidada, da qual deverá ser deduzido o Ativo Disponível, mais </w:t>
            </w:r>
            <w:r>
              <w:rPr>
                <w:rFonts w:ascii="Times New Roman" w:eastAsia="Times New Roman" w:hAnsi="Times New Roman" w:cs="Times New Roman"/>
                <w:color w:val="000000"/>
                <w:spacing w:val="0"/>
                <w:w w:val="100"/>
                <w:position w:val="0"/>
                <w:shd w:val="clear" w:color="auto" w:fill="auto"/>
                <w:lang w:val="pt-PT" w:eastAsia="pt-PT" w:bidi="pt-PT"/>
              </w:rPr>
              <w:t xml:space="preserve">Haveres </w:t>
            </w:r>
            <w:r>
              <w:rPr>
                <w:rFonts w:ascii="Times New Roman" w:eastAsia="Times New Roman" w:hAnsi="Times New Roman" w:cs="Times New Roman"/>
                <w:color w:val="000000"/>
                <w:spacing w:val="0"/>
                <w:w w:val="100"/>
                <w:position w:val="0"/>
                <w:shd w:val="clear" w:color="auto" w:fill="auto"/>
                <w:lang w:val="pt-BR" w:eastAsia="pt-BR" w:bidi="pt-BR"/>
              </w:rPr>
              <w:t>Financeiros menos Restos a Pagar Processados, que resultará na Dívida Consolidada Líquida, que somada às Receitas de Privatizações e deduzidos os Passivos Reconhecidos, resultará na Dívida Fiscal Líquida.</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§3° </w:t>
            </w:r>
            <w:r>
              <w:rPr>
                <w:rFonts w:ascii="Times New Roman" w:eastAsia="Times New Roman" w:hAnsi="Times New Roman" w:cs="Times New Roman"/>
                <w:color w:val="000000"/>
                <w:spacing w:val="0"/>
                <w:w w:val="100"/>
                <w:position w:val="0"/>
                <w:shd w:val="clear" w:color="auto" w:fill="auto"/>
                <w:lang w:val="pt-BR" w:eastAsia="pt-BR" w:bidi="pt-BR"/>
              </w:rPr>
              <w:t>- A unificação dos Demonstrativos de Resultados Primário e Nominal, obedeceram às determinações da Portaria STN N° 495/2017 e o modelo de relatório da Portaria STN n° 286, de 7 de maio de 2019.</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METODOLOGIA E MEMÓRIA DE CÁLCULO DAS METAS ANUAIS DO MONTANTE DA DÍVIDA PÚBLICA.</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18 </w:t>
            </w:r>
            <w:r>
              <w:rPr>
                <w:rFonts w:ascii="Times New Roman" w:eastAsia="Times New Roman" w:hAnsi="Times New Roman" w:cs="Times New Roman"/>
                <w:color w:val="000000"/>
                <w:spacing w:val="0"/>
                <w:w w:val="100"/>
                <w:position w:val="0"/>
                <w:shd w:val="clear" w:color="auto" w:fill="auto"/>
                <w:lang w:val="pt-BR" w:eastAsia="pt-BR" w:bidi="pt-BR"/>
              </w:rPr>
              <w:t>- Dívida Pública é o montante das obrigações assumidas pelo ente da Federação. Esta é representada pela emissão de títulos, operações de créditos e precatórios judiciais.</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Parágrafo Único </w:t>
            </w:r>
            <w:r>
              <w:rPr>
                <w:rFonts w:ascii="Times New Roman" w:eastAsia="Times New Roman" w:hAnsi="Times New Roman" w:cs="Times New Roman"/>
                <w:color w:val="000000"/>
                <w:spacing w:val="0"/>
                <w:w w:val="100"/>
                <w:position w:val="0"/>
                <w:shd w:val="clear" w:color="auto" w:fill="auto"/>
                <w:lang w:val="pt-BR" w:eastAsia="pt-BR" w:bidi="pt-BR"/>
              </w:rPr>
              <w:t>- Utiliza a base de dados de Balanços e Balancetes para sua elaboração, constituída dos valores apurados nos exercícios anteriores e da projeção dos valores para 2026, 2027 e 2028.</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II - DAS PRIORIDADES DA ADMINISTRAÇÃO MUNICIPAL.</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19 </w:t>
            </w:r>
            <w:r>
              <w:rPr>
                <w:rFonts w:ascii="Times New Roman" w:eastAsia="Times New Roman" w:hAnsi="Times New Roman" w:cs="Times New Roman"/>
                <w:color w:val="000000"/>
                <w:spacing w:val="0"/>
                <w:w w:val="100"/>
                <w:position w:val="0"/>
                <w:shd w:val="clear" w:color="auto" w:fill="auto"/>
                <w:lang w:val="pt-BR" w:eastAsia="pt-BR" w:bidi="pt-BR"/>
              </w:rPr>
              <w:t>- As prioridades e metas da Administração Municipal para o exercício financeiro de 2026, estão definidas e demonstradas no Plano Plurianual de 2026 a 2029, compatíveis com os objetivos e normas estabelecidas nesta lei.</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§1° </w:t>
            </w:r>
            <w:r>
              <w:rPr>
                <w:rFonts w:ascii="Times New Roman" w:eastAsia="Times New Roman" w:hAnsi="Times New Roman" w:cs="Times New Roman"/>
                <w:color w:val="000000"/>
                <w:spacing w:val="0"/>
                <w:w w:val="100"/>
                <w:position w:val="0"/>
                <w:shd w:val="clear" w:color="auto" w:fill="auto"/>
                <w:lang w:val="pt-BR" w:eastAsia="pt-BR" w:bidi="pt-BR"/>
              </w:rPr>
              <w:t>- Os recursos estimados na Lei Orçamentária para 2026 serão destinados, preferencialmente, para as prioridades e metas estabelecidas nos Anexos do Plano Plurianual não se constituindo, todavia, em limite à programação das despesas.</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§2° </w:t>
            </w:r>
            <w:r>
              <w:rPr>
                <w:rFonts w:ascii="Times New Roman" w:eastAsia="Times New Roman" w:hAnsi="Times New Roman" w:cs="Times New Roman"/>
                <w:color w:val="000000"/>
                <w:spacing w:val="0"/>
                <w:w w:val="100"/>
                <w:position w:val="0"/>
                <w:shd w:val="clear" w:color="auto" w:fill="auto"/>
                <w:lang w:val="pt-BR" w:eastAsia="pt-BR" w:bidi="pt-BR"/>
              </w:rPr>
              <w:t>- Na elaboração da proposta orçamentária para 2026, o Poder Executivo poderá aumentar ou diminuir as metas físicas estabelecidas</w:t>
            </w:r>
          </w:p>
        </w:tc>
      </w:tr>
    </w:tbl>
    <w:p>
      <w:pPr>
        <w:spacing w:lineRule="exact" w:line="1"/>
        <w:rPr>
          <w:sz w:val="2"/>
          <w:szCs w:val="2"/>
        </w:rPr>
      </w:pPr>
      <w:r>
        <w:br w:type="page"/>
      </w:r>
    </w:p>
    <w:tbl>
      <w:tblPr>
        <w:tblOverlap w:val="never"/>
        <w:jc w:val="center"/>
        <w:tblLayout w:type="fixed"/>
      </w:tblPr>
      <w:tblGrid>
        <w:gridCol w:w="2107"/>
        <w:gridCol w:w="5962"/>
      </w:tblGrid>
      <w:tr>
        <w:trPr>
          <w:trHeight w:val="23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22/07/2025, 16:20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360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 xml:space="preserve">Município de </w:t>
            </w:r>
            <w:r>
              <w:rPr>
                <w:rFonts w:ascii="Arial" w:eastAsia="Arial" w:hAnsi="Arial" w:cs="Arial"/>
                <w:color w:val="000000"/>
                <w:spacing w:val="0"/>
                <w:w w:val="100"/>
                <w:position w:val="0"/>
                <w:sz w:val="16"/>
                <w:szCs w:val="16"/>
                <w:shd w:val="clear" w:color="auto" w:fill="auto"/>
                <w:lang w:val="pt-PT" w:eastAsia="pt-PT" w:bidi="pt-PT"/>
              </w:rPr>
              <w:t>Maués</w:t>
            </w:r>
          </w:p>
        </w:tc>
      </w:tr>
      <w:tr>
        <w:trPr>
          <w:trHeight w:val="15600"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nesta Lei, a fim de compatibilizar a despesa orçada à receita estimada, de forma a preservar o equilíbrio das contas públicas.</w:t>
            </w:r>
          </w:p>
          <w:p>
            <w:pPr>
              <w:pStyle w:val="Style23"/>
              <w:keepNext w:val="0"/>
              <w:keepLines w:val="0"/>
              <w:widowControl w:val="0"/>
              <w:numPr>
                <w:ilvl w:val="0"/>
                <w:numId w:val="13"/>
              </w:numPr>
              <w:shd w:val="clear" w:color="auto" w:fill="auto"/>
              <w:tabs>
                <w:tab w:pos="1074" w:val="left"/>
              </w:tabs>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DA ESTRUTURA DOS ORÇAMENTOS.</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20 </w:t>
            </w:r>
            <w:r>
              <w:rPr>
                <w:rFonts w:ascii="Times New Roman" w:eastAsia="Times New Roman" w:hAnsi="Times New Roman" w:cs="Times New Roman"/>
                <w:color w:val="000000"/>
                <w:spacing w:val="0"/>
                <w:w w:val="100"/>
                <w:position w:val="0"/>
                <w:shd w:val="clear" w:color="auto" w:fill="auto"/>
                <w:lang w:val="pt-BR" w:eastAsia="pt-BR" w:bidi="pt-BR"/>
              </w:rPr>
              <w:t>- O orçamento para o exercício financeiro de 2026 abrangerá os Poderes Legislativo e Executivo, Fundações, Fundos, Empresas Públicas e Outras, que recebam recursos do Tesouro e da Seguridade Social e será estruturado em conformidade com a Estrutura Organizacional estabelecida em cada Entidade da Administração Municipal.</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21 </w:t>
            </w:r>
            <w:r>
              <w:rPr>
                <w:rFonts w:ascii="Times New Roman" w:eastAsia="Times New Roman" w:hAnsi="Times New Roman" w:cs="Times New Roman"/>
                <w:color w:val="000000"/>
                <w:spacing w:val="0"/>
                <w:w w:val="100"/>
                <w:position w:val="0"/>
                <w:shd w:val="clear" w:color="auto" w:fill="auto"/>
                <w:lang w:val="pt-BR" w:eastAsia="pt-BR" w:bidi="pt-BR"/>
              </w:rPr>
              <w:t>- A Lei Orçamentária para 2026 evidenciará as Receitas e Despesas de cada uma das Unidades Gestoras, especificando aqueles vínculos a Fundos, Autarquias, e aos Orçamentos Fiscais e da Seguridade Social, desdobradas as despesas por função, sub-função, programa, projeto, atividade ou operações especiais e, quanto a sua natureza, por categoria econômica, grupo de natureza de despesa e modalidade de aplicação, tudo em conformidade com as Portarias SOF/STN 42/1999 e 163/2001 e alterações posteriores, as quais deverão conter os Anexos exigidos nas Portarias da Secretaria do Tesouro Nacional - STN.</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22 </w:t>
            </w:r>
            <w:r>
              <w:rPr>
                <w:rFonts w:ascii="Times New Roman" w:eastAsia="Times New Roman" w:hAnsi="Times New Roman" w:cs="Times New Roman"/>
                <w:color w:val="000000"/>
                <w:spacing w:val="0"/>
                <w:w w:val="100"/>
                <w:position w:val="0"/>
                <w:shd w:val="clear" w:color="auto" w:fill="auto"/>
                <w:lang w:val="pt-BR" w:eastAsia="pt-BR" w:bidi="pt-BR"/>
              </w:rPr>
              <w:t>- A Mensagem de Encaminhamento da Proposta Orçamentária de que trata o art. 22, Parágrafo Único, inciso Ida Lei 4.320/1964, conterá todos os Anexos exigidos na legislação vigente.</w:t>
            </w:r>
          </w:p>
          <w:p>
            <w:pPr>
              <w:pStyle w:val="Style23"/>
              <w:keepNext w:val="0"/>
              <w:keepLines w:val="0"/>
              <w:widowControl w:val="0"/>
              <w:numPr>
                <w:ilvl w:val="0"/>
                <w:numId w:val="13"/>
              </w:numPr>
              <w:shd w:val="clear" w:color="auto" w:fill="auto"/>
              <w:tabs>
                <w:tab w:pos="1214" w:val="left"/>
              </w:tabs>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DAS DIRETRIZES PARA A ELABORAÇÃO E EXECUÇÃO DO ORÇAMENTO DO MUNICÍPIO</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23 </w:t>
            </w:r>
            <w:r>
              <w:rPr>
                <w:rFonts w:ascii="Times New Roman" w:eastAsia="Times New Roman" w:hAnsi="Times New Roman" w:cs="Times New Roman"/>
                <w:color w:val="000000"/>
                <w:spacing w:val="0"/>
                <w:w w:val="100"/>
                <w:position w:val="0"/>
                <w:shd w:val="clear" w:color="auto" w:fill="auto"/>
                <w:lang w:val="pt-BR" w:eastAsia="pt-BR" w:bidi="pt-BR"/>
              </w:rPr>
              <w:t>- O Orçamento para exercício de 2026 obedecerá entre outros, ao princípio da transparência e do equilíbrio entre receitas e despesas, abrangendo os Poderes Legislativo e Executivo, Fundações, Fundos, Empresas Públicas e Outras (arts. 1°, §1° 4° I, "a" e 48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24 </w:t>
            </w:r>
            <w:r>
              <w:rPr>
                <w:rFonts w:ascii="Times New Roman" w:eastAsia="Times New Roman" w:hAnsi="Times New Roman" w:cs="Times New Roman"/>
                <w:color w:val="000000"/>
                <w:spacing w:val="0"/>
                <w:w w:val="100"/>
                <w:position w:val="0"/>
                <w:shd w:val="clear" w:color="auto" w:fill="auto"/>
                <w:lang w:val="pt-BR" w:eastAsia="pt-BR" w:bidi="pt-BR"/>
              </w:rPr>
              <w:t>- Os estudos para definição dos Orçamentos da Receita para 2026 deverão observar os efeitos da alteração da legislação tributária, incentivos fiscais autorizados, a inflação do período, o crescimento econômico, a ampliação da base de cálculo dos tributos e a sua evolução nos últimos três exercícios e a projeção para os dois seguintes (art. 12 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Parágrafo Único </w:t>
            </w:r>
            <w:r>
              <w:rPr>
                <w:rFonts w:ascii="Times New Roman" w:eastAsia="Times New Roman" w:hAnsi="Times New Roman" w:cs="Times New Roman"/>
                <w:color w:val="000000"/>
                <w:spacing w:val="0"/>
                <w:w w:val="100"/>
                <w:position w:val="0"/>
                <w:shd w:val="clear" w:color="auto" w:fill="auto"/>
                <w:lang w:val="pt-BR" w:eastAsia="pt-BR" w:bidi="pt-BR"/>
              </w:rPr>
              <w:t>- Até 30 dias antes do prazo para encaminhamento da Proposta Orçamentária ao Poder Legislativo, o Poder Executivo Municipal colocara à disposição da Câmara Municipal e do Ministério Público, os estudos e as estimativas de receitas para exercícios subsequentes e as respectivas memórias de cálculo (art. 12, § 3° 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25 </w:t>
            </w:r>
            <w:r>
              <w:rPr>
                <w:rFonts w:ascii="Times New Roman" w:eastAsia="Times New Roman" w:hAnsi="Times New Roman" w:cs="Times New Roman"/>
                <w:color w:val="000000"/>
                <w:spacing w:val="0"/>
                <w:w w:val="100"/>
                <w:position w:val="0"/>
                <w:shd w:val="clear" w:color="auto" w:fill="auto"/>
                <w:lang w:val="pt-BR" w:eastAsia="pt-BR" w:bidi="pt-BR"/>
              </w:rPr>
              <w:t>- Na execução do orçamento, verificado que o comportamento da receita poderá afetar o cumprimento das metas de resultado primário e nominal, os Poderes Legislativo e Executivo, de forma proporcional as suas dotações e observadas a fonte de recursos, adotarão o mecanismo de limitação de empenhos e movimentação financeira nos montantes necessários, para as dotações abaixo (art. 9° da LRF):</w:t>
            </w:r>
          </w:p>
          <w:p>
            <w:pPr>
              <w:pStyle w:val="Style23"/>
              <w:keepNext w:val="0"/>
              <w:keepLines w:val="0"/>
              <w:widowControl w:val="0"/>
              <w:numPr>
                <w:ilvl w:val="0"/>
                <w:numId w:val="15"/>
              </w:numPr>
              <w:shd w:val="clear" w:color="auto" w:fill="auto"/>
              <w:tabs>
                <w:tab w:pos="1022" w:val="left"/>
              </w:tabs>
              <w:bidi w:val="0"/>
              <w:spacing w:before="0" w:after="0" w:line="240" w:lineRule="auto"/>
              <w:ind w:left="82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projetos ou atividades vinculadas a recursos oriundos de transferências voluntarias;</w:t>
            </w:r>
          </w:p>
          <w:p>
            <w:pPr>
              <w:pStyle w:val="Style23"/>
              <w:keepNext w:val="0"/>
              <w:keepLines w:val="0"/>
              <w:widowControl w:val="0"/>
              <w:numPr>
                <w:ilvl w:val="0"/>
                <w:numId w:val="15"/>
              </w:numPr>
              <w:shd w:val="clear" w:color="auto" w:fill="auto"/>
              <w:tabs>
                <w:tab w:pos="988" w:val="left"/>
              </w:tabs>
              <w:bidi w:val="0"/>
              <w:spacing w:before="0" w:after="0" w:line="240" w:lineRule="auto"/>
              <w:ind w:left="82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obras em geral, desde que ainda não iniciadas;</w:t>
            </w:r>
          </w:p>
          <w:p>
            <w:pPr>
              <w:pStyle w:val="Style23"/>
              <w:keepNext w:val="0"/>
              <w:keepLines w:val="0"/>
              <w:widowControl w:val="0"/>
              <w:numPr>
                <w:ilvl w:val="0"/>
                <w:numId w:val="15"/>
              </w:numPr>
              <w:shd w:val="clear" w:color="auto" w:fill="auto"/>
              <w:tabs>
                <w:tab w:pos="1055" w:val="left"/>
              </w:tabs>
              <w:bidi w:val="0"/>
              <w:spacing w:before="0" w:after="0" w:line="240" w:lineRule="auto"/>
              <w:ind w:left="82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dotação para combustíveis, obras, serviços públicos e agricultura; e</w:t>
            </w:r>
          </w:p>
          <w:p>
            <w:pPr>
              <w:pStyle w:val="Style23"/>
              <w:keepNext w:val="0"/>
              <w:keepLines w:val="0"/>
              <w:widowControl w:val="0"/>
              <w:numPr>
                <w:ilvl w:val="0"/>
                <w:numId w:val="15"/>
              </w:numPr>
              <w:shd w:val="clear" w:color="auto" w:fill="auto"/>
              <w:tabs>
                <w:tab w:pos="1070" w:val="left"/>
              </w:tabs>
              <w:bidi w:val="0"/>
              <w:spacing w:before="0" w:after="200" w:line="240" w:lineRule="auto"/>
              <w:ind w:left="82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dotação para material de consumo e outros serviços de terceiros das diversas atividades.</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Parágrafo Único </w:t>
            </w:r>
            <w:r>
              <w:rPr>
                <w:rFonts w:ascii="Times New Roman" w:eastAsia="Times New Roman" w:hAnsi="Times New Roman" w:cs="Times New Roman"/>
                <w:color w:val="000000"/>
                <w:spacing w:val="0"/>
                <w:w w:val="100"/>
                <w:position w:val="0"/>
                <w:shd w:val="clear" w:color="auto" w:fill="auto"/>
                <w:lang w:val="pt-BR" w:eastAsia="pt-BR" w:bidi="pt-BR"/>
              </w:rPr>
              <w:t>- Na avaliação do cumprimento das metas bimestrais de arrecadação para implementação ou não do mecanismo da limitação de empenho e movimentação financeira, será considerado ainda o resultado financeiro apurado no Balanço Patrimonial do exercício anterior, em cada fonte de recursos.</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26 </w:t>
            </w:r>
            <w:r>
              <w:rPr>
                <w:rFonts w:ascii="Times New Roman" w:eastAsia="Times New Roman" w:hAnsi="Times New Roman" w:cs="Times New Roman"/>
                <w:color w:val="000000"/>
                <w:spacing w:val="0"/>
                <w:w w:val="100"/>
                <w:position w:val="0"/>
                <w:shd w:val="clear" w:color="auto" w:fill="auto"/>
                <w:lang w:val="pt-BR" w:eastAsia="pt-BR" w:bidi="pt-BR"/>
              </w:rPr>
              <w:t>- As Despesas Obrigatórias de Caráter Continuado em relação à Receita Corrente Líquida, programadas para 2025, poderão ser expandidas em até 20%, tomando-se por base as Despesas</w:t>
            </w:r>
          </w:p>
        </w:tc>
      </w:tr>
    </w:tbl>
    <w:p>
      <w:pPr>
        <w:spacing w:lineRule="exact" w:line="1"/>
        <w:rPr>
          <w:sz w:val="2"/>
          <w:szCs w:val="2"/>
        </w:rPr>
      </w:pPr>
      <w:r>
        <w:br w:type="page"/>
      </w:r>
    </w:p>
    <w:tbl>
      <w:tblPr>
        <w:tblOverlap w:val="never"/>
        <w:jc w:val="center"/>
        <w:tblLayout w:type="fixed"/>
      </w:tblPr>
      <w:tblGrid>
        <w:gridCol w:w="2102"/>
        <w:gridCol w:w="5966"/>
      </w:tblGrid>
      <w:tr>
        <w:trPr>
          <w:trHeight w:val="23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22/07/2025, 16:20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360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 xml:space="preserve">Município de </w:t>
            </w:r>
            <w:r>
              <w:rPr>
                <w:rFonts w:ascii="Arial" w:eastAsia="Arial" w:hAnsi="Arial" w:cs="Arial"/>
                <w:color w:val="000000"/>
                <w:spacing w:val="0"/>
                <w:w w:val="100"/>
                <w:position w:val="0"/>
                <w:sz w:val="16"/>
                <w:szCs w:val="16"/>
                <w:shd w:val="clear" w:color="auto" w:fill="auto"/>
                <w:lang w:val="pt-PT" w:eastAsia="pt-PT" w:bidi="pt-PT"/>
              </w:rPr>
              <w:t>Maués</w:t>
            </w:r>
          </w:p>
        </w:tc>
      </w:tr>
      <w:tr>
        <w:trPr>
          <w:trHeight w:val="15600"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Obrigatórias de Caráter Continuado fixadas na Lei Orçamentária Anual para 2026.</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27 </w:t>
            </w:r>
            <w:r>
              <w:rPr>
                <w:rFonts w:ascii="Times New Roman" w:eastAsia="Times New Roman" w:hAnsi="Times New Roman" w:cs="Times New Roman"/>
                <w:color w:val="000000"/>
                <w:spacing w:val="0"/>
                <w:w w:val="100"/>
                <w:position w:val="0"/>
                <w:shd w:val="clear" w:color="auto" w:fill="auto"/>
                <w:lang w:val="pt-BR" w:eastAsia="pt-BR" w:bidi="pt-BR"/>
              </w:rPr>
              <w:t>- Constituem Riscos Fiscais capazes de afetar o equilíbrio das contas públicas do Município, aqueles constantes do Anexo Próprio desta Lei (art. 4°, § 3° 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Parágrafo Único</w:t>
            </w:r>
            <w:r>
              <w:rPr>
                <w:rFonts w:ascii="Times New Roman" w:eastAsia="Times New Roman" w:hAnsi="Times New Roman" w:cs="Times New Roman"/>
                <w:color w:val="000000"/>
                <w:spacing w:val="0"/>
                <w:w w:val="100"/>
                <w:position w:val="0"/>
                <w:shd w:val="clear" w:color="auto" w:fill="auto"/>
                <w:lang w:val="pt-BR" w:eastAsia="pt-BR" w:bidi="pt-BR"/>
              </w:rPr>
              <w:t>: Os riscos fiscais, caso se concretizem, serão atendidos com recursos constantes de Artigo 43 da Lei Federal N° 4.320/1964.</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28 </w:t>
            </w:r>
            <w:r>
              <w:rPr>
                <w:rFonts w:ascii="Times New Roman" w:eastAsia="Times New Roman" w:hAnsi="Times New Roman" w:cs="Times New Roman"/>
                <w:color w:val="000000"/>
                <w:spacing w:val="0"/>
                <w:w w:val="100"/>
                <w:position w:val="0"/>
                <w:shd w:val="clear" w:color="auto" w:fill="auto"/>
                <w:lang w:val="pt-BR" w:eastAsia="pt-BR" w:bidi="pt-BR"/>
              </w:rPr>
              <w:t>- O Orçamento para o exercício de 2026 poderá destinar recursos para a Reserva de Contingência, não inferiores a 3% das Receitas Correntes Líquidas previstas e 10% do total do orçamento de cada entidade para a abertura de Créditos Adicionais Suplementares. (art. 5°, III 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§1° </w:t>
            </w:r>
            <w:r>
              <w:rPr>
                <w:rFonts w:ascii="Times New Roman" w:eastAsia="Times New Roman" w:hAnsi="Times New Roman" w:cs="Times New Roman"/>
                <w:color w:val="000000"/>
                <w:spacing w:val="0"/>
                <w:w w:val="100"/>
                <w:position w:val="0"/>
                <w:shd w:val="clear" w:color="auto" w:fill="auto"/>
                <w:lang w:val="pt-BR" w:eastAsia="pt-BR" w:bidi="pt-BR"/>
              </w:rPr>
              <w:t>- Os recursos da Reserva de Contingência serão destinados ao atendimento de passivos contingentes e outros riscos e eventos fiscais imprevistos, obtenção de resultado primário positivo se for o caso, e também para abertura de Créditos Adicionais Suplementares conforme disposto na Portaria MPO n° 42/1999, art. 5° e Portaria STN n° 163/2001, art. 8° (art. 5° III, "b" 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§2° </w:t>
            </w:r>
            <w:r>
              <w:rPr>
                <w:rFonts w:ascii="Times New Roman" w:eastAsia="Times New Roman" w:hAnsi="Times New Roman" w:cs="Times New Roman"/>
                <w:color w:val="000000"/>
                <w:spacing w:val="0"/>
                <w:w w:val="100"/>
                <w:position w:val="0"/>
                <w:shd w:val="clear" w:color="auto" w:fill="auto"/>
                <w:lang w:val="pt-BR" w:eastAsia="pt-BR" w:bidi="pt-BR"/>
              </w:rPr>
              <w:t>- Os recursos da Reserva de Contingência destinados a riscos fiscais, caso estes não se concretizem até o dia 01 de setembro de 2026, poderão ser utilizados por ato do Chefe do Poder Executivo Municipal para abertura de créditos adicionais suplementares de dotações que se tornaram insuficientes.</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29 </w:t>
            </w:r>
            <w:r>
              <w:rPr>
                <w:rFonts w:ascii="Times New Roman" w:eastAsia="Times New Roman" w:hAnsi="Times New Roman" w:cs="Times New Roman"/>
                <w:color w:val="000000"/>
                <w:spacing w:val="0"/>
                <w:w w:val="100"/>
                <w:position w:val="0"/>
                <w:shd w:val="clear" w:color="auto" w:fill="auto"/>
                <w:lang w:val="pt-BR" w:eastAsia="pt-BR" w:bidi="pt-BR"/>
              </w:rPr>
              <w:t>- Os investimentos com duração superior a 12 meses só constarão da Lei Orçamentária Anual se contemplados no Plano Plurianual (art. 5°, § 5° 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30 </w:t>
            </w:r>
            <w:r>
              <w:rPr>
                <w:rFonts w:ascii="Times New Roman" w:eastAsia="Times New Roman" w:hAnsi="Times New Roman" w:cs="Times New Roman"/>
                <w:color w:val="000000"/>
                <w:spacing w:val="0"/>
                <w:w w:val="100"/>
                <w:position w:val="0"/>
                <w:shd w:val="clear" w:color="auto" w:fill="auto"/>
                <w:lang w:val="pt-BR" w:eastAsia="pt-BR" w:bidi="pt-BR"/>
              </w:rPr>
              <w:t>- O Chefe do Poder Executivo Municipal estabelecerá até 30 dias após a publicação da Lei Orçamentária Anual, a programação financeira das receitas e despesas e o cronograma de execução mensal ou bimestral para as Unidades Gestoras, se for o caso (art. 8° 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31 </w:t>
            </w:r>
            <w:r>
              <w:rPr>
                <w:rFonts w:ascii="Times New Roman" w:eastAsia="Times New Roman" w:hAnsi="Times New Roman" w:cs="Times New Roman"/>
                <w:color w:val="000000"/>
                <w:spacing w:val="0"/>
                <w:w w:val="100"/>
                <w:position w:val="0"/>
                <w:shd w:val="clear" w:color="auto" w:fill="auto"/>
                <w:lang w:val="pt-BR" w:eastAsia="pt-BR" w:bidi="pt-BR"/>
              </w:rPr>
              <w:t>- Os Projetos e Atividades priorizados na Lei Orçamentária para 2026 com dotações vinculadas e fontes de recursos oriundos de transferências voluntárias, operações de crédito, alienação de bens e outras extraordinárias, só serão executados e utilizados a qualquer título, se ocorrer ou estiver garantido o seu ingresso no fluxo de caixa, respeitado ainda o montante ingressado ou garantido (art. 8°, § parágrafo único e 50, Ida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32 </w:t>
            </w:r>
            <w:r>
              <w:rPr>
                <w:rFonts w:ascii="Times New Roman" w:eastAsia="Times New Roman" w:hAnsi="Times New Roman" w:cs="Times New Roman"/>
                <w:color w:val="000000"/>
                <w:spacing w:val="0"/>
                <w:w w:val="100"/>
                <w:position w:val="0"/>
                <w:shd w:val="clear" w:color="auto" w:fill="auto"/>
                <w:lang w:val="pt-BR" w:eastAsia="pt-BR" w:bidi="pt-BR"/>
              </w:rPr>
              <w:t>- A renúncia de receita estimada para o exercício de 2026, constante do Anexo Próprio desta Lei, não será considerada para efeito de cálculo do orçamento da receita (Art. 4°, § 2°, V e art. 14, I 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33 </w:t>
            </w:r>
            <w:r>
              <w:rPr>
                <w:rFonts w:ascii="Times New Roman" w:eastAsia="Times New Roman" w:hAnsi="Times New Roman" w:cs="Times New Roman"/>
                <w:color w:val="000000"/>
                <w:spacing w:val="0"/>
                <w:w w:val="100"/>
                <w:position w:val="0"/>
                <w:shd w:val="clear" w:color="auto" w:fill="auto"/>
                <w:lang w:val="pt-BR" w:eastAsia="pt-BR" w:bidi="pt-BR"/>
              </w:rPr>
              <w:t>- A transferência de recursos do Tesouro Municipal a entidades privadas, beneficiará somente aquelas de caráter educativo, assistencial, recreativo, cultural, esportivo, de cooperação técnica e voltadas para o fortalecimento do associativismo municipal e dependerá de autorização em lei específica (Art. 4°, I, "f e 26 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Parágrafo Único </w:t>
            </w:r>
            <w:r>
              <w:rPr>
                <w:rFonts w:ascii="Times New Roman" w:eastAsia="Times New Roman" w:hAnsi="Times New Roman" w:cs="Times New Roman"/>
                <w:color w:val="000000"/>
                <w:spacing w:val="0"/>
                <w:w w:val="100"/>
                <w:position w:val="0"/>
                <w:shd w:val="clear" w:color="auto" w:fill="auto"/>
                <w:lang w:val="pt-BR" w:eastAsia="pt-BR" w:bidi="pt-BR"/>
              </w:rPr>
              <w:t>- As entidades beneficiadas com recursos do Tesouro Municipal deverão prestar contas no prazo de 30 dias, contados do recebimento do recurso, na forma estabelecida pelo serviço de contabilidade municipal (Art. 70, parágrafo único da Constituição Federal).</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34 </w:t>
            </w:r>
            <w:r>
              <w:rPr>
                <w:rFonts w:ascii="Times New Roman" w:eastAsia="Times New Roman" w:hAnsi="Times New Roman" w:cs="Times New Roman"/>
                <w:color w:val="000000"/>
                <w:spacing w:val="0"/>
                <w:w w:val="100"/>
                <w:position w:val="0"/>
                <w:shd w:val="clear" w:color="auto" w:fill="auto"/>
                <w:lang w:val="pt-BR" w:eastAsia="pt-BR" w:bidi="pt-BR"/>
              </w:rPr>
              <w:t>- Os procedimentos administrativos de estimativa do impacto orçamentário-financeiro e declaração do ordenador da despesa de que trata o art. 16, itens I e II da LRF deverão ser inseridos no processo que abriga os autos da licitação ou sua dispensa/inexigibilidade.</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Parágrafo Único </w:t>
            </w:r>
            <w:r>
              <w:rPr>
                <w:rFonts w:ascii="Times New Roman" w:eastAsia="Times New Roman" w:hAnsi="Times New Roman" w:cs="Times New Roman"/>
                <w:color w:val="000000"/>
                <w:spacing w:val="0"/>
                <w:w w:val="100"/>
                <w:position w:val="0"/>
                <w:shd w:val="clear" w:color="auto" w:fill="auto"/>
                <w:lang w:val="pt-BR" w:eastAsia="pt-BR" w:bidi="pt-BR"/>
              </w:rPr>
              <w:t>- Para efeito do disposto no art. 16, § 3° da LRF, são consideradas despesas irrelevantes, aquelas decorrentes da criação, expansão ou aperfeiçoamento da ação governamental que acarrete aumento da despesa, cujo montante no exercício financeiro de 2026,</w:t>
            </w:r>
          </w:p>
        </w:tc>
      </w:tr>
    </w:tbl>
    <w:p>
      <w:pPr>
        <w:spacing w:lineRule="exact" w:line="1"/>
        <w:rPr>
          <w:sz w:val="2"/>
          <w:szCs w:val="2"/>
        </w:rPr>
      </w:pPr>
      <w:r>
        <w:br w:type="page"/>
      </w:r>
    </w:p>
    <w:tbl>
      <w:tblPr>
        <w:tblOverlap w:val="never"/>
        <w:jc w:val="center"/>
        <w:tblLayout w:type="fixed"/>
      </w:tblPr>
      <w:tblGrid>
        <w:gridCol w:w="2102"/>
        <w:gridCol w:w="5966"/>
      </w:tblGrid>
      <w:tr>
        <w:trPr>
          <w:trHeight w:val="23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22/07/2025, 16:20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360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 xml:space="preserve">Município de </w:t>
            </w:r>
            <w:r>
              <w:rPr>
                <w:rFonts w:ascii="Arial" w:eastAsia="Arial" w:hAnsi="Arial" w:cs="Arial"/>
                <w:color w:val="000000"/>
                <w:spacing w:val="0"/>
                <w:w w:val="100"/>
                <w:position w:val="0"/>
                <w:sz w:val="16"/>
                <w:szCs w:val="16"/>
                <w:shd w:val="clear" w:color="auto" w:fill="auto"/>
                <w:lang w:val="pt-PT" w:eastAsia="pt-PT" w:bidi="pt-PT"/>
              </w:rPr>
              <w:t>Maués</w:t>
            </w:r>
          </w:p>
        </w:tc>
      </w:tr>
      <w:tr>
        <w:trPr>
          <w:trHeight w:val="15173"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em cada evento, não exceda ao valor limite para dispensa de licitação, fixado no item I do art. 24 da Lei n° 8.666/1993, devidamente atualizado (art. 16, § 3° 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35 </w:t>
            </w:r>
            <w:r>
              <w:rPr>
                <w:rFonts w:ascii="Times New Roman" w:eastAsia="Times New Roman" w:hAnsi="Times New Roman" w:cs="Times New Roman"/>
                <w:color w:val="000000"/>
                <w:spacing w:val="0"/>
                <w:w w:val="100"/>
                <w:position w:val="0"/>
                <w:shd w:val="clear" w:color="auto" w:fill="auto"/>
                <w:lang w:val="pt-BR" w:eastAsia="pt-BR" w:bidi="pt-BR"/>
              </w:rPr>
              <w:t>- As obras em andamento e a conservação do patrimônio público terão prioridade sobre projetos novos na alocação de recursos orçamentários, salvo projetos programados com recursos de transferência voluntária e operação de crédito (art. 45 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36 </w:t>
            </w:r>
            <w:r>
              <w:rPr>
                <w:rFonts w:ascii="Times New Roman" w:eastAsia="Times New Roman" w:hAnsi="Times New Roman" w:cs="Times New Roman"/>
                <w:color w:val="000000"/>
                <w:spacing w:val="0"/>
                <w:w w:val="100"/>
                <w:position w:val="0"/>
                <w:shd w:val="clear" w:color="auto" w:fill="auto"/>
                <w:lang w:val="pt-BR" w:eastAsia="pt-BR" w:bidi="pt-BR"/>
              </w:rPr>
              <w:t>- Despesas de competência de outros entes da federação só serão assumidas pela Administração Municipal quando firmados convênios, acordos ou ajustes e previstos recursos na lei orçamentária (art. 62 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37 </w:t>
            </w:r>
            <w:r>
              <w:rPr>
                <w:rFonts w:ascii="Times New Roman" w:eastAsia="Times New Roman" w:hAnsi="Times New Roman" w:cs="Times New Roman"/>
                <w:color w:val="000000"/>
                <w:spacing w:val="0"/>
                <w:w w:val="100"/>
                <w:position w:val="0"/>
                <w:shd w:val="clear" w:color="auto" w:fill="auto"/>
                <w:lang w:val="pt-BR" w:eastAsia="pt-BR" w:bidi="pt-BR"/>
              </w:rPr>
              <w:t>- A previsão das receitas e a fixação das despesas serão orçadas para 2026 a preços correntes.</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38 </w:t>
            </w:r>
            <w:r>
              <w:rPr>
                <w:rFonts w:ascii="Times New Roman" w:eastAsia="Times New Roman" w:hAnsi="Times New Roman" w:cs="Times New Roman"/>
                <w:color w:val="000000"/>
                <w:spacing w:val="0"/>
                <w:w w:val="100"/>
                <w:position w:val="0"/>
                <w:shd w:val="clear" w:color="auto" w:fill="auto"/>
                <w:lang w:val="pt-BR" w:eastAsia="pt-BR" w:bidi="pt-BR"/>
              </w:rPr>
              <w:t>- A execução do orçamento da Despesa obedecerá, dentro de cada Projeto, Atividade ou Operações Especiais, a dotação fixada para cada Grupo de Natureza de Despesa / Modalidade de Aplicação, com apropriação dos gastos nos respectivos elementos de que trata a Portaria STN n° 163/2001.</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Parágrafo Único </w:t>
            </w:r>
            <w:r>
              <w:rPr>
                <w:rFonts w:ascii="Times New Roman" w:eastAsia="Times New Roman" w:hAnsi="Times New Roman" w:cs="Times New Roman"/>
                <w:color w:val="000000"/>
                <w:spacing w:val="0"/>
                <w:w w:val="100"/>
                <w:position w:val="0"/>
                <w:shd w:val="clear" w:color="auto" w:fill="auto"/>
                <w:lang w:val="pt-BR" w:eastAsia="pt-BR" w:bidi="pt-BR"/>
              </w:rPr>
              <w:t>- A transposição, o remanejamento ou a transferência de recursos de um Grupo de Natureza de Despesa/Modalidade de Aplicação para outro, dentro de cada Projeto, Atividade ou Operações Especiais, poderá ser feita por Decreto do Prefeito Municipal no âmbito do Poder Executivo e por Decreto Legislativo do Presidente da Câmara no âmbito do Poder Legislativo (art. 167, VI da Constituição Federal).</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39 </w:t>
            </w:r>
            <w:r>
              <w:rPr>
                <w:rFonts w:ascii="Times New Roman" w:eastAsia="Times New Roman" w:hAnsi="Times New Roman" w:cs="Times New Roman"/>
                <w:color w:val="000000"/>
                <w:spacing w:val="0"/>
                <w:w w:val="100"/>
                <w:position w:val="0"/>
                <w:shd w:val="clear" w:color="auto" w:fill="auto"/>
                <w:lang w:val="pt-BR" w:eastAsia="pt-BR" w:bidi="pt-BR"/>
              </w:rPr>
              <w:t>- Durante a execução orçamentária de 2026, se o Poder Executivo Municipal for autorizado por lei, poderá incluir novos projetos, atividades ou operações especiais no orçamento das Unidades Gestoras na forma de crédito especial, desde que se enquadre nas prioridades para o exercício de 2026 (art. 167, Ida Constituição Federal).</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40 </w:t>
            </w:r>
            <w:r>
              <w:rPr>
                <w:rFonts w:ascii="Times New Roman" w:eastAsia="Times New Roman" w:hAnsi="Times New Roman" w:cs="Times New Roman"/>
                <w:color w:val="000000"/>
                <w:spacing w:val="0"/>
                <w:w w:val="100"/>
                <w:position w:val="0"/>
                <w:shd w:val="clear" w:color="auto" w:fill="auto"/>
                <w:lang w:val="pt-BR" w:eastAsia="pt-BR" w:bidi="pt-BR"/>
              </w:rPr>
              <w:t>- O controle de custos das ações desenvolvidas pelo Poder Público Municipal, obedecerá ao estabelecido no art. 50, § 3° 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Parágrafo Único </w:t>
            </w:r>
            <w:r>
              <w:rPr>
                <w:rFonts w:ascii="Times New Roman" w:eastAsia="Times New Roman" w:hAnsi="Times New Roman" w:cs="Times New Roman"/>
                <w:color w:val="000000"/>
                <w:spacing w:val="0"/>
                <w:w w:val="100"/>
                <w:position w:val="0"/>
                <w:shd w:val="clear" w:color="auto" w:fill="auto"/>
                <w:lang w:val="pt-BR" w:eastAsia="pt-BR" w:bidi="pt-BR"/>
              </w:rPr>
              <w:t>- Os custos serão apurados através de operações orçamentárias, tomando-se por base as metas fiscais previstas nas planilhas das despesas e nas metas físicas realizadas e apuradas ao final do exercício (art. 4°, "e" 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41 </w:t>
            </w:r>
            <w:r>
              <w:rPr>
                <w:rFonts w:ascii="Times New Roman" w:eastAsia="Times New Roman" w:hAnsi="Times New Roman" w:cs="Times New Roman"/>
                <w:color w:val="000000"/>
                <w:spacing w:val="0"/>
                <w:w w:val="100"/>
                <w:position w:val="0"/>
                <w:shd w:val="clear" w:color="auto" w:fill="auto"/>
                <w:lang w:val="pt-BR" w:eastAsia="pt-BR" w:bidi="pt-BR"/>
              </w:rPr>
              <w:t>- Os programas priorizados por esta Lei e contemplados no Plano Plurianual, que integrarem a Lei Orçamentária de 2026 serão objeto de avaliação permanente pelos responsáveis, de modo a acompanhar o cumprimento dos seus objetivos, corrigir desvios e avaliar seus custos e cumprimento das metas físicas estabelecidas (art. 4°, I, "e" da LRF).</w:t>
            </w:r>
          </w:p>
          <w:p>
            <w:pPr>
              <w:pStyle w:val="Style23"/>
              <w:keepNext w:val="0"/>
              <w:keepLines w:val="0"/>
              <w:widowControl w:val="0"/>
              <w:numPr>
                <w:ilvl w:val="0"/>
                <w:numId w:val="17"/>
              </w:numPr>
              <w:shd w:val="clear" w:color="auto" w:fill="auto"/>
              <w:tabs>
                <w:tab w:pos="1118" w:val="left"/>
              </w:tabs>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DAS DISPOSIÇÕES SOBRE A DÍVIDA PÚBLICA MUNICIPAL</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42 </w:t>
            </w:r>
            <w:r>
              <w:rPr>
                <w:rFonts w:ascii="Times New Roman" w:eastAsia="Times New Roman" w:hAnsi="Times New Roman" w:cs="Times New Roman"/>
                <w:color w:val="000000"/>
                <w:spacing w:val="0"/>
                <w:w w:val="100"/>
                <w:position w:val="0"/>
                <w:shd w:val="clear" w:color="auto" w:fill="auto"/>
                <w:lang w:val="pt-BR" w:eastAsia="pt-BR" w:bidi="pt-BR"/>
              </w:rPr>
              <w:t>- A Lei Orçamentária de 2026 poderá conter autorização para contratação de Operações de Crédito para atendimento à Despesas de Capital, observado o limite de endividamento, de até 50% das Receitas Correntes Líquidas apuradas até o final do semestre anterior a assinatura do contrato, na forma estabelecida na LRF (art. 30, 31 e 32).</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43 </w:t>
            </w:r>
            <w:r>
              <w:rPr>
                <w:rFonts w:ascii="Times New Roman" w:eastAsia="Times New Roman" w:hAnsi="Times New Roman" w:cs="Times New Roman"/>
                <w:color w:val="000000"/>
                <w:spacing w:val="0"/>
                <w:w w:val="100"/>
                <w:position w:val="0"/>
                <w:shd w:val="clear" w:color="auto" w:fill="auto"/>
                <w:lang w:val="pt-BR" w:eastAsia="pt-BR" w:bidi="pt-BR"/>
              </w:rPr>
              <w:t>- A contratação de operações de crédito dependerá de autorização em lei específica (art. 32, Parágrafo Único 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44 </w:t>
            </w:r>
            <w:r>
              <w:rPr>
                <w:rFonts w:ascii="Times New Roman" w:eastAsia="Times New Roman" w:hAnsi="Times New Roman" w:cs="Times New Roman"/>
                <w:color w:val="000000"/>
                <w:spacing w:val="0"/>
                <w:w w:val="100"/>
                <w:position w:val="0"/>
                <w:shd w:val="clear" w:color="auto" w:fill="auto"/>
                <w:lang w:val="pt-BR" w:eastAsia="pt-BR" w:bidi="pt-BR"/>
              </w:rPr>
              <w:t>- Ultrapassado o limite de endividamento definido na legislação pertinente e enquanto perdurar o excesso, o Poder Executivo obterá resultado primário necessário através da limitação de empenho e movimentação financeira (art. 31, §1°, II da LRF).</w:t>
            </w:r>
          </w:p>
          <w:p>
            <w:pPr>
              <w:pStyle w:val="Style23"/>
              <w:keepNext w:val="0"/>
              <w:keepLines w:val="0"/>
              <w:widowControl w:val="0"/>
              <w:numPr>
                <w:ilvl w:val="0"/>
                <w:numId w:val="19"/>
              </w:numPr>
              <w:shd w:val="clear" w:color="auto" w:fill="auto"/>
              <w:tabs>
                <w:tab w:pos="1070" w:val="left"/>
              </w:tabs>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DAS DISPOSIÇÕES SOBRE DESPESAS COM PESSOAL</w:t>
            </w:r>
          </w:p>
        </w:tc>
      </w:tr>
    </w:tbl>
    <w:p>
      <w:pPr>
        <w:spacing w:lineRule="exact" w:line="1"/>
        <w:rPr>
          <w:sz w:val="2"/>
          <w:szCs w:val="2"/>
        </w:rPr>
      </w:pPr>
      <w:r>
        <w:br w:type="page"/>
      </w:r>
    </w:p>
    <w:tbl>
      <w:tblPr>
        <w:tblOverlap w:val="never"/>
        <w:jc w:val="center"/>
        <w:tblLayout w:type="fixed"/>
      </w:tblPr>
      <w:tblGrid>
        <w:gridCol w:w="2107"/>
        <w:gridCol w:w="5962"/>
      </w:tblGrid>
      <w:tr>
        <w:trPr>
          <w:trHeight w:val="23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22/07/2025, 16:20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360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 xml:space="preserve">Município de </w:t>
            </w:r>
            <w:r>
              <w:rPr>
                <w:rFonts w:ascii="Arial" w:eastAsia="Arial" w:hAnsi="Arial" w:cs="Arial"/>
                <w:color w:val="000000"/>
                <w:spacing w:val="0"/>
                <w:w w:val="100"/>
                <w:position w:val="0"/>
                <w:sz w:val="16"/>
                <w:szCs w:val="16"/>
                <w:shd w:val="clear" w:color="auto" w:fill="auto"/>
                <w:lang w:val="pt-PT" w:eastAsia="pt-PT" w:bidi="pt-PT"/>
              </w:rPr>
              <w:t>Maués</w:t>
            </w:r>
          </w:p>
        </w:tc>
      </w:tr>
      <w:tr>
        <w:trPr>
          <w:trHeight w:val="15384"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45 </w:t>
            </w:r>
            <w:r>
              <w:rPr>
                <w:rFonts w:ascii="Times New Roman" w:eastAsia="Times New Roman" w:hAnsi="Times New Roman" w:cs="Times New Roman"/>
                <w:color w:val="000000"/>
                <w:spacing w:val="0"/>
                <w:w w:val="100"/>
                <w:position w:val="0"/>
                <w:shd w:val="clear" w:color="auto" w:fill="auto"/>
                <w:lang w:val="pt-BR" w:eastAsia="pt-BR" w:bidi="pt-BR"/>
              </w:rPr>
              <w:t>- O Executivo e o Legislativo Municipal, mediante lei autorizativa, poderão em 2026, criar cargos e funções, alterar a estrutura de carreira, corrigir ou aumentar a remuneração de servidores, conceder vantagens, admitir pessoal aprovado em concurso público ou caráter temporário na forma de lei, observados os limites e as regras da LRF (art. 169, §1°, II da Constituição Federal).</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Parágrafo Único </w:t>
            </w:r>
            <w:r>
              <w:rPr>
                <w:rFonts w:ascii="Times New Roman" w:eastAsia="Times New Roman" w:hAnsi="Times New Roman" w:cs="Times New Roman"/>
                <w:color w:val="000000"/>
                <w:spacing w:val="0"/>
                <w:w w:val="100"/>
                <w:position w:val="0"/>
                <w:shd w:val="clear" w:color="auto" w:fill="auto"/>
                <w:lang w:val="pt-BR" w:eastAsia="pt-BR" w:bidi="pt-BR"/>
              </w:rPr>
              <w:t>- Os recursos para as despesas decorrentes destes atos deverão estar previstos na lei de orçamento para 2026.</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46 </w:t>
            </w:r>
            <w:r>
              <w:rPr>
                <w:rFonts w:ascii="Times New Roman" w:eastAsia="Times New Roman" w:hAnsi="Times New Roman" w:cs="Times New Roman"/>
                <w:color w:val="000000"/>
                <w:spacing w:val="0"/>
                <w:w w:val="100"/>
                <w:position w:val="0"/>
                <w:shd w:val="clear" w:color="auto" w:fill="auto"/>
                <w:lang w:val="pt-BR" w:eastAsia="pt-BR" w:bidi="pt-BR"/>
              </w:rPr>
              <w:t>- Ressalvada a hipótese do inciso X do artigo 37 da Constituição Federal, a despesa total com pessoal de cada um dos Poderes em 2026, Executivo e Legislativo, não excederá em Percentual da Receita Corrente Líquida, a despesa verificada no exercício de 2025, acrescida de 5%, obedecido o limites prudencial de 51,30% e 5,70% da Receita Corrente Líquida, respectivamente (art. 71 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47 </w:t>
            </w:r>
            <w:r>
              <w:rPr>
                <w:rFonts w:ascii="Times New Roman" w:eastAsia="Times New Roman" w:hAnsi="Times New Roman" w:cs="Times New Roman"/>
                <w:color w:val="000000"/>
                <w:spacing w:val="0"/>
                <w:w w:val="100"/>
                <w:position w:val="0"/>
                <w:shd w:val="clear" w:color="auto" w:fill="auto"/>
                <w:lang w:val="pt-BR" w:eastAsia="pt-BR" w:bidi="pt-BR"/>
              </w:rPr>
              <w:t>- Nos casos de necessidade temporária, de excepcional interesse público, devidamente justificado pela autoridade competente, a Administração Municipal poderá autorizar a realização de horas extras pelos servidores, quando as despesas com pessoal não excederem a 95% do limite estabelecido no art. 20, III da LRF (art. 22, parágrafo único, V 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48 </w:t>
            </w:r>
            <w:r>
              <w:rPr>
                <w:rFonts w:ascii="Times New Roman" w:eastAsia="Times New Roman" w:hAnsi="Times New Roman" w:cs="Times New Roman"/>
                <w:color w:val="000000"/>
                <w:spacing w:val="0"/>
                <w:w w:val="100"/>
                <w:position w:val="0"/>
                <w:shd w:val="clear" w:color="auto" w:fill="auto"/>
                <w:lang w:val="pt-BR" w:eastAsia="pt-BR" w:bidi="pt-BR"/>
              </w:rPr>
              <w:t>- O Executivo Municipal adotará as seguintes medidas para reduzir as despesas com pessoal caso elas ultrapassem os limites estabelecidos na LRF (art. 19 e 20):</w:t>
            </w:r>
          </w:p>
          <w:p>
            <w:pPr>
              <w:pStyle w:val="Style23"/>
              <w:keepNext w:val="0"/>
              <w:keepLines w:val="0"/>
              <w:widowControl w:val="0"/>
              <w:numPr>
                <w:ilvl w:val="0"/>
                <w:numId w:val="21"/>
              </w:numPr>
              <w:shd w:val="clear" w:color="auto" w:fill="auto"/>
              <w:tabs>
                <w:tab w:pos="930" w:val="left"/>
              </w:tabs>
              <w:bidi w:val="0"/>
              <w:spacing w:before="0" w:after="0" w:line="240" w:lineRule="auto"/>
              <w:ind w:left="82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eliminação de vantagens concedidas a servidores;</w:t>
            </w:r>
          </w:p>
          <w:p>
            <w:pPr>
              <w:pStyle w:val="Style23"/>
              <w:keepNext w:val="0"/>
              <w:keepLines w:val="0"/>
              <w:widowControl w:val="0"/>
              <w:numPr>
                <w:ilvl w:val="0"/>
                <w:numId w:val="21"/>
              </w:numPr>
              <w:shd w:val="clear" w:color="auto" w:fill="auto"/>
              <w:tabs>
                <w:tab w:pos="988" w:val="left"/>
              </w:tabs>
              <w:bidi w:val="0"/>
              <w:spacing w:before="0" w:after="0" w:line="240" w:lineRule="auto"/>
              <w:ind w:left="82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 eliminação das despesas com </w:t>
            </w:r>
            <w:r>
              <w:rPr>
                <w:rFonts w:ascii="Times New Roman" w:eastAsia="Times New Roman" w:hAnsi="Times New Roman" w:cs="Times New Roman"/>
                <w:color w:val="000000"/>
                <w:spacing w:val="0"/>
                <w:w w:val="100"/>
                <w:position w:val="0"/>
                <w:shd w:val="clear" w:color="auto" w:fill="auto"/>
                <w:lang w:val="pt-PT" w:eastAsia="pt-PT" w:bidi="pt-PT"/>
              </w:rPr>
              <w:t>horas-extras;</w:t>
            </w:r>
          </w:p>
          <w:p>
            <w:pPr>
              <w:pStyle w:val="Style23"/>
              <w:keepNext w:val="0"/>
              <w:keepLines w:val="0"/>
              <w:widowControl w:val="0"/>
              <w:numPr>
                <w:ilvl w:val="0"/>
                <w:numId w:val="21"/>
              </w:numPr>
              <w:shd w:val="clear" w:color="auto" w:fill="auto"/>
              <w:tabs>
                <w:tab w:pos="1050" w:val="left"/>
              </w:tabs>
              <w:bidi w:val="0"/>
              <w:spacing w:before="0" w:after="0" w:line="240" w:lineRule="auto"/>
              <w:ind w:left="82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exoneração de servidores ocupantes de cargo em comissão;</w:t>
            </w:r>
          </w:p>
          <w:p>
            <w:pPr>
              <w:pStyle w:val="Style23"/>
              <w:keepNext w:val="0"/>
              <w:keepLines w:val="0"/>
              <w:widowControl w:val="0"/>
              <w:numPr>
                <w:ilvl w:val="0"/>
                <w:numId w:val="21"/>
              </w:numPr>
              <w:shd w:val="clear" w:color="auto" w:fill="auto"/>
              <w:tabs>
                <w:tab w:pos="1055" w:val="left"/>
              </w:tabs>
              <w:bidi w:val="0"/>
              <w:spacing w:before="0" w:after="200" w:line="240" w:lineRule="auto"/>
              <w:ind w:left="82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demissão de servidores admitidos em caráter temporário.</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49 </w:t>
            </w:r>
            <w:r>
              <w:rPr>
                <w:rFonts w:ascii="Times New Roman" w:eastAsia="Times New Roman" w:hAnsi="Times New Roman" w:cs="Times New Roman"/>
                <w:color w:val="000000"/>
                <w:spacing w:val="0"/>
                <w:w w:val="100"/>
                <w:position w:val="0"/>
                <w:shd w:val="clear" w:color="auto" w:fill="auto"/>
                <w:lang w:val="pt-BR" w:eastAsia="pt-BR" w:bidi="pt-BR"/>
              </w:rPr>
              <w:t>- Para efeito desta Lei e registros contábeis, entende-se como terceirização de mão-de-obra referente substituição de servidores de que trata o art. 18, §1° da LRF, a contratação de mão-de-obra cujas atividades ou funções guardem relação com atividades ou funções previstas no Plano de Cargos da Administração Municipal, ou ainda, atividades próprias da Administração Pública, desde que, em ambos os casos, não haja utilização de materiais ou equipamentos de propriedade do contratado ou de terceiros.</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Parágrafo Único </w:t>
            </w:r>
            <w:r>
              <w:rPr>
                <w:rFonts w:ascii="Times New Roman" w:eastAsia="Times New Roman" w:hAnsi="Times New Roman" w:cs="Times New Roman"/>
                <w:color w:val="000000"/>
                <w:spacing w:val="0"/>
                <w:w w:val="100"/>
                <w:position w:val="0"/>
                <w:shd w:val="clear" w:color="auto" w:fill="auto"/>
                <w:lang w:val="pt-BR" w:eastAsia="pt-BR" w:bidi="pt-BR"/>
              </w:rPr>
              <w:t>- Quando a contratação de mão-de-obra envolver também fornecimento de materiais ou utilização de equipamentos de propriedade do contratado ou de terceiros, por não caracterizar substituição de servidores, a despesa será classificada em outros elementos de despesa que não o "34 - Outras Despesas de Pessoal decorrentes de Contratos de Terceirização".</w:t>
            </w:r>
          </w:p>
          <w:p>
            <w:pPr>
              <w:pStyle w:val="Style23"/>
              <w:keepNext w:val="0"/>
              <w:keepLines w:val="0"/>
              <w:widowControl w:val="0"/>
              <w:numPr>
                <w:ilvl w:val="0"/>
                <w:numId w:val="23"/>
              </w:numPr>
              <w:shd w:val="clear" w:color="auto" w:fill="auto"/>
              <w:tabs>
                <w:tab w:pos="1295" w:val="left"/>
              </w:tabs>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DAS DISPOSIÇÕES SOBRE ALTERAÇÃO NA LEGISLAÇÃO TRIBUTÁRIA</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50 </w:t>
            </w:r>
            <w:r>
              <w:rPr>
                <w:rFonts w:ascii="Times New Roman" w:eastAsia="Times New Roman" w:hAnsi="Times New Roman" w:cs="Times New Roman"/>
                <w:color w:val="000000"/>
                <w:spacing w:val="0"/>
                <w:w w:val="100"/>
                <w:position w:val="0"/>
                <w:shd w:val="clear" w:color="auto" w:fill="auto"/>
                <w:lang w:val="pt-BR" w:eastAsia="pt-BR" w:bidi="pt-BR"/>
              </w:rPr>
              <w:t>- O Executivo Municipal, quando autorizado em lei, poderá conceder ou ampliar benefício fiscal de natureza tributária com vistas a estimular o crescimento econômico, a geração de empregos e renda, ou beneficiar contribuintes integrantes de classes menos favorecidas, devendo esses benefícios ser considerados no cálculo do orçamento da receita e serem objeto de estudos do seu impacto orçamentário e financeiro no exercício em que iniciar sua vigência e nos dois subsequentes (art. 14 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51 </w:t>
            </w:r>
            <w:r>
              <w:rPr>
                <w:rFonts w:ascii="Times New Roman" w:eastAsia="Times New Roman" w:hAnsi="Times New Roman" w:cs="Times New Roman"/>
                <w:color w:val="000000"/>
                <w:spacing w:val="0"/>
                <w:w w:val="100"/>
                <w:position w:val="0"/>
                <w:shd w:val="clear" w:color="auto" w:fill="auto"/>
                <w:lang w:val="pt-BR" w:eastAsia="pt-BR" w:bidi="pt-BR"/>
              </w:rPr>
              <w:t>- Os tributos lançados e não arrecadados, inscritos em dívida ativa, cujos custos para cobrança sejam superiores ao crédito tributário, poderão ser cancelados, mediante autorização em lei, não se constituindo como renúncia de receita (art. 14, §3° da LRF).</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52 </w:t>
            </w:r>
            <w:r>
              <w:rPr>
                <w:rFonts w:ascii="Times New Roman" w:eastAsia="Times New Roman" w:hAnsi="Times New Roman" w:cs="Times New Roman"/>
                <w:color w:val="000000"/>
                <w:spacing w:val="0"/>
                <w:w w:val="100"/>
                <w:position w:val="0"/>
                <w:shd w:val="clear" w:color="auto" w:fill="auto"/>
                <w:lang w:val="pt-BR" w:eastAsia="pt-BR" w:bidi="pt-BR"/>
              </w:rPr>
              <w:t>- O ato que conceder ou ampliar incentivo, isenção ou benefício de natureza tributária ou financeira constante do Orçamento da Receita, somente entrará em vigor após adoção de medidas de compensação (art. 14, §2° da LRF).</w:t>
            </w:r>
          </w:p>
          <w:p>
            <w:pPr>
              <w:pStyle w:val="Style23"/>
              <w:keepNext w:val="0"/>
              <w:keepLines w:val="0"/>
              <w:widowControl w:val="0"/>
              <w:numPr>
                <w:ilvl w:val="0"/>
                <w:numId w:val="23"/>
              </w:numPr>
              <w:shd w:val="clear" w:color="auto" w:fill="auto"/>
              <w:tabs>
                <w:tab w:pos="1209" w:val="left"/>
              </w:tabs>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DAS DISPOSIÇÕES GERAIS</w:t>
            </w:r>
          </w:p>
        </w:tc>
      </w:tr>
    </w:tbl>
    <w:p>
      <w:pPr>
        <w:spacing w:lineRule="exact" w:line="1"/>
        <w:rPr>
          <w:sz w:val="2"/>
          <w:szCs w:val="2"/>
        </w:rPr>
      </w:pPr>
      <w:r>
        <w:br w:type="page"/>
      </w:r>
    </w:p>
    <w:tbl>
      <w:tblPr>
        <w:tblOverlap w:val="never"/>
        <w:jc w:val="center"/>
        <w:tblLayout w:type="fixed"/>
      </w:tblPr>
      <w:tblGrid>
        <w:gridCol w:w="2102"/>
        <w:gridCol w:w="5966"/>
      </w:tblGrid>
      <w:tr>
        <w:trPr>
          <w:trHeight w:val="23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22/07/2025, 16:20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360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 xml:space="preserve">Município de </w:t>
            </w:r>
            <w:r>
              <w:rPr>
                <w:rFonts w:ascii="Arial" w:eastAsia="Arial" w:hAnsi="Arial" w:cs="Arial"/>
                <w:color w:val="000000"/>
                <w:spacing w:val="0"/>
                <w:w w:val="100"/>
                <w:position w:val="0"/>
                <w:sz w:val="16"/>
                <w:szCs w:val="16"/>
                <w:shd w:val="clear" w:color="auto" w:fill="auto"/>
                <w:lang w:val="pt-PT" w:eastAsia="pt-PT" w:bidi="pt-PT"/>
              </w:rPr>
              <w:t>Maués</w:t>
            </w:r>
          </w:p>
        </w:tc>
      </w:tr>
      <w:tr>
        <w:trPr>
          <w:trHeight w:val="14069"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53 </w:t>
            </w:r>
            <w:r>
              <w:rPr>
                <w:rFonts w:ascii="Times New Roman" w:eastAsia="Times New Roman" w:hAnsi="Times New Roman" w:cs="Times New Roman"/>
                <w:color w:val="000000"/>
                <w:spacing w:val="0"/>
                <w:w w:val="100"/>
                <w:position w:val="0"/>
                <w:shd w:val="clear" w:color="auto" w:fill="auto"/>
                <w:lang w:val="pt-BR" w:eastAsia="pt-BR" w:bidi="pt-BR"/>
              </w:rPr>
              <w:t>- O Executivo Municipal enviará a proposta orçamentária à Câmara Municipal no prazo estabelecido na Lei Orgânica do Município, caso não esteja previsto, será obedecido o que dispõe o artigo 4° da Lei 06/91 de 22/01/1991, que a apreciará e a devolverá para sanção até o encerramento do período legislativo anual.</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§1° </w:t>
            </w:r>
            <w:r>
              <w:rPr>
                <w:rFonts w:ascii="Times New Roman" w:eastAsia="Times New Roman" w:hAnsi="Times New Roman" w:cs="Times New Roman"/>
                <w:color w:val="000000"/>
                <w:spacing w:val="0"/>
                <w:w w:val="100"/>
                <w:position w:val="0"/>
                <w:shd w:val="clear" w:color="auto" w:fill="auto"/>
                <w:lang w:val="pt-BR" w:eastAsia="pt-BR" w:bidi="pt-BR"/>
              </w:rPr>
              <w:t xml:space="preserve">- A Câmara Municipal não entrará em recesso enquanto não cumprir o disposto no </w:t>
            </w:r>
            <w:r>
              <w:rPr>
                <w:rFonts w:ascii="Times New Roman" w:eastAsia="Times New Roman" w:hAnsi="Times New Roman" w:cs="Times New Roman"/>
                <w:color w:val="000000"/>
                <w:spacing w:val="0"/>
                <w:w w:val="100"/>
                <w:position w:val="0"/>
                <w:shd w:val="clear" w:color="auto" w:fill="auto"/>
                <w:lang w:val="pt-PT" w:eastAsia="pt-PT" w:bidi="pt-PT"/>
              </w:rPr>
              <w:t xml:space="preserve">"caput" </w:t>
            </w:r>
            <w:r>
              <w:rPr>
                <w:rFonts w:ascii="Times New Roman" w:eastAsia="Times New Roman" w:hAnsi="Times New Roman" w:cs="Times New Roman"/>
                <w:color w:val="000000"/>
                <w:spacing w:val="0"/>
                <w:w w:val="100"/>
                <w:position w:val="0"/>
                <w:shd w:val="clear" w:color="auto" w:fill="auto"/>
                <w:lang w:val="pt-BR" w:eastAsia="pt-BR" w:bidi="pt-BR"/>
              </w:rPr>
              <w:t>deste artigo.</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§2° </w:t>
            </w:r>
            <w:r>
              <w:rPr>
                <w:rFonts w:ascii="Times New Roman" w:eastAsia="Times New Roman" w:hAnsi="Times New Roman" w:cs="Times New Roman"/>
                <w:color w:val="000000"/>
                <w:spacing w:val="0"/>
                <w:w w:val="100"/>
                <w:position w:val="0"/>
                <w:shd w:val="clear" w:color="auto" w:fill="auto"/>
                <w:lang w:val="pt-BR" w:eastAsia="pt-BR" w:bidi="pt-BR"/>
              </w:rPr>
              <w:t>- Se o projeto de lei orçamentária anual não for encaminhado à sanção até o início do exercício financeiro de 2026, fica o Executivo Municipal autorizado a executar a proposta orçamentária na forma original, até a sanção da respectiva lei orçamentária anual.</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§3° - O limite de remanejamento por anulação total ou parcial das dotações orçamentárias será de 60% da despesa fixada, 100% para suplementação por excesso de arrecadação e 100% para o superávit financeiro, conforme artigos 40, 41, 42 e 43 da Lei Federal 4.320/64, não entrando no compito dos percentuais as suplementações com Pessoal, excesso de arrecadação, superávit Financeiro, Convênios, Emendas Individuais e de bancada</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54 </w:t>
            </w:r>
            <w:r>
              <w:rPr>
                <w:rFonts w:ascii="Times New Roman" w:eastAsia="Times New Roman" w:hAnsi="Times New Roman" w:cs="Times New Roman"/>
                <w:color w:val="000000"/>
                <w:spacing w:val="0"/>
                <w:w w:val="100"/>
                <w:position w:val="0"/>
                <w:shd w:val="clear" w:color="auto" w:fill="auto"/>
                <w:lang w:val="pt-BR" w:eastAsia="pt-BR" w:bidi="pt-BR"/>
              </w:rPr>
              <w:t>- Serão considerados legais as despesas com multas e juros pelo eventual atraso no pagamento de compromissos assumidos, motivados por insuficiência de tesouraria.</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55 </w:t>
            </w:r>
            <w:r>
              <w:rPr>
                <w:rFonts w:ascii="Times New Roman" w:eastAsia="Times New Roman" w:hAnsi="Times New Roman" w:cs="Times New Roman"/>
                <w:color w:val="000000"/>
                <w:spacing w:val="0"/>
                <w:w w:val="100"/>
                <w:position w:val="0"/>
                <w:shd w:val="clear" w:color="auto" w:fill="auto"/>
                <w:lang w:val="pt-BR" w:eastAsia="pt-BR" w:bidi="pt-BR"/>
              </w:rPr>
              <w:t>- Os créditos especiais e extraordinários, abertos nos últimos quatro meses do exercício, poderão ser reabertos no exercício subsequente, por Decreto do Executivo.</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56 </w:t>
            </w:r>
            <w:r>
              <w:rPr>
                <w:rFonts w:ascii="Times New Roman" w:eastAsia="Times New Roman" w:hAnsi="Times New Roman" w:cs="Times New Roman"/>
                <w:color w:val="000000"/>
                <w:spacing w:val="0"/>
                <w:w w:val="100"/>
                <w:position w:val="0"/>
                <w:shd w:val="clear" w:color="auto" w:fill="auto"/>
                <w:lang w:val="pt-BR" w:eastAsia="pt-BR" w:bidi="pt-BR"/>
              </w:rPr>
              <w:t>- O Executivo Municipal está autorizado a assinar convênios com o Governo Federal e Estadual através de seus órgãos da administração direta ou indireta, para realização de obras ou serviços de competência ou não do Município.</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Art. 57 - O repasse ao poder Legislativo obedecerá ao disposto no artigo 29 ‘A’ da CF, combinado com os artigos 4° e 5° da Resolução 19/2012 do Tribunal de Contas do Estado do Amazonas.</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Art. 58 - De conformidade com o estabelecido pelo §2° do Art. 168 da CF, incluído pela emenda complementar 109/21, os saldos financeiros descomprometidos que remanescerem, oriundos do duodécimo ao legislativo, deverá ser restituído ao caixa único do Tesouro do ente, ou terá seu valor deduzido das primeiras parcelas de repasse concedido no ano seguinte.</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Art. 59 - Esta Lei entrará em vigor na data de sua publicação.</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MAUÉS - AM, 21 DE JULHO DE 2025.</w:t>
            </w:r>
          </w:p>
          <w:p>
            <w:pPr>
              <w:pStyle w:val="Style23"/>
              <w:keepNext w:val="0"/>
              <w:keepLines w:val="0"/>
              <w:widowControl w:val="0"/>
              <w:shd w:val="clear" w:color="auto" w:fill="auto"/>
              <w:bidi w:val="0"/>
              <w:spacing w:before="0" w:after="0" w:line="240" w:lineRule="auto"/>
              <w:ind w:left="820" w:right="0" w:firstLine="0"/>
              <w:jc w:val="both"/>
            </w:pPr>
            <w:r>
              <w:rPr>
                <w:rFonts w:ascii="Times New Roman" w:eastAsia="Times New Roman" w:hAnsi="Times New Roman" w:cs="Times New Roman"/>
                <w:b/>
                <w:bCs/>
                <w:i/>
                <w:iCs/>
                <w:color w:val="000000"/>
                <w:spacing w:val="0"/>
                <w:w w:val="100"/>
                <w:position w:val="0"/>
                <w:shd w:val="clear" w:color="auto" w:fill="auto"/>
                <w:lang w:val="pt-BR" w:eastAsia="pt-BR" w:bidi="pt-BR"/>
              </w:rPr>
              <w:t>MACELLY CRISTINA DE SOUZA VERAS</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Prefeita Municipal de Maués</w:t>
            </w:r>
          </w:p>
          <w:p>
            <w:pPr>
              <w:pStyle w:val="Style23"/>
              <w:keepNext w:val="0"/>
              <w:keepLines w:val="0"/>
              <w:widowControl w:val="0"/>
              <w:shd w:val="clear" w:color="auto" w:fill="auto"/>
              <w:bidi w:val="0"/>
              <w:spacing w:before="0" w:after="200" w:line="240" w:lineRule="auto"/>
              <w:ind w:left="8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PUBLICADA A PRESENTE LEI NO DIÁRIO OFICIAL DOS MUNICÍPIOS DO ESTADO DO AMAZONAS, de acordo com a lei municipal n° 177, de 26/10/2009.</w:t>
            </w:r>
          </w:p>
          <w:p>
            <w:pPr>
              <w:pStyle w:val="Style23"/>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b/>
                <w:bCs/>
                <w:color w:val="000000"/>
                <w:spacing w:val="0"/>
                <w:w w:val="100"/>
                <w:position w:val="0"/>
                <w:shd w:val="clear" w:color="auto" w:fill="auto"/>
                <w:lang w:val="pt-BR" w:eastAsia="pt-BR" w:bidi="pt-BR"/>
              </w:rPr>
              <w:t>Publicado por:</w:t>
            </w:r>
          </w:p>
          <w:p>
            <w:pPr>
              <w:pStyle w:val="Style23"/>
              <w:keepNext w:val="0"/>
              <w:keepLines w:val="0"/>
              <w:widowControl w:val="0"/>
              <w:shd w:val="clear" w:color="auto" w:fill="auto"/>
              <w:bidi w:val="0"/>
              <w:spacing w:before="0" w:after="360" w:line="228" w:lineRule="auto"/>
              <w:ind w:left="0" w:right="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Daniele Menezes Iimori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Código Identificador: </w:t>
            </w:r>
            <w:r>
              <w:rPr>
                <w:rFonts w:ascii="Times New Roman" w:eastAsia="Times New Roman" w:hAnsi="Times New Roman" w:cs="Times New Roman"/>
                <w:color w:val="000000"/>
                <w:spacing w:val="0"/>
                <w:w w:val="100"/>
                <w:position w:val="0"/>
                <w:sz w:val="20"/>
                <w:szCs w:val="20"/>
                <w:shd w:val="clear" w:color="auto" w:fill="auto"/>
                <w:lang w:val="pt-BR" w:eastAsia="pt-BR" w:bidi="pt-BR"/>
              </w:rPr>
              <w:t>57B96147</w:t>
            </w:r>
          </w:p>
          <w:p>
            <w:pPr>
              <w:pStyle w:val="Style23"/>
              <w:keepNext w:val="0"/>
              <w:keepLines w:val="0"/>
              <w:widowControl w:val="0"/>
              <w:shd w:val="clear" w:color="auto" w:fill="auto"/>
              <w:bidi w:val="0"/>
              <w:spacing w:before="0" w:after="0" w:line="218" w:lineRule="auto"/>
              <w:ind w:left="82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Matéria publicada no Diário Oficial Eletrônico dos Municípios do Estado do Amazonas no dia 22/07/2025. Edição 3902 A verificação de autenticidade da matéria pode ser feita informando o código identificador no site:</w:t>
            </w:r>
          </w:p>
          <w:p>
            <w:pPr>
              <w:pStyle w:val="Style23"/>
              <w:keepNext w:val="0"/>
              <w:keepLines w:val="0"/>
              <w:widowControl w:val="0"/>
              <w:shd w:val="clear" w:color="auto" w:fill="auto"/>
              <w:bidi w:val="0"/>
              <w:spacing w:before="0" w:after="200" w:line="218" w:lineRule="auto"/>
              <w:ind w:left="820" w:right="0" w:firstLine="0"/>
              <w:jc w:val="both"/>
              <w:rPr>
                <w:sz w:val="20"/>
                <w:szCs w:val="20"/>
              </w:rPr>
            </w:pP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z w:val="20"/>
                <w:szCs w:val="20"/>
                <w:shd w:val="clear" w:color="auto" w:fill="auto"/>
                <w:lang w:val="en-US" w:eastAsia="en-US" w:bidi="en-US"/>
              </w:rPr>
              <w:t>https://www.diariomunicipal.com.br/aam/</w:t>
            </w:r>
            <w:r>
              <w:fldChar w:fldCharType="end"/>
            </w:r>
          </w:p>
        </w:tc>
      </w:tr>
    </w:tbl>
    <w:p>
      <w:pPr>
        <w:sectPr>
          <w:footnotePr>
            <w:pos w:val="pageBottom"/>
            <w:numFmt w:val="decimal"/>
            <w:numRestart w:val="continuous"/>
          </w:footnotePr>
          <w:pgSz w:w="11900" w:h="16840"/>
          <w:pgMar w:top="282" w:left="480" w:right="3350" w:bottom="527" w:header="0" w:footer="3" w:gutter="0"/>
          <w:cols w:space="720"/>
          <w:noEndnote/>
          <w:rtlGutter w:val="0"/>
          <w:docGrid w:linePitch="360"/>
        </w:sectPr>
      </w:pPr>
    </w:p>
    <w:p>
      <w:pPr>
        <w:pStyle w:val="Style29"/>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pt-PT" w:eastAsia="pt-PT" w:bidi="pt-PT"/>
        </w:rPr>
        <w:t>ESTADO DO AMAZONAS</w:t>
      </w:r>
    </w:p>
    <w:p>
      <w:pPr>
        <w:pStyle w:val="Style29"/>
        <w:keepNext w:val="0"/>
        <w:keepLines w:val="0"/>
        <w:widowControl w:val="0"/>
        <w:shd w:val="clear" w:color="auto" w:fill="auto"/>
        <w:bidi w:val="0"/>
        <w:spacing w:before="0" w:after="0" w:line="233" w:lineRule="auto"/>
        <w:ind w:right="0" w:firstLine="0"/>
        <w:jc w:val="left"/>
      </w:pPr>
      <w:r>
        <w:rPr>
          <w:color w:val="000000"/>
          <w:spacing w:val="0"/>
          <w:w w:val="100"/>
          <w:position w:val="0"/>
          <w:shd w:val="clear" w:color="auto" w:fill="auto"/>
          <w:lang w:val="pt-PT" w:eastAsia="pt-PT" w:bidi="pt-PT"/>
        </w:rPr>
        <w:t xml:space="preserve">LEI DE DIRETRIZES </w:t>
      </w:r>
      <w:r>
        <w:rPr>
          <w:color w:val="000000"/>
          <w:spacing w:val="0"/>
          <w:w w:val="100"/>
          <w:position w:val="0"/>
          <w:shd w:val="clear" w:color="auto" w:fill="auto"/>
          <w:lang w:val="pt-BR" w:eastAsia="pt-BR" w:bidi="pt-BR"/>
        </w:rPr>
        <w:t xml:space="preserve">ORÇAMENTÁRIAS </w:t>
      </w:r>
      <w:r>
        <w:rPr>
          <w:color w:val="000000"/>
          <w:spacing w:val="0"/>
          <w:w w:val="100"/>
          <w:position w:val="0"/>
          <w:shd w:val="clear" w:color="auto" w:fill="auto"/>
          <w:lang w:val="pt-PT" w:eastAsia="pt-PT" w:bidi="pt-PT"/>
        </w:rPr>
        <w:t>- 2024</w:t>
      </w:r>
    </w:p>
    <w:p>
      <w:pPr>
        <w:pStyle w:val="Style29"/>
        <w:keepNext w:val="0"/>
        <w:keepLines w:val="0"/>
        <w:widowControl w:val="0"/>
        <w:shd w:val="clear" w:color="auto" w:fill="auto"/>
        <w:bidi w:val="0"/>
        <w:spacing w:before="0" w:after="0" w:line="233" w:lineRule="auto"/>
        <w:ind w:right="0" w:firstLine="0"/>
        <w:jc w:val="left"/>
      </w:pPr>
      <w:r>
        <w:rPr>
          <w:color w:val="000000"/>
          <w:spacing w:val="0"/>
          <w:w w:val="100"/>
          <w:position w:val="0"/>
          <w:shd w:val="clear" w:color="auto" w:fill="auto"/>
          <w:lang w:val="pt-PT" w:eastAsia="pt-PT" w:bidi="pt-PT"/>
        </w:rPr>
        <w:t>ANEXO DE RISCOS FISCAIS</w:t>
      </w:r>
    </w:p>
    <w:p>
      <w:pPr>
        <w:pStyle w:val="Style29"/>
        <w:keepNext w:val="0"/>
        <w:keepLines w:val="0"/>
        <w:widowControl w:val="0"/>
        <w:shd w:val="clear" w:color="auto" w:fill="auto"/>
        <w:bidi w:val="0"/>
        <w:spacing w:before="0" w:after="300" w:line="240" w:lineRule="auto"/>
        <w:ind w:right="0" w:firstLine="0"/>
        <w:jc w:val="left"/>
      </w:pPr>
      <w:r>
        <w:rPr>
          <w:color w:val="000000"/>
          <w:spacing w:val="0"/>
          <w:w w:val="100"/>
          <w:position w:val="0"/>
          <w:shd w:val="clear" w:color="auto" w:fill="auto"/>
          <w:lang w:val="pt-PT" w:eastAsia="pt-PT" w:bidi="pt-PT"/>
        </w:rPr>
        <w:t>DEMONSTRATIVO DE RISCOS FISCAIS E PROVIDÊNCIAS</w:t>
      </w:r>
    </w:p>
    <w:p>
      <w:pPr>
        <w:pStyle w:val="Style33"/>
        <w:keepNext w:val="0"/>
        <w:keepLines w:val="0"/>
        <w:widowControl w:val="0"/>
        <w:shd w:val="clear" w:color="auto" w:fill="auto"/>
        <w:tabs>
          <w:tab w:pos="14664" w:val="left"/>
        </w:tabs>
        <w:bidi w:val="0"/>
        <w:spacing w:before="0" w:after="0" w:line="240" w:lineRule="auto"/>
        <w:ind w:left="0" w:right="0" w:firstLine="0"/>
        <w:jc w:val="both"/>
        <w:rPr>
          <w:sz w:val="22"/>
          <w:szCs w:val="22"/>
        </w:rPr>
      </w:pPr>
      <w:r>
        <w:rPr>
          <w:color w:val="000000"/>
          <w:spacing w:val="0"/>
          <w:w w:val="100"/>
          <w:position w:val="0"/>
          <w:sz w:val="16"/>
          <w:szCs w:val="16"/>
          <w:shd w:val="clear" w:color="auto" w:fill="auto"/>
          <w:lang w:val="pt-PT" w:eastAsia="pt-PT" w:bidi="pt-PT"/>
        </w:rPr>
        <w:t>AMF (LRF, art. 4°, §3°)</w:t>
        <w:tab/>
      </w:r>
      <w:r>
        <w:rPr>
          <w:color w:val="000000"/>
          <w:spacing w:val="0"/>
          <w:w w:val="100"/>
          <w:position w:val="0"/>
          <w:sz w:val="22"/>
          <w:szCs w:val="22"/>
          <w:shd w:val="clear" w:color="auto" w:fill="auto"/>
          <w:vertAlign w:val="superscript"/>
          <w:lang w:val="pt-PT" w:eastAsia="pt-PT" w:bidi="pt-PT"/>
        </w:rPr>
        <w:t>(R$)</w:t>
      </w:r>
    </w:p>
    <w:tbl>
      <w:tblPr>
        <w:tblOverlap w:val="never"/>
        <w:jc w:val="center"/>
        <w:tblLayout w:type="fixed"/>
      </w:tblPr>
      <w:tblGrid>
        <w:gridCol w:w="6523"/>
        <w:gridCol w:w="1622"/>
        <w:gridCol w:w="5203"/>
        <w:gridCol w:w="1656"/>
      </w:tblGrid>
      <w:tr>
        <w:trPr>
          <w:trHeight w:val="322"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2880" w:right="0" w:firstLine="0"/>
              <w:jc w:val="left"/>
            </w:pPr>
            <w:r>
              <w:rPr>
                <w:rFonts w:ascii="Arial" w:eastAsia="Arial" w:hAnsi="Arial" w:cs="Arial"/>
                <w:b/>
                <w:bCs/>
                <w:color w:val="000000"/>
                <w:spacing w:val="0"/>
                <w:w w:val="100"/>
                <w:position w:val="0"/>
                <w:shd w:val="clear" w:color="auto" w:fill="auto"/>
                <w:lang w:val="pt-PT" w:eastAsia="pt-PT" w:bidi="pt-PT"/>
              </w:rPr>
              <w:t>PASSIVOS CONTINGENTES</w:t>
            </w:r>
          </w:p>
        </w:tc>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2740" w:right="0" w:firstLine="0"/>
              <w:jc w:val="left"/>
            </w:pPr>
            <w:r>
              <w:rPr>
                <w:rFonts w:ascii="Arial" w:eastAsia="Arial" w:hAnsi="Arial" w:cs="Arial"/>
                <w:b/>
                <w:bCs/>
                <w:color w:val="000000"/>
                <w:spacing w:val="0"/>
                <w:w w:val="100"/>
                <w:position w:val="0"/>
                <w:shd w:val="clear" w:color="auto" w:fill="auto"/>
                <w:lang w:val="pt-PT" w:eastAsia="pt-PT" w:bidi="pt-PT"/>
              </w:rPr>
              <w:t>PROVIDÊNCIAS</w:t>
            </w:r>
          </w:p>
        </w:tc>
        <w:tc>
          <w:tcPr>
            <w:tcBorders>
              <w:top w:val="single" w:sz="4"/>
              <w:right w:val="single" w:sz="4"/>
            </w:tcBorders>
            <w:shd w:val="clear" w:color="auto" w:fill="FFFFFF"/>
            <w:vAlign w:val="top"/>
          </w:tcPr>
          <w:p>
            <w:pPr>
              <w:widowControl w:val="0"/>
              <w:rPr>
                <w:sz w:val="10"/>
                <w:szCs w:val="10"/>
              </w:rPr>
            </w:pPr>
          </w:p>
        </w:tc>
      </w:tr>
      <w:tr>
        <w:trPr>
          <w:trHeight w:val="312"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IDENTIFICAÇÃO DOS RISCOS</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pPr>
            <w:r>
              <w:rPr>
                <w:rFonts w:ascii="Arial" w:eastAsia="Arial" w:hAnsi="Arial" w:cs="Arial"/>
                <w:b/>
                <w:bCs/>
                <w:color w:val="000000"/>
                <w:spacing w:val="0"/>
                <w:w w:val="100"/>
                <w:position w:val="0"/>
                <w:shd w:val="clear" w:color="auto" w:fill="auto"/>
                <w:lang w:val="pt-PT" w:eastAsia="pt-PT" w:bidi="pt-PT"/>
              </w:rPr>
              <w:t>PROVIDÊNCIA</w:t>
            </w:r>
          </w:p>
        </w:tc>
        <w:tc>
          <w:tcPr>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r>
      <w:tr>
        <w:trPr>
          <w:trHeight w:val="264"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580" w:right="0" w:firstLine="20"/>
              <w:jc w:val="left"/>
            </w:pPr>
            <w:r>
              <w:rPr>
                <w:rFonts w:ascii="Arial" w:eastAsia="Arial" w:hAnsi="Arial" w:cs="Arial"/>
                <w:b/>
                <w:bCs/>
                <w:color w:val="000000"/>
                <w:spacing w:val="0"/>
                <w:w w:val="100"/>
                <w:position w:val="0"/>
                <w:shd w:val="clear" w:color="auto" w:fill="auto"/>
                <w:lang w:val="pt-PT" w:eastAsia="pt-PT" w:bidi="pt-PT"/>
              </w:rPr>
              <w:t xml:space="preserve">Outros Passivos </w:t>
            </w:r>
            <w:r>
              <w:rPr>
                <w:rFonts w:ascii="Arial" w:eastAsia="Arial" w:hAnsi="Arial" w:cs="Arial"/>
                <w:b/>
                <w:bCs/>
                <w:color w:val="000000"/>
                <w:spacing w:val="0"/>
                <w:w w:val="100"/>
                <w:position w:val="0"/>
                <w:shd w:val="clear" w:color="auto" w:fill="auto"/>
                <w:lang w:val="pt-BR" w:eastAsia="pt-BR" w:bidi="pt-BR"/>
              </w:rPr>
              <w:t>Contigentes</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1.400.000,00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Créd. Adic. por:</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1.400.000,00</w:t>
            </w:r>
          </w:p>
        </w:tc>
      </w:tr>
      <w:tr>
        <w:trPr>
          <w:trHeight w:val="259"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580" w:right="0" w:firstLine="20"/>
              <w:jc w:val="left"/>
            </w:pPr>
            <w:r>
              <w:rPr>
                <w:rFonts w:ascii="Arial" w:eastAsia="Arial" w:hAnsi="Arial" w:cs="Arial"/>
                <w:color w:val="000000"/>
                <w:spacing w:val="0"/>
                <w:w w:val="100"/>
                <w:position w:val="0"/>
                <w:shd w:val="clear" w:color="auto" w:fill="auto"/>
                <w:lang w:val="pt-PT" w:eastAsia="pt-PT" w:bidi="pt-PT"/>
              </w:rPr>
              <w:t>Intempéries da Natureza</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1.400.000,00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Contingenciamento de Despesas</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1.400.000,00</w:t>
            </w:r>
          </w:p>
        </w:tc>
      </w:tr>
      <w:tr>
        <w:trPr>
          <w:trHeight w:val="259"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580" w:right="0" w:firstLine="20"/>
              <w:jc w:val="left"/>
            </w:pPr>
            <w:r>
              <w:rPr>
                <w:rFonts w:ascii="Arial" w:eastAsia="Arial" w:hAnsi="Arial" w:cs="Arial"/>
                <w:b/>
                <w:bCs/>
                <w:color w:val="000000"/>
                <w:spacing w:val="0"/>
                <w:w w:val="100"/>
                <w:position w:val="0"/>
                <w:shd w:val="clear" w:color="auto" w:fill="auto"/>
                <w:lang w:val="pt-PT" w:eastAsia="pt-PT" w:bidi="pt-PT"/>
              </w:rPr>
              <w:t>SUBTOTAL</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1.400.000,00</w:t>
            </w:r>
          </w:p>
        </w:tc>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SUBTOTAL</w:t>
            </w:r>
          </w:p>
        </w:tc>
        <w:tc>
          <w:tcPr>
            <w:tcBorders>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1.400.000,00</w:t>
            </w:r>
          </w:p>
        </w:tc>
      </w:tr>
      <w:tr>
        <w:trPr>
          <w:trHeight w:val="317"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2500" w:right="0" w:firstLine="0"/>
              <w:jc w:val="left"/>
            </w:pPr>
            <w:r>
              <w:rPr>
                <w:rFonts w:ascii="Arial" w:eastAsia="Arial" w:hAnsi="Arial" w:cs="Arial"/>
                <w:b/>
                <w:bCs/>
                <w:color w:val="000000"/>
                <w:spacing w:val="0"/>
                <w:w w:val="100"/>
                <w:position w:val="0"/>
                <w:shd w:val="clear" w:color="auto" w:fill="auto"/>
                <w:lang w:val="pt-PT" w:eastAsia="pt-PT" w:bidi="pt-PT"/>
              </w:rPr>
              <w:t>DEMAIS RISCOS FISCAIS PASSIVOS</w:t>
            </w:r>
          </w:p>
        </w:tc>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2740" w:right="0" w:firstLine="0"/>
              <w:jc w:val="left"/>
            </w:pPr>
            <w:r>
              <w:rPr>
                <w:rFonts w:ascii="Arial" w:eastAsia="Arial" w:hAnsi="Arial" w:cs="Arial"/>
                <w:b/>
                <w:bCs/>
                <w:color w:val="000000"/>
                <w:spacing w:val="0"/>
                <w:w w:val="100"/>
                <w:position w:val="0"/>
                <w:shd w:val="clear" w:color="auto" w:fill="auto"/>
                <w:lang w:val="pt-PT" w:eastAsia="pt-PT" w:bidi="pt-PT"/>
              </w:rPr>
              <w:t>PROVIDÊNCIAS</w:t>
            </w:r>
          </w:p>
        </w:tc>
        <w:tc>
          <w:tcPr>
            <w:tcBorders>
              <w:top w:val="single" w:sz="4"/>
              <w:right w:val="single" w:sz="4"/>
            </w:tcBorders>
            <w:shd w:val="clear" w:color="auto" w:fill="FFFFFF"/>
            <w:vAlign w:val="top"/>
          </w:tcPr>
          <w:p>
            <w:pPr>
              <w:widowControl w:val="0"/>
              <w:rPr>
                <w:sz w:val="10"/>
                <w:szCs w:val="10"/>
              </w:rPr>
            </w:pPr>
          </w:p>
        </w:tc>
      </w:tr>
      <w:tr>
        <w:trPr>
          <w:trHeight w:val="312"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IDENTIFICAÇÃO DOS RISCOS</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pPr>
            <w:r>
              <w:rPr>
                <w:rFonts w:ascii="Arial" w:eastAsia="Arial" w:hAnsi="Arial" w:cs="Arial"/>
                <w:b/>
                <w:bCs/>
                <w:color w:val="000000"/>
                <w:spacing w:val="0"/>
                <w:w w:val="100"/>
                <w:position w:val="0"/>
                <w:shd w:val="clear" w:color="auto" w:fill="auto"/>
                <w:lang w:val="pt-PT" w:eastAsia="pt-PT" w:bidi="pt-PT"/>
              </w:rPr>
              <w:t>PROVIDÊNCIA</w:t>
            </w:r>
          </w:p>
        </w:tc>
        <w:tc>
          <w:tcPr>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r>
      <w:tr>
        <w:trPr>
          <w:trHeight w:val="269"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580" w:right="0" w:firstLine="20"/>
              <w:jc w:val="left"/>
            </w:pPr>
            <w:r>
              <w:rPr>
                <w:rFonts w:ascii="Arial" w:eastAsia="Arial" w:hAnsi="Arial" w:cs="Arial"/>
                <w:b/>
                <w:bCs/>
                <w:color w:val="000000"/>
                <w:spacing w:val="0"/>
                <w:w w:val="100"/>
                <w:position w:val="0"/>
                <w:shd w:val="clear" w:color="auto" w:fill="auto"/>
                <w:lang w:val="pt-PT" w:eastAsia="pt-PT" w:bidi="pt-PT"/>
              </w:rPr>
              <w:t>Frustração de Arrecadação</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1.400.000,00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Limitação de despesas e/ou captação de recursos de</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1.400.000,00</w:t>
            </w:r>
          </w:p>
        </w:tc>
      </w:tr>
      <w:tr>
        <w:trPr>
          <w:trHeight w:val="259"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580" w:right="0" w:firstLine="20"/>
              <w:jc w:val="left"/>
            </w:pPr>
            <w:r>
              <w:rPr>
                <w:rFonts w:ascii="Arial" w:eastAsia="Arial" w:hAnsi="Arial" w:cs="Arial"/>
                <w:b/>
                <w:bCs/>
                <w:color w:val="000000"/>
                <w:spacing w:val="0"/>
                <w:w w:val="100"/>
                <w:position w:val="0"/>
                <w:shd w:val="clear" w:color="auto" w:fill="auto"/>
                <w:lang w:val="pt-PT" w:eastAsia="pt-PT" w:bidi="pt-PT"/>
              </w:rPr>
              <w:t>SUBTOTAL</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1.400.000,00</w:t>
            </w:r>
          </w:p>
        </w:tc>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SUBTOTAL</w:t>
            </w:r>
          </w:p>
        </w:tc>
        <w:tc>
          <w:tcPr>
            <w:tcBorders>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1.400.000,00</w:t>
            </w:r>
          </w:p>
        </w:tc>
      </w:tr>
      <w:tr>
        <w:trPr>
          <w:trHeight w:val="269"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580" w:right="0" w:firstLine="20"/>
              <w:jc w:val="left"/>
            </w:pPr>
            <w:r>
              <w:rPr>
                <w:rFonts w:ascii="Arial" w:eastAsia="Arial" w:hAnsi="Arial" w:cs="Arial"/>
                <w:b/>
                <w:bCs/>
                <w:color w:val="000000"/>
                <w:spacing w:val="0"/>
                <w:w w:val="100"/>
                <w:position w:val="0"/>
                <w:shd w:val="clear" w:color="auto" w:fill="auto"/>
                <w:lang w:val="pt-PT" w:eastAsia="pt-PT" w:bidi="pt-PT"/>
              </w:rPr>
              <w:t>TOTAL</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2.800.000,00</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TOTAL</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2.800.000,00</w:t>
            </w:r>
          </w:p>
        </w:tc>
      </w:tr>
    </w:tbl>
    <w:p>
      <w:pPr>
        <w:pStyle w:val="Style33"/>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Notas:</w:t>
      </w:r>
    </w:p>
    <w:p>
      <w:pPr>
        <w:widowControl w:val="0"/>
        <w:spacing w:after="2479" w:line="1" w:lineRule="exact"/>
      </w:pPr>
    </w:p>
    <w:p>
      <w:pPr>
        <w:pStyle w:val="Style29"/>
        <w:keepNext w:val="0"/>
        <w:keepLines w:val="0"/>
        <w:widowControl w:val="0"/>
        <w:shd w:val="clear" w:color="auto" w:fill="auto"/>
        <w:bidi w:val="0"/>
        <w:spacing w:before="0" w:after="0" w:line="240" w:lineRule="auto"/>
        <w:ind w:left="1180" w:right="0" w:firstLine="0"/>
        <w:jc w:val="left"/>
      </w:pPr>
      <w:r>
        <mc:AlternateContent>
          <mc:Choice Requires="wps">
            <w:drawing>
              <wp:anchor distT="0" distB="0" distL="114300" distR="114300" simplePos="0" relativeHeight="125829393" behindDoc="0" locked="0" layoutInCell="1" allowOverlap="1">
                <wp:simplePos x="0" y="0"/>
                <wp:positionH relativeFrom="page">
                  <wp:posOffset>4636770</wp:posOffset>
                </wp:positionH>
                <wp:positionV relativeFrom="paragraph">
                  <wp:posOffset>12700</wp:posOffset>
                </wp:positionV>
                <wp:extent cx="1377950" cy="280670"/>
                <wp:wrapSquare wrapText="left"/>
                <wp:docPr id="59" name="Shape 59"/>
                <a:graphic xmlns:a="http://schemas.openxmlformats.org/drawingml/2006/main">
                  <a:graphicData uri="http://schemas.microsoft.com/office/word/2010/wordprocessingShape">
                    <wps:wsp>
                      <wps:cNvSpPr txBox="1"/>
                      <wps:spPr>
                        <a:xfrm>
                          <a:ext cx="1377950" cy="28067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Dilson Marcos Kovalski</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wps:txbx>
                      <wps:bodyPr lIns="0" tIns="0" rIns="0" bIns="0">
                        <a:noAutoFit/>
                      </wps:bodyPr>
                    </wps:wsp>
                  </a:graphicData>
                </a:graphic>
              </wp:anchor>
            </w:drawing>
          </mc:Choice>
          <mc:Fallback>
            <w:pict>
              <v:shape id="_x0000_s1085" type="#_x0000_t202" style="position:absolute;margin-left:365.10000000000002pt;margin-top:1.pt;width:108.5pt;height:22.100000000000001pt;z-index:-125829360;mso-wrap-distance-left:9.pt;mso-wrap-distance-right:9.pt;mso-position-horizontal-relative:page" filled="f" stroked="f">
                <v:textbox inset="0,0,0,0">
                  <w:txbxContent>
                    <w:p>
                      <w:pPr>
                        <w:pStyle w:val="Style2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Dilson Marcos Kovalski</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v:textbox>
                <w10:wrap type="square" side="left" anchorx="page"/>
              </v:shape>
            </w:pict>
          </mc:Fallback>
        </mc:AlternateContent>
      </w:r>
      <w:r>
        <w:rPr>
          <w:b/>
          <w:bCs/>
          <w:color w:val="000000"/>
          <w:spacing w:val="0"/>
          <w:w w:val="100"/>
          <w:position w:val="0"/>
          <w:shd w:val="clear" w:color="auto" w:fill="auto"/>
          <w:lang w:val="pt-PT" w:eastAsia="pt-PT" w:bidi="pt-PT"/>
        </w:rPr>
        <w:t>Macelly Cristina de Souza Veras</w:t>
      </w:r>
    </w:p>
    <w:p>
      <w:pPr>
        <w:pStyle w:val="Style16"/>
        <w:keepNext w:val="0"/>
        <w:keepLines w:val="0"/>
        <w:widowControl w:val="0"/>
        <w:shd w:val="clear" w:color="auto" w:fill="auto"/>
        <w:bidi w:val="0"/>
        <w:spacing w:before="0" w:after="300" w:line="240" w:lineRule="auto"/>
        <w:ind w:left="1760" w:right="0" w:firstLine="0"/>
        <w:jc w:val="left"/>
      </w:pPr>
      <w:r>
        <w:rPr>
          <w:color w:val="000000"/>
          <w:spacing w:val="0"/>
          <w:w w:val="100"/>
          <w:position w:val="0"/>
          <w:shd w:val="clear" w:color="auto" w:fill="auto"/>
          <w:lang w:val="pt-BR" w:eastAsia="pt-BR" w:bidi="pt-BR"/>
        </w:rPr>
        <w:t xml:space="preserve">Prefeita </w:t>
      </w:r>
      <w:r>
        <w:rPr>
          <w:color w:val="000000"/>
          <w:spacing w:val="0"/>
          <w:w w:val="100"/>
          <w:position w:val="0"/>
          <w:shd w:val="clear" w:color="auto" w:fill="auto"/>
          <w:lang w:val="pt-PT" w:eastAsia="pt-PT" w:bidi="pt-PT"/>
        </w:rPr>
        <w:t>Municipal</w:t>
      </w:r>
      <w:r>
        <w:br w:type="page"/>
      </w:r>
    </w:p>
    <w:p>
      <w:pPr>
        <w:pStyle w:val="Style29"/>
        <w:keepNext w:val="0"/>
        <w:keepLines w:val="0"/>
        <w:widowControl w:val="0"/>
        <w:shd w:val="clear" w:color="auto" w:fill="auto"/>
        <w:bidi w:val="0"/>
        <w:spacing w:before="0" w:after="0" w:line="240" w:lineRule="auto"/>
        <w:ind w:left="2320" w:right="0" w:firstLine="20"/>
        <w:jc w:val="left"/>
      </w:pPr>
      <w:r>
        <w:rPr>
          <w:color w:val="000000"/>
          <w:spacing w:val="0"/>
          <w:w w:val="100"/>
          <w:position w:val="0"/>
          <w:shd w:val="clear" w:color="auto" w:fill="auto"/>
          <w:lang w:val="pt-PT" w:eastAsia="pt-PT" w:bidi="pt-PT"/>
        </w:rPr>
        <w:t>ESTADO DO AMAZONAS</w:t>
      </w:r>
    </w:p>
    <w:p>
      <w:pPr>
        <w:pStyle w:val="Style29"/>
        <w:keepNext w:val="0"/>
        <w:keepLines w:val="0"/>
        <w:widowControl w:val="0"/>
        <w:shd w:val="clear" w:color="auto" w:fill="auto"/>
        <w:bidi w:val="0"/>
        <w:spacing w:before="0" w:after="0" w:line="233" w:lineRule="auto"/>
        <w:ind w:left="2320" w:right="0" w:firstLine="20"/>
        <w:jc w:val="left"/>
      </w:pPr>
      <w:r>
        <w:rPr>
          <w:color w:val="000000"/>
          <w:spacing w:val="0"/>
          <w:w w:val="100"/>
          <w:position w:val="0"/>
          <w:shd w:val="clear" w:color="auto" w:fill="auto"/>
          <w:lang w:val="pt-PT" w:eastAsia="pt-PT" w:bidi="pt-PT"/>
        </w:rPr>
        <w:t xml:space="preserve">LEI DE DIRETRIZES </w:t>
      </w:r>
      <w:r>
        <w:rPr>
          <w:color w:val="000000"/>
          <w:spacing w:val="0"/>
          <w:w w:val="100"/>
          <w:position w:val="0"/>
          <w:shd w:val="clear" w:color="auto" w:fill="auto"/>
          <w:lang w:val="pt-BR" w:eastAsia="pt-BR" w:bidi="pt-BR"/>
        </w:rPr>
        <w:t xml:space="preserve">ORÇAMENTÁRIAS </w:t>
      </w:r>
      <w:r>
        <w:rPr>
          <w:color w:val="000000"/>
          <w:spacing w:val="0"/>
          <w:w w:val="100"/>
          <w:position w:val="0"/>
          <w:shd w:val="clear" w:color="auto" w:fill="auto"/>
          <w:lang w:val="pt-PT" w:eastAsia="pt-PT" w:bidi="pt-PT"/>
        </w:rPr>
        <w:t>- 2026</w:t>
      </w:r>
    </w:p>
    <w:p>
      <w:pPr>
        <w:pStyle w:val="Style29"/>
        <w:keepNext w:val="0"/>
        <w:keepLines w:val="0"/>
        <w:widowControl w:val="0"/>
        <w:shd w:val="clear" w:color="auto" w:fill="auto"/>
        <w:bidi w:val="0"/>
        <w:spacing w:before="0" w:after="0" w:line="233" w:lineRule="auto"/>
        <w:ind w:left="2320" w:right="0" w:firstLine="20"/>
        <w:jc w:val="left"/>
      </w:pPr>
      <w:r>
        <w:rPr>
          <w:color w:val="000000"/>
          <w:spacing w:val="0"/>
          <w:w w:val="100"/>
          <w:position w:val="0"/>
          <w:shd w:val="clear" w:color="auto" w:fill="auto"/>
          <w:lang w:val="pt-PT" w:eastAsia="pt-PT" w:bidi="pt-PT"/>
        </w:rPr>
        <w:t>ANEXO DE METAS FISCAIS</w:t>
      </w:r>
    </w:p>
    <w:p>
      <w:pPr>
        <w:pStyle w:val="Style29"/>
        <w:keepNext w:val="0"/>
        <w:keepLines w:val="0"/>
        <w:widowControl w:val="0"/>
        <w:shd w:val="clear" w:color="auto" w:fill="auto"/>
        <w:bidi w:val="0"/>
        <w:spacing w:before="0" w:after="320" w:line="233" w:lineRule="auto"/>
        <w:ind w:left="2320" w:right="0" w:firstLine="20"/>
        <w:jc w:val="left"/>
      </w:pPr>
      <w:r>
        <mc:AlternateContent>
          <mc:Choice Requires="wps">
            <w:drawing>
              <wp:anchor distT="0" distB="198120" distL="166370" distR="132715" simplePos="0" relativeHeight="125829395" behindDoc="0" locked="0" layoutInCell="1" allowOverlap="1">
                <wp:simplePos x="0" y="0"/>
                <wp:positionH relativeFrom="page">
                  <wp:posOffset>4719320</wp:posOffset>
                </wp:positionH>
                <wp:positionV relativeFrom="paragraph">
                  <wp:posOffset>5842000</wp:posOffset>
                </wp:positionV>
                <wp:extent cx="1304290" cy="155575"/>
                <wp:wrapSquare wrapText="left"/>
                <wp:docPr id="61" name="Shape 61"/>
                <a:graphic xmlns:a="http://schemas.openxmlformats.org/drawingml/2006/main">
                  <a:graphicData uri="http://schemas.microsoft.com/office/word/2010/wordprocessingShape">
                    <wps:wsp>
                      <wps:cNvSpPr txBox="1"/>
                      <wps:spPr>
                        <a:xfrm>
                          <a:ext cx="1304290" cy="15557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Dilson Marcos Kovalski</w:t>
                            </w:r>
                          </w:p>
                        </w:txbxContent>
                      </wps:txbx>
                      <wps:bodyPr wrap="none" lIns="0" tIns="0" rIns="0" bIns="0">
                        <a:noAutoFit/>
                      </wps:bodyPr>
                    </wps:wsp>
                  </a:graphicData>
                </a:graphic>
              </wp:anchor>
            </w:drawing>
          </mc:Choice>
          <mc:Fallback>
            <w:pict>
              <v:shape id="_x0000_s1087" type="#_x0000_t202" style="position:absolute;margin-left:371.60000000000002pt;margin-top:460.pt;width:102.7pt;height:12.25pt;z-index:-125829358;mso-wrap-distance-left:13.1pt;mso-wrap-distance-right:10.449999999999999pt;mso-wrap-distance-bottom:15.6pt;mso-position-horizontal-relative:page" filled="f" stroked="f">
                <v:textbox inset="0,0,0,0">
                  <w:txbxContent>
                    <w:p>
                      <w:pPr>
                        <w:pStyle w:val="Style2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Dilson Marcos Kovalski</w:t>
                      </w:r>
                    </w:p>
                  </w:txbxContent>
                </v:textbox>
                <w10:wrap type="square" side="left" anchorx="page"/>
              </v:shape>
            </w:pict>
          </mc:Fallback>
        </mc:AlternateContent>
      </w:r>
      <w:r>
        <mc:AlternateContent>
          <mc:Choice Requires="wps">
            <w:drawing>
              <wp:anchor distT="213360" distB="0" distL="114300" distR="114300" simplePos="0" relativeHeight="125829397" behindDoc="0" locked="0" layoutInCell="1" allowOverlap="1">
                <wp:simplePos x="0" y="0"/>
                <wp:positionH relativeFrom="page">
                  <wp:posOffset>4667250</wp:posOffset>
                </wp:positionH>
                <wp:positionV relativeFrom="paragraph">
                  <wp:posOffset>6055360</wp:posOffset>
                </wp:positionV>
                <wp:extent cx="1374775" cy="140335"/>
                <wp:wrapSquare wrapText="left"/>
                <wp:docPr id="63" name="Shape 63"/>
                <a:graphic xmlns:a="http://schemas.openxmlformats.org/drawingml/2006/main">
                  <a:graphicData uri="http://schemas.microsoft.com/office/word/2010/wordprocessingShape">
                    <wps:wsp>
                      <wps:cNvSpPr txBox="1"/>
                      <wps:spPr>
                        <a:xfrm>
                          <a:ext cx="1374775" cy="14033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wps:txbx>
                      <wps:bodyPr wrap="none" lIns="0" tIns="0" rIns="0" bIns="0">
                        <a:noAutoFit/>
                      </wps:bodyPr>
                    </wps:wsp>
                  </a:graphicData>
                </a:graphic>
              </wp:anchor>
            </w:drawing>
          </mc:Choice>
          <mc:Fallback>
            <w:pict>
              <v:shape id="_x0000_s1089" type="#_x0000_t202" style="position:absolute;margin-left:367.5pt;margin-top:476.80000000000001pt;width:108.25pt;height:11.050000000000001pt;z-index:-125829356;mso-wrap-distance-left:9.pt;mso-wrap-distance-top:16.800000000000001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v:textbox>
                <w10:wrap type="square" side="left" anchorx="page"/>
              </v:shape>
            </w:pict>
          </mc:Fallback>
        </mc:AlternateContent>
      </w:r>
      <w:r>
        <w:rPr>
          <w:color w:val="000000"/>
          <w:spacing w:val="0"/>
          <w:w w:val="100"/>
          <w:position w:val="0"/>
          <w:shd w:val="clear" w:color="auto" w:fill="auto"/>
          <w:lang w:val="pt-PT" w:eastAsia="pt-PT" w:bidi="pt-PT"/>
        </w:rPr>
        <w:t>Demonstrativo I - Metas Anuais</w:t>
      </w:r>
    </w:p>
    <w:p>
      <w:pPr>
        <w:pStyle w:val="Style33"/>
        <w:keepNext w:val="0"/>
        <w:keepLines w:val="0"/>
        <w:widowControl w:val="0"/>
        <w:shd w:val="clear" w:color="auto" w:fill="auto"/>
        <w:tabs>
          <w:tab w:pos="14482" w:val="left"/>
        </w:tabs>
        <w:bidi w:val="0"/>
        <w:spacing w:before="0" w:after="0" w:line="240" w:lineRule="auto"/>
        <w:ind w:left="0" w:right="0" w:firstLine="0"/>
        <w:jc w:val="both"/>
      </w:pPr>
      <w:r>
        <w:rPr>
          <w:color w:val="000000"/>
          <w:spacing w:val="0"/>
          <w:w w:val="100"/>
          <w:position w:val="0"/>
          <w:shd w:val="clear" w:color="auto" w:fill="auto"/>
          <w:lang w:val="pt-PT" w:eastAsia="pt-PT" w:bidi="pt-PT"/>
        </w:rPr>
        <w:t>AMF - Tabela 1 (LRF, art. 4°, §1°)</w:t>
        <w:tab/>
        <w:t>(R$)</w:t>
      </w:r>
    </w:p>
    <w:tbl>
      <w:tblPr>
        <w:tblOverlap w:val="never"/>
        <w:jc w:val="center"/>
        <w:tblLayout w:type="fixed"/>
      </w:tblPr>
      <w:tblGrid>
        <w:gridCol w:w="2525"/>
        <w:gridCol w:w="1392"/>
        <w:gridCol w:w="1320"/>
        <w:gridCol w:w="730"/>
        <w:gridCol w:w="710"/>
        <w:gridCol w:w="1387"/>
        <w:gridCol w:w="1349"/>
        <w:gridCol w:w="624"/>
        <w:gridCol w:w="715"/>
        <w:gridCol w:w="1320"/>
        <w:gridCol w:w="1306"/>
        <w:gridCol w:w="638"/>
        <w:gridCol w:w="816"/>
      </w:tblGrid>
      <w:tr>
        <w:trPr>
          <w:trHeight w:val="293"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ESPECIFICAÇÃO</w:t>
            </w:r>
          </w:p>
        </w:tc>
        <w:tc>
          <w:tcPr>
            <w:gridSpan w:val="4"/>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gridSpan w:val="4"/>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gridSpan w:val="4"/>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r>
      <w:tr>
        <w:trPr>
          <w:trHeight w:val="802" w:hRule="exact"/>
        </w:trPr>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Valor</w:t>
            </w:r>
          </w:p>
          <w:p>
            <w:pPr>
              <w:pStyle w:val="Style23"/>
              <w:keepNext w:val="0"/>
              <w:keepLines w:val="0"/>
              <w:widowControl w:val="0"/>
              <w:shd w:val="clear" w:color="auto" w:fill="auto"/>
              <w:bidi w:val="0"/>
              <w:spacing w:before="0" w:after="8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Corrente</w:t>
            </w:r>
          </w:p>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Valor Constante</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both"/>
            </w:pPr>
            <w:r>
              <w:rPr>
                <w:rFonts w:ascii="Arial" w:eastAsia="Arial" w:hAnsi="Arial" w:cs="Arial"/>
                <w:b/>
                <w:bCs/>
                <w:color w:val="000000"/>
                <w:spacing w:val="0"/>
                <w:w w:val="100"/>
                <w:position w:val="0"/>
                <w:sz w:val="20"/>
                <w:szCs w:val="20"/>
                <w:shd w:val="clear" w:color="auto" w:fill="auto"/>
                <w:lang w:val="pt-PT" w:eastAsia="pt-PT" w:bidi="pt-PT"/>
              </w:rPr>
              <w:t xml:space="preserve">% </w:t>
            </w:r>
            <w:r>
              <w:rPr>
                <w:rFonts w:ascii="Arial" w:eastAsia="Arial" w:hAnsi="Arial" w:cs="Arial"/>
                <w:b/>
                <w:bCs/>
                <w:color w:val="000000"/>
                <w:spacing w:val="0"/>
                <w:w w:val="100"/>
                <w:position w:val="0"/>
                <w:sz w:val="20"/>
                <w:szCs w:val="20"/>
                <w:shd w:val="clear" w:color="auto" w:fill="auto"/>
                <w:lang w:val="pt-BR" w:eastAsia="pt-BR" w:bidi="pt-BR"/>
              </w:rPr>
              <w:t xml:space="preserve">PIB </w:t>
            </w:r>
            <w:r>
              <w:rPr>
                <w:rFonts w:ascii="Arial" w:eastAsia="Arial" w:hAnsi="Arial" w:cs="Arial"/>
                <w:b/>
                <w:bCs/>
                <w:color w:val="000000"/>
                <w:spacing w:val="0"/>
                <w:w w:val="100"/>
                <w:position w:val="0"/>
                <w:shd w:val="clear" w:color="auto" w:fill="auto"/>
                <w:lang w:val="pt-PT" w:eastAsia="pt-PT" w:bidi="pt-PT"/>
              </w:rPr>
              <w:t>(a/PIB)</w:t>
            </w:r>
          </w:p>
          <w:p>
            <w:pPr>
              <w:pStyle w:val="Style23"/>
              <w:keepNext w:val="0"/>
              <w:keepLines w:val="0"/>
              <w:widowControl w:val="0"/>
              <w:shd w:val="clear" w:color="auto" w:fill="auto"/>
              <w:bidi w:val="0"/>
              <w:spacing w:before="0" w:after="0" w:line="262"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x 100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z w:val="20"/>
                <w:szCs w:val="20"/>
                <w:shd w:val="clear" w:color="auto" w:fill="auto"/>
                <w:lang w:val="pt-PT" w:eastAsia="pt-PT" w:bidi="pt-PT"/>
              </w:rPr>
              <w:t xml:space="preserve">% RCL </w:t>
            </w:r>
            <w:r>
              <w:rPr>
                <w:rFonts w:ascii="Arial" w:eastAsia="Arial" w:hAnsi="Arial" w:cs="Arial"/>
                <w:b/>
                <w:bCs/>
                <w:color w:val="000000"/>
                <w:spacing w:val="0"/>
                <w:w w:val="100"/>
                <w:position w:val="0"/>
                <w:shd w:val="clear" w:color="auto" w:fill="auto"/>
                <w:lang w:val="pt-PT" w:eastAsia="pt-PT" w:bidi="pt-PT"/>
              </w:rPr>
              <w:t>(a/RCL) x 100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60" w:right="0" w:firstLine="0"/>
              <w:jc w:val="center"/>
            </w:pPr>
            <w:r>
              <w:rPr>
                <w:rFonts w:ascii="Arial" w:eastAsia="Arial" w:hAnsi="Arial" w:cs="Arial"/>
                <w:b/>
                <w:bCs/>
                <w:color w:val="000000"/>
                <w:spacing w:val="0"/>
                <w:w w:val="100"/>
                <w:position w:val="0"/>
                <w:shd w:val="clear" w:color="auto" w:fill="auto"/>
                <w:lang w:val="pt-PT" w:eastAsia="pt-PT" w:bidi="pt-PT"/>
              </w:rPr>
              <w:t>Valor</w:t>
            </w:r>
          </w:p>
          <w:p>
            <w:pPr>
              <w:pStyle w:val="Style23"/>
              <w:keepNext w:val="0"/>
              <w:keepLines w:val="0"/>
              <w:widowControl w:val="0"/>
              <w:shd w:val="clear" w:color="auto" w:fill="auto"/>
              <w:bidi w:val="0"/>
              <w:spacing w:before="0" w:after="8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Corrente</w:t>
            </w:r>
          </w:p>
          <w:p>
            <w:pPr>
              <w:pStyle w:val="Style23"/>
              <w:keepNext w:val="0"/>
              <w:keepLines w:val="0"/>
              <w:widowControl w:val="0"/>
              <w:shd w:val="clear" w:color="auto" w:fill="auto"/>
              <w:bidi w:val="0"/>
              <w:spacing w:before="0" w:after="0" w:line="240" w:lineRule="auto"/>
              <w:ind w:left="0" w:right="40" w:firstLine="0"/>
              <w:jc w:val="center"/>
            </w:pPr>
            <w:r>
              <w:rPr>
                <w:rFonts w:ascii="Arial" w:eastAsia="Arial" w:hAnsi="Arial" w:cs="Arial"/>
                <w:b/>
                <w:bCs/>
                <w:color w:val="000000"/>
                <w:spacing w:val="0"/>
                <w:w w:val="100"/>
                <w:position w:val="0"/>
                <w:shd w:val="clear" w:color="auto" w:fill="auto"/>
                <w:lang w:val="pt-PT" w:eastAsia="pt-PT" w:bidi="pt-PT"/>
              </w:rPr>
              <w:t>(b)</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Valor</w:t>
            </w:r>
          </w:p>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Constante</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both"/>
            </w:pPr>
            <w:r>
              <w:rPr>
                <w:rFonts w:ascii="Arial" w:eastAsia="Arial" w:hAnsi="Arial" w:cs="Arial"/>
                <w:b/>
                <w:bCs/>
                <w:color w:val="000000"/>
                <w:spacing w:val="0"/>
                <w:w w:val="100"/>
                <w:position w:val="0"/>
                <w:sz w:val="20"/>
                <w:szCs w:val="20"/>
                <w:shd w:val="clear" w:color="auto" w:fill="auto"/>
                <w:lang w:val="pt-PT" w:eastAsia="pt-PT" w:bidi="pt-PT"/>
              </w:rPr>
              <w:t xml:space="preserve">% </w:t>
            </w:r>
            <w:r>
              <w:rPr>
                <w:rFonts w:ascii="Arial" w:eastAsia="Arial" w:hAnsi="Arial" w:cs="Arial"/>
                <w:b/>
                <w:bCs/>
                <w:color w:val="000000"/>
                <w:spacing w:val="0"/>
                <w:w w:val="100"/>
                <w:position w:val="0"/>
                <w:sz w:val="20"/>
                <w:szCs w:val="20"/>
                <w:shd w:val="clear" w:color="auto" w:fill="auto"/>
                <w:lang w:val="pt-BR" w:eastAsia="pt-BR" w:bidi="pt-BR"/>
              </w:rPr>
              <w:t xml:space="preserve">PIB </w:t>
            </w:r>
            <w:r>
              <w:rPr>
                <w:rFonts w:ascii="Arial" w:eastAsia="Arial" w:hAnsi="Arial" w:cs="Arial"/>
                <w:b/>
                <w:bCs/>
                <w:color w:val="000000"/>
                <w:spacing w:val="0"/>
                <w:w w:val="100"/>
                <w:position w:val="0"/>
                <w:shd w:val="clear" w:color="auto" w:fill="auto"/>
                <w:lang w:val="pt-PT" w:eastAsia="pt-PT" w:bidi="pt-PT"/>
              </w:rPr>
              <w:t>(b/PIB)</w:t>
            </w:r>
          </w:p>
          <w:p>
            <w:pPr>
              <w:pStyle w:val="Style23"/>
              <w:keepNext w:val="0"/>
              <w:keepLines w:val="0"/>
              <w:widowControl w:val="0"/>
              <w:shd w:val="clear" w:color="auto" w:fill="auto"/>
              <w:bidi w:val="0"/>
              <w:spacing w:before="0" w:after="0" w:line="262" w:lineRule="auto"/>
              <w:ind w:left="0" w:right="0" w:firstLine="0"/>
              <w:jc w:val="left"/>
            </w:pPr>
            <w:r>
              <w:rPr>
                <w:rFonts w:ascii="Arial" w:eastAsia="Arial" w:hAnsi="Arial" w:cs="Arial"/>
                <w:b/>
                <w:bCs/>
                <w:color w:val="000000"/>
                <w:spacing w:val="0"/>
                <w:w w:val="100"/>
                <w:position w:val="0"/>
                <w:shd w:val="clear" w:color="auto" w:fill="auto"/>
                <w:lang w:val="pt-PT" w:eastAsia="pt-PT" w:bidi="pt-PT"/>
              </w:rPr>
              <w:t>x 100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both"/>
            </w:pPr>
            <w:r>
              <w:rPr>
                <w:rFonts w:ascii="Arial" w:eastAsia="Arial" w:hAnsi="Arial" w:cs="Arial"/>
                <w:b/>
                <w:bCs/>
                <w:color w:val="000000"/>
                <w:spacing w:val="0"/>
                <w:w w:val="100"/>
                <w:position w:val="0"/>
                <w:sz w:val="20"/>
                <w:szCs w:val="20"/>
                <w:shd w:val="clear" w:color="auto" w:fill="auto"/>
                <w:lang w:val="pt-PT" w:eastAsia="pt-PT" w:bidi="pt-PT"/>
              </w:rPr>
              <w:t xml:space="preserve">% RCL </w:t>
            </w:r>
            <w:r>
              <w:rPr>
                <w:rFonts w:ascii="Arial" w:eastAsia="Arial" w:hAnsi="Arial" w:cs="Arial"/>
                <w:b/>
                <w:bCs/>
                <w:color w:val="000000"/>
                <w:spacing w:val="0"/>
                <w:w w:val="100"/>
                <w:position w:val="0"/>
                <w:shd w:val="clear" w:color="auto" w:fill="auto"/>
                <w:lang w:val="pt-PT" w:eastAsia="pt-PT" w:bidi="pt-PT"/>
              </w:rPr>
              <w:t>(b/RCL)</w:t>
            </w:r>
          </w:p>
          <w:p>
            <w:pPr>
              <w:pStyle w:val="Style23"/>
              <w:keepNext w:val="0"/>
              <w:keepLines w:val="0"/>
              <w:widowControl w:val="0"/>
              <w:shd w:val="clear" w:color="auto" w:fill="auto"/>
              <w:bidi w:val="0"/>
              <w:spacing w:before="0" w:after="0" w:line="262"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x 100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b/>
                <w:bCs/>
                <w:color w:val="000000"/>
                <w:spacing w:val="0"/>
                <w:w w:val="100"/>
                <w:position w:val="0"/>
                <w:shd w:val="clear" w:color="auto" w:fill="auto"/>
                <w:lang w:val="pt-PT" w:eastAsia="pt-PT" w:bidi="pt-PT"/>
              </w:rPr>
              <w:t>Valor</w:t>
            </w:r>
          </w:p>
          <w:p>
            <w:pPr>
              <w:pStyle w:val="Style23"/>
              <w:keepNext w:val="0"/>
              <w:keepLines w:val="0"/>
              <w:widowControl w:val="0"/>
              <w:shd w:val="clear" w:color="auto" w:fill="auto"/>
              <w:bidi w:val="0"/>
              <w:spacing w:before="0" w:after="80" w:line="240" w:lineRule="auto"/>
              <w:ind w:left="160" w:right="0" w:firstLine="0"/>
              <w:jc w:val="center"/>
            </w:pPr>
            <w:r>
              <w:rPr>
                <w:rFonts w:ascii="Arial" w:eastAsia="Arial" w:hAnsi="Arial" w:cs="Arial"/>
                <w:b/>
                <w:bCs/>
                <w:color w:val="000000"/>
                <w:spacing w:val="0"/>
                <w:w w:val="100"/>
                <w:position w:val="0"/>
                <w:shd w:val="clear" w:color="auto" w:fill="auto"/>
                <w:lang w:val="pt-PT" w:eastAsia="pt-PT" w:bidi="pt-PT"/>
              </w:rPr>
              <w:t>Corrente</w:t>
            </w:r>
          </w:p>
          <w:p>
            <w:pPr>
              <w:pStyle w:val="Style23"/>
              <w:keepNext w:val="0"/>
              <w:keepLines w:val="0"/>
              <w:widowControl w:val="0"/>
              <w:shd w:val="clear" w:color="auto" w:fill="auto"/>
              <w:bidi w:val="0"/>
              <w:spacing w:before="0" w:after="0" w:line="240" w:lineRule="auto"/>
              <w:ind w:left="0" w:right="20" w:firstLine="0"/>
              <w:jc w:val="center"/>
            </w:pPr>
            <w:r>
              <w:rPr>
                <w:rFonts w:ascii="Arial" w:eastAsia="Arial" w:hAnsi="Arial" w:cs="Arial"/>
                <w:b/>
                <w:bCs/>
                <w:color w:val="000000"/>
                <w:spacing w:val="0"/>
                <w:w w:val="100"/>
                <w:position w:val="0"/>
                <w:shd w:val="clear" w:color="auto" w:fill="auto"/>
                <w:lang w:val="pt-PT" w:eastAsia="pt-PT" w:bidi="pt-PT"/>
              </w:rPr>
              <w:t>(c)</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Valor</w:t>
            </w:r>
          </w:p>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Constante</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both"/>
            </w:pPr>
            <w:r>
              <w:rPr>
                <w:rFonts w:ascii="Arial" w:eastAsia="Arial" w:hAnsi="Arial" w:cs="Arial"/>
                <w:b/>
                <w:bCs/>
                <w:color w:val="000000"/>
                <w:spacing w:val="0"/>
                <w:w w:val="100"/>
                <w:position w:val="0"/>
                <w:sz w:val="20"/>
                <w:szCs w:val="20"/>
                <w:shd w:val="clear" w:color="auto" w:fill="auto"/>
                <w:lang w:val="pt-PT" w:eastAsia="pt-PT" w:bidi="pt-PT"/>
              </w:rPr>
              <w:t xml:space="preserve">% </w:t>
            </w:r>
            <w:r>
              <w:rPr>
                <w:rFonts w:ascii="Arial" w:eastAsia="Arial" w:hAnsi="Arial" w:cs="Arial"/>
                <w:b/>
                <w:bCs/>
                <w:color w:val="000000"/>
                <w:spacing w:val="0"/>
                <w:w w:val="100"/>
                <w:position w:val="0"/>
                <w:sz w:val="20"/>
                <w:szCs w:val="20"/>
                <w:shd w:val="clear" w:color="auto" w:fill="auto"/>
                <w:lang w:val="pt-BR" w:eastAsia="pt-BR" w:bidi="pt-BR"/>
              </w:rPr>
              <w:t xml:space="preserve">PIB </w:t>
            </w:r>
            <w:r>
              <w:rPr>
                <w:rFonts w:ascii="Arial" w:eastAsia="Arial" w:hAnsi="Arial" w:cs="Arial"/>
                <w:b/>
                <w:bCs/>
                <w:color w:val="000000"/>
                <w:spacing w:val="0"/>
                <w:w w:val="100"/>
                <w:position w:val="0"/>
                <w:shd w:val="clear" w:color="auto" w:fill="auto"/>
                <w:lang w:val="pt-PT" w:eastAsia="pt-PT" w:bidi="pt-PT"/>
              </w:rPr>
              <w:t>(c/PIB)</w:t>
            </w:r>
          </w:p>
          <w:p>
            <w:pPr>
              <w:pStyle w:val="Style23"/>
              <w:keepNext w:val="0"/>
              <w:keepLines w:val="0"/>
              <w:widowControl w:val="0"/>
              <w:shd w:val="clear" w:color="auto" w:fill="auto"/>
              <w:bidi w:val="0"/>
              <w:spacing w:before="0" w:after="0" w:line="262"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x 100</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both"/>
            </w:pPr>
            <w:r>
              <w:rPr>
                <w:rFonts w:ascii="Arial" w:eastAsia="Arial" w:hAnsi="Arial" w:cs="Arial"/>
                <w:b/>
                <w:bCs/>
                <w:color w:val="000000"/>
                <w:spacing w:val="0"/>
                <w:w w:val="100"/>
                <w:position w:val="0"/>
                <w:sz w:val="20"/>
                <w:szCs w:val="20"/>
                <w:shd w:val="clear" w:color="auto" w:fill="auto"/>
                <w:lang w:val="pt-PT" w:eastAsia="pt-PT" w:bidi="pt-PT"/>
              </w:rPr>
              <w:t xml:space="preserve">% RCL </w:t>
            </w:r>
            <w:r>
              <w:rPr>
                <w:rFonts w:ascii="Arial" w:eastAsia="Arial" w:hAnsi="Arial" w:cs="Arial"/>
                <w:b/>
                <w:bCs/>
                <w:color w:val="000000"/>
                <w:spacing w:val="0"/>
                <w:w w:val="100"/>
                <w:position w:val="0"/>
                <w:shd w:val="clear" w:color="auto" w:fill="auto"/>
                <w:lang w:val="pt-PT" w:eastAsia="pt-PT" w:bidi="pt-PT"/>
              </w:rPr>
              <w:t>(c/RCL)</w:t>
            </w:r>
          </w:p>
          <w:p>
            <w:pPr>
              <w:pStyle w:val="Style23"/>
              <w:keepNext w:val="0"/>
              <w:keepLines w:val="0"/>
              <w:widowControl w:val="0"/>
              <w:shd w:val="clear" w:color="auto" w:fill="auto"/>
              <w:bidi w:val="0"/>
              <w:spacing w:before="0" w:after="0" w:line="257"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x 100</w:t>
            </w:r>
          </w:p>
        </w:tc>
      </w:tr>
      <w:tr>
        <w:trPr>
          <w:trHeight w:val="240"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Receita Total</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304.065.049,10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292.314.025,28</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0,204</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1,528</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40" w:firstLine="0"/>
              <w:jc w:val="center"/>
            </w:pPr>
            <w:r>
              <w:rPr>
                <w:rFonts w:ascii="Arial" w:eastAsia="Arial" w:hAnsi="Arial" w:cs="Arial"/>
                <w:color w:val="000000"/>
                <w:spacing w:val="0"/>
                <w:w w:val="100"/>
                <w:position w:val="0"/>
                <w:shd w:val="clear" w:color="auto" w:fill="auto"/>
                <w:lang w:val="pt-PT" w:eastAsia="pt-PT" w:bidi="pt-PT"/>
              </w:rPr>
              <w:t>316.227.651,08</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292.933.573,33</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0,205</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1,531</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328.244.301,83</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293.216.641,80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0,205</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pPr>
            <w:r>
              <w:rPr>
                <w:rFonts w:ascii="Arial" w:eastAsia="Arial" w:hAnsi="Arial" w:cs="Arial"/>
                <w:color w:val="000000"/>
                <w:spacing w:val="0"/>
                <w:w w:val="100"/>
                <w:position w:val="0"/>
                <w:shd w:val="clear" w:color="auto" w:fill="auto"/>
                <w:lang w:val="pt-PT" w:eastAsia="pt-PT" w:bidi="pt-PT"/>
              </w:rPr>
              <w:t>1,533</w:t>
            </w:r>
          </w:p>
        </w:tc>
      </w:tr>
      <w:tr>
        <w:trPr>
          <w:trHeight w:val="27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Receitas Primárias ( 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294.396.006,73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283.018.656,73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0,198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1,480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40" w:firstLine="0"/>
              <w:jc w:val="center"/>
            </w:pPr>
            <w:r>
              <w:rPr>
                <w:rFonts w:ascii="Arial" w:eastAsia="Arial" w:hAnsi="Arial" w:cs="Arial"/>
                <w:color w:val="000000"/>
                <w:spacing w:val="0"/>
                <w:w w:val="100"/>
                <w:position w:val="0"/>
                <w:shd w:val="clear" w:color="auto" w:fill="auto"/>
                <w:lang w:val="pt-PT" w:eastAsia="pt-PT" w:bidi="pt-PT"/>
              </w:rPr>
              <w:t>306.182.003,56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283.627.912,00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0,198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1,483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317.823.226,92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283.907.622,35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0,199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pPr>
            <w:r>
              <w:rPr>
                <w:rFonts w:ascii="Arial" w:eastAsia="Arial" w:hAnsi="Arial" w:cs="Arial"/>
                <w:color w:val="000000"/>
                <w:spacing w:val="0"/>
                <w:w w:val="100"/>
                <w:position w:val="0"/>
                <w:shd w:val="clear" w:color="auto" w:fill="auto"/>
                <w:lang w:val="pt-PT" w:eastAsia="pt-PT" w:bidi="pt-PT"/>
              </w:rPr>
              <w:t>1,484</w:t>
            </w:r>
          </w:p>
        </w:tc>
      </w:tr>
      <w:tr>
        <w:trPr>
          <w:trHeight w:val="26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 Total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307.987.329,03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296.084.723,16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0,207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1,548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40" w:firstLine="0"/>
              <w:jc w:val="center"/>
            </w:pPr>
            <w:r>
              <w:rPr>
                <w:rFonts w:ascii="Arial" w:eastAsia="Arial" w:hAnsi="Arial" w:cs="Arial"/>
                <w:color w:val="000000"/>
                <w:spacing w:val="0"/>
                <w:w w:val="100"/>
                <w:position w:val="0"/>
                <w:shd w:val="clear" w:color="auto" w:fill="auto"/>
                <w:lang w:val="pt-PT" w:eastAsia="pt-PT" w:bidi="pt-PT"/>
              </w:rPr>
              <w:t>308.741.382,67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285.998.761,18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0,200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1,495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320.461.376,91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286.264.249,65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0,200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pPr>
            <w:r>
              <w:rPr>
                <w:rFonts w:ascii="Arial" w:eastAsia="Arial" w:hAnsi="Arial" w:cs="Arial"/>
                <w:color w:val="000000"/>
                <w:spacing w:val="0"/>
                <w:w w:val="100"/>
                <w:position w:val="0"/>
                <w:shd w:val="clear" w:color="auto" w:fill="auto"/>
                <w:lang w:val="pt-PT" w:eastAsia="pt-PT" w:bidi="pt-PT"/>
              </w:rPr>
              <w:t>1,497</w:t>
            </w:r>
          </w:p>
        </w:tc>
      </w:tr>
      <w:tr>
        <w:trPr>
          <w:trHeight w:val="27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Primárias ( II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302.047.133,46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290.374.094,85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0,203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1,518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40" w:firstLine="0"/>
              <w:jc w:val="center"/>
            </w:pPr>
            <w:r>
              <w:rPr>
                <w:rFonts w:ascii="Arial" w:eastAsia="Arial" w:hAnsi="Arial" w:cs="Arial"/>
                <w:color w:val="000000"/>
                <w:spacing w:val="0"/>
                <w:w w:val="100"/>
                <w:position w:val="0"/>
                <w:shd w:val="clear" w:color="auto" w:fill="auto"/>
                <w:lang w:val="pt-PT" w:eastAsia="pt-PT" w:bidi="pt-PT"/>
              </w:rPr>
              <w:t>306.723.579,28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284.129.593,97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0,199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1,485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318.366.897,00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284.393.276,22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0,199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pPr>
            <w:r>
              <w:rPr>
                <w:rFonts w:ascii="Arial" w:eastAsia="Arial" w:hAnsi="Arial" w:cs="Arial"/>
                <w:color w:val="000000"/>
                <w:spacing w:val="0"/>
                <w:w w:val="100"/>
                <w:position w:val="0"/>
                <w:shd w:val="clear" w:color="auto" w:fill="auto"/>
                <w:lang w:val="pt-PT" w:eastAsia="pt-PT" w:bidi="pt-PT"/>
              </w:rPr>
              <w:t>1,487</w:t>
            </w:r>
          </w:p>
        </w:tc>
      </w:tr>
      <w:tr>
        <w:trPr>
          <w:trHeight w:val="27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Resultado Primário (III)=(I-II)</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-7.651.126,73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-7.355.438,12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-0,039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-541.575,72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-501.681,97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 w:firstLine="0"/>
              <w:jc w:val="center"/>
            </w:pPr>
            <w:r>
              <w:rPr>
                <w:rFonts w:ascii="Arial" w:eastAsia="Arial" w:hAnsi="Arial" w:cs="Arial"/>
                <w:color w:val="000000"/>
                <w:spacing w:val="0"/>
                <w:w w:val="100"/>
                <w:position w:val="0"/>
                <w:shd w:val="clear" w:color="auto" w:fill="auto"/>
                <w:lang w:val="pt-PT" w:eastAsia="pt-PT" w:bidi="pt-PT"/>
              </w:rPr>
              <w:t>-543.670,08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-485.653,87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-0,003</w:t>
            </w:r>
          </w:p>
        </w:tc>
      </w:tr>
      <w:tr>
        <w:trPr>
          <w:trHeight w:val="27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Resultado Nominal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-5.961.282,21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-5.948.085,88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-0,030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1.205.706,03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1.116.890,87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 w:firstLine="0"/>
              <w:jc w:val="center"/>
            </w:pPr>
            <w:r>
              <w:rPr>
                <w:rFonts w:ascii="Arial" w:eastAsia="Arial" w:hAnsi="Arial" w:cs="Arial"/>
                <w:color w:val="000000"/>
                <w:spacing w:val="0"/>
                <w:w w:val="100"/>
                <w:position w:val="0"/>
                <w:shd w:val="clear" w:color="auto" w:fill="auto"/>
                <w:lang w:val="pt-PT" w:eastAsia="pt-PT" w:bidi="pt-PT"/>
              </w:rPr>
              <w:t>1.263.701,16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1.128.848,87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pPr>
            <w:r>
              <w:rPr>
                <w:rFonts w:ascii="Arial" w:eastAsia="Arial" w:hAnsi="Arial" w:cs="Arial"/>
                <w:color w:val="000000"/>
                <w:spacing w:val="0"/>
                <w:w w:val="100"/>
                <w:position w:val="0"/>
                <w:shd w:val="clear" w:color="auto" w:fill="auto"/>
                <w:lang w:val="pt-PT" w:eastAsia="pt-PT" w:bidi="pt-PT"/>
              </w:rPr>
              <w:t>0,006</w:t>
            </w:r>
          </w:p>
        </w:tc>
      </w:tr>
      <w:tr>
        <w:trPr>
          <w:trHeight w:val="26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Dívida Pública Consolidada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17.173.163,04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16.509.481,87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0,012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0,086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17.860.089,56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16.544.473,06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0,012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0,087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18.538.772,96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16.560.460,36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0,012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pPr>
            <w:r>
              <w:rPr>
                <w:rFonts w:ascii="Arial" w:eastAsia="Arial" w:hAnsi="Arial" w:cs="Arial"/>
                <w:color w:val="000000"/>
                <w:spacing w:val="0"/>
                <w:w w:val="100"/>
                <w:position w:val="0"/>
                <w:shd w:val="clear" w:color="auto" w:fill="auto"/>
                <w:lang w:val="pt-PT" w:eastAsia="pt-PT" w:bidi="pt-PT"/>
              </w:rPr>
              <w:t>0,087</w:t>
            </w:r>
          </w:p>
        </w:tc>
      </w:tr>
      <w:tr>
        <w:trPr>
          <w:trHeight w:val="25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Dívida Consolidada Líquida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-81.931.218,25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-78.764.870,46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-0,055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-0,412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40" w:firstLine="0"/>
              <w:jc w:val="center"/>
            </w:pPr>
            <w:r>
              <w:rPr>
                <w:rFonts w:ascii="Arial" w:eastAsia="Arial" w:hAnsi="Arial" w:cs="Arial"/>
                <w:color w:val="000000"/>
                <w:spacing w:val="0"/>
                <w:w w:val="100"/>
                <w:position w:val="0"/>
                <w:shd w:val="clear" w:color="auto" w:fill="auto"/>
                <w:lang w:val="pt-PT" w:eastAsia="pt-PT" w:bidi="pt-PT"/>
              </w:rPr>
              <w:t>-85.208.466,99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-78.931.809,50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-0,055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-0,413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-88.446.388,73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-79.008.083,12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-0,055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-0,413</w:t>
            </w:r>
          </w:p>
        </w:tc>
      </w:tr>
      <w:tr>
        <w:trPr>
          <w:trHeight w:val="485"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Receitas Primárias advindas</w:t>
            </w:r>
          </w:p>
          <w:p>
            <w:pPr>
              <w:pStyle w:val="Style23"/>
              <w:keepNext w:val="0"/>
              <w:keepLines w:val="0"/>
              <w:widowControl w:val="0"/>
              <w:shd w:val="clear" w:color="auto" w:fill="auto"/>
              <w:bidi w:val="0"/>
              <w:spacing w:before="0" w:after="0" w:line="233" w:lineRule="auto"/>
              <w:ind w:left="0" w:right="0" w:firstLine="0"/>
              <w:jc w:val="left"/>
            </w:pPr>
            <w:r>
              <w:rPr>
                <w:rFonts w:ascii="Arial" w:eastAsia="Arial" w:hAnsi="Arial" w:cs="Arial"/>
                <w:color w:val="000000"/>
                <w:spacing w:val="0"/>
                <w:w w:val="100"/>
                <w:position w:val="0"/>
                <w:shd w:val="clear" w:color="auto" w:fill="auto"/>
                <w:lang w:val="pt-PT" w:eastAsia="pt-PT" w:bidi="pt-PT"/>
              </w:rPr>
              <w:t>de PPP (IV)</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62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64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62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466"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Primárias</w:t>
            </w:r>
          </w:p>
          <w:p>
            <w:pPr>
              <w:pStyle w:val="Style23"/>
              <w:keepNext w:val="0"/>
              <w:keepLines w:val="0"/>
              <w:widowControl w:val="0"/>
              <w:shd w:val="clear" w:color="auto" w:fill="auto"/>
              <w:bidi w:val="0"/>
              <w:spacing w:before="0" w:after="0" w:line="233" w:lineRule="auto"/>
              <w:ind w:left="0" w:right="0" w:firstLine="0"/>
              <w:jc w:val="left"/>
            </w:pPr>
            <w:r>
              <w:rPr>
                <w:rFonts w:ascii="Arial" w:eastAsia="Arial" w:hAnsi="Arial" w:cs="Arial"/>
                <w:color w:val="000000"/>
                <w:spacing w:val="0"/>
                <w:w w:val="100"/>
                <w:position w:val="0"/>
                <w:shd w:val="clear" w:color="auto" w:fill="auto"/>
                <w:lang w:val="pt-PT" w:eastAsia="pt-PT" w:bidi="pt-PT"/>
              </w:rPr>
              <w:t>geradas por PPP (V)</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62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64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62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523" w:hRule="exact"/>
        </w:trPr>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33" w:lineRule="auto"/>
              <w:ind w:left="0" w:right="0" w:firstLine="0"/>
              <w:jc w:val="left"/>
            </w:pPr>
            <w:r>
              <w:rPr>
                <w:rFonts w:ascii="Arial" w:eastAsia="Arial" w:hAnsi="Arial" w:cs="Arial"/>
                <w:color w:val="000000"/>
                <w:spacing w:val="0"/>
                <w:w w:val="100"/>
                <w:position w:val="0"/>
                <w:shd w:val="clear" w:color="auto" w:fill="auto"/>
                <w:lang w:val="pt-PT" w:eastAsia="pt-PT" w:bidi="pt-PT"/>
              </w:rPr>
              <w:t>Impacto do saldo das PPP (VI) = (IV - V)</w:t>
            </w:r>
          </w:p>
        </w:tc>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62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64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62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bl>
    <w:p>
      <w:pPr>
        <w:widowControl w:val="0"/>
        <w:spacing w:line="1" w:lineRule="exact"/>
      </w:pPr>
    </w:p>
    <w:p>
      <w:pPr>
        <w:pStyle w:val="Style33"/>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Nota:</w:t>
      </w:r>
    </w:p>
    <w:p>
      <w:pPr>
        <w:pStyle w:val="Style33"/>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 xml:space="preserve">- O cálculo das metas acima descritas foi realizado </w:t>
      </w:r>
      <w:r>
        <w:rPr>
          <w:color w:val="000000"/>
          <w:spacing w:val="0"/>
          <w:w w:val="100"/>
          <w:position w:val="0"/>
          <w:sz w:val="18"/>
          <w:szCs w:val="18"/>
          <w:shd w:val="clear" w:color="auto" w:fill="auto"/>
          <w:lang w:val="pt-BR" w:eastAsia="pt-BR" w:bidi="pt-BR"/>
        </w:rPr>
        <w:t xml:space="preserve">considerando-se </w:t>
      </w:r>
      <w:r>
        <w:rPr>
          <w:color w:val="000000"/>
          <w:spacing w:val="0"/>
          <w:w w:val="100"/>
          <w:position w:val="0"/>
          <w:sz w:val="18"/>
          <w:szCs w:val="18"/>
          <w:shd w:val="clear" w:color="auto" w:fill="auto"/>
          <w:lang w:val="pt-PT" w:eastAsia="pt-PT" w:bidi="pt-PT"/>
        </w:rPr>
        <w:t xml:space="preserve">o seguinte cenário </w:t>
      </w:r>
      <w:r>
        <w:rPr>
          <w:color w:val="000000"/>
          <w:spacing w:val="0"/>
          <w:w w:val="100"/>
          <w:position w:val="0"/>
          <w:sz w:val="18"/>
          <w:szCs w:val="18"/>
          <w:shd w:val="clear" w:color="auto" w:fill="auto"/>
          <w:lang w:val="pt-BR" w:eastAsia="pt-BR" w:bidi="pt-BR"/>
        </w:rPr>
        <w:t>macroeconômico:</w:t>
      </w:r>
    </w:p>
    <w:tbl>
      <w:tblPr>
        <w:tblOverlap w:val="never"/>
        <w:jc w:val="left"/>
        <w:tblLayout w:type="fixed"/>
      </w:tblPr>
      <w:tblGrid>
        <w:gridCol w:w="6456"/>
        <w:gridCol w:w="2160"/>
        <w:gridCol w:w="2146"/>
        <w:gridCol w:w="2266"/>
      </w:tblGrid>
      <w:tr>
        <w:trPr>
          <w:trHeight w:val="288"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VARIÁVEIS</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r>
      <w:tr>
        <w:trPr>
          <w:trHeight w:val="240"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PIB </w:t>
            </w:r>
            <w:r>
              <w:rPr>
                <w:rFonts w:ascii="Arial" w:eastAsia="Arial" w:hAnsi="Arial" w:cs="Arial"/>
                <w:color w:val="000000"/>
                <w:spacing w:val="0"/>
                <w:w w:val="100"/>
                <w:position w:val="0"/>
                <w:shd w:val="clear" w:color="auto" w:fill="auto"/>
                <w:lang w:val="pt-PT" w:eastAsia="pt-PT" w:bidi="pt-PT"/>
              </w:rPr>
              <w:t>real (crescimento % anual)</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pPr>
            <w:r>
              <w:rPr>
                <w:rFonts w:ascii="Arial" w:eastAsia="Arial" w:hAnsi="Arial" w:cs="Arial"/>
                <w:color w:val="000000"/>
                <w:spacing w:val="0"/>
                <w:w w:val="100"/>
                <w:position w:val="0"/>
                <w:shd w:val="clear" w:color="auto" w:fill="auto"/>
                <w:lang w:val="pt-PT" w:eastAsia="pt-PT" w:bidi="pt-PT"/>
              </w:rPr>
              <w:t>1,70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1,96</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2,00</w:t>
            </w:r>
          </w:p>
        </w:tc>
      </w:tr>
      <w:tr>
        <w:trPr>
          <w:trHeight w:val="240"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Taxa real de juro implícito sobre a dívida líquida do Governo (média % anual)</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pPr>
            <w:r>
              <w:rPr>
                <w:rFonts w:ascii="Arial" w:eastAsia="Arial" w:hAnsi="Arial" w:cs="Arial"/>
                <w:color w:val="000000"/>
                <w:spacing w:val="0"/>
                <w:w w:val="100"/>
                <w:position w:val="0"/>
                <w:shd w:val="clear" w:color="auto" w:fill="auto"/>
                <w:lang w:val="pt-PT" w:eastAsia="pt-PT" w:bidi="pt-PT"/>
              </w:rPr>
              <w:t>12,50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10,50</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10,00</w:t>
            </w:r>
          </w:p>
        </w:tc>
      </w:tr>
      <w:tr>
        <w:trPr>
          <w:trHeight w:val="240"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Câmbio (R$/US$ - Final do Ano)</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pPr>
            <w:r>
              <w:rPr>
                <w:rFonts w:ascii="Arial" w:eastAsia="Arial" w:hAnsi="Arial" w:cs="Arial"/>
                <w:color w:val="000000"/>
                <w:spacing w:val="0"/>
                <w:w w:val="100"/>
                <w:position w:val="0"/>
                <w:shd w:val="clear" w:color="auto" w:fill="auto"/>
                <w:lang w:val="pt-PT" w:eastAsia="pt-PT" w:bidi="pt-PT"/>
              </w:rPr>
              <w:t>6,00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5,93</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5,99</w:t>
            </w:r>
          </w:p>
        </w:tc>
      </w:tr>
      <w:tr>
        <w:trPr>
          <w:trHeight w:val="240"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Inflação média (% anual) projetada com base em índices oficiais de inflação</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pPr>
            <w:r>
              <w:rPr>
                <w:rFonts w:ascii="Arial" w:eastAsia="Arial" w:hAnsi="Arial" w:cs="Arial"/>
                <w:color w:val="000000"/>
                <w:spacing w:val="0"/>
                <w:w w:val="100"/>
                <w:position w:val="0"/>
                <w:shd w:val="clear" w:color="auto" w:fill="auto"/>
                <w:lang w:val="pt-PT" w:eastAsia="pt-PT" w:bidi="pt-PT"/>
              </w:rPr>
              <w:t>4,50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4,00</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3,80</w:t>
            </w:r>
          </w:p>
        </w:tc>
      </w:tr>
      <w:tr>
        <w:trPr>
          <w:trHeight w:val="226"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 xml:space="preserve">Projeção do </w:t>
            </w:r>
            <w:r>
              <w:rPr>
                <w:rFonts w:ascii="Arial" w:eastAsia="Arial" w:hAnsi="Arial" w:cs="Arial"/>
                <w:color w:val="000000"/>
                <w:spacing w:val="0"/>
                <w:w w:val="100"/>
                <w:position w:val="0"/>
                <w:shd w:val="clear" w:color="auto" w:fill="auto"/>
                <w:lang w:val="pt-BR" w:eastAsia="pt-BR" w:bidi="pt-BR"/>
              </w:rPr>
              <w:t xml:space="preserve">PIB </w:t>
            </w:r>
            <w:r>
              <w:rPr>
                <w:rFonts w:ascii="Arial" w:eastAsia="Arial" w:hAnsi="Arial" w:cs="Arial"/>
                <w:color w:val="000000"/>
                <w:spacing w:val="0"/>
                <w:w w:val="100"/>
                <w:position w:val="0"/>
                <w:shd w:val="clear" w:color="auto" w:fill="auto"/>
                <w:lang w:val="pt-PT" w:eastAsia="pt-PT" w:bidi="pt-PT"/>
              </w:rPr>
              <w:t>do Estado - R$ bilhões</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pPr>
            <w:r>
              <w:rPr>
                <w:rFonts w:ascii="Arial" w:eastAsia="Arial" w:hAnsi="Arial" w:cs="Arial"/>
                <w:color w:val="000000"/>
                <w:spacing w:val="0"/>
                <w:w w:val="100"/>
                <w:position w:val="0"/>
                <w:shd w:val="clear" w:color="auto" w:fill="auto"/>
                <w:lang w:val="pt-PT" w:eastAsia="pt-PT" w:bidi="pt-PT"/>
              </w:rPr>
              <w:t>178.291.062.500,00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181.856.883.750,00</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185.494.021.425,00</w:t>
            </w:r>
          </w:p>
        </w:tc>
      </w:tr>
      <w:tr>
        <w:trPr>
          <w:trHeight w:val="288" w:hRule="exact"/>
        </w:trPr>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Receita Corrente Líquida - RCL - R$ bilhões</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28.153.143.312,56</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28.716.206.178,81</w:t>
            </w:r>
          </w:p>
        </w:tc>
        <w:tc>
          <w:tcPr>
            <w:tcBorders>
              <w:top w:val="single" w:sz="4"/>
              <w:left w:val="single" w:sz="4"/>
              <w:bottom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29.290.530.302,39</w:t>
            </w:r>
          </w:p>
        </w:tc>
      </w:tr>
    </w:tbl>
    <w:p>
      <w:pPr>
        <w:widowControl w:val="0"/>
        <w:spacing w:after="59" w:line="1" w:lineRule="exact"/>
      </w:pPr>
    </w:p>
    <w:p>
      <w:pPr>
        <w:widowControl w:val="0"/>
        <w:spacing w:line="1" w:lineRule="exact"/>
      </w:pPr>
    </w:p>
    <w:p>
      <w:pPr>
        <w:pStyle w:val="Style33"/>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Metodologia de Cálculo dos Valores Constantes:</w:t>
      </w:r>
    </w:p>
    <w:tbl>
      <w:tblPr>
        <w:tblOverlap w:val="never"/>
        <w:jc w:val="left"/>
        <w:tblLayout w:type="fixed"/>
      </w:tblPr>
      <w:tblGrid>
        <w:gridCol w:w="2064"/>
        <w:gridCol w:w="2040"/>
        <w:gridCol w:w="2069"/>
      </w:tblGrid>
      <w:tr>
        <w:trPr>
          <w:trHeight w:val="293"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2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80" w:firstLine="0"/>
              <w:jc w:val="center"/>
            </w:pPr>
            <w:r>
              <w:rPr>
                <w:rFonts w:ascii="Arial" w:eastAsia="Arial" w:hAnsi="Arial" w:cs="Arial"/>
                <w:b/>
                <w:bCs/>
                <w:color w:val="000000"/>
                <w:spacing w:val="0"/>
                <w:w w:val="100"/>
                <w:position w:val="0"/>
                <w:shd w:val="clear" w:color="auto" w:fill="auto"/>
                <w:lang w:val="pt-PT" w:eastAsia="pt-PT" w:bidi="pt-PT"/>
              </w:rPr>
              <w:t>2028</w:t>
            </w:r>
          </w:p>
        </w:tc>
      </w:tr>
      <w:tr>
        <w:trPr>
          <w:trHeight w:val="326" w:hRule="exact"/>
        </w:trPr>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Valor Corrente / 1,04020</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6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Valor Corrente / 1,07952</w:t>
            </w:r>
          </w:p>
        </w:tc>
        <w:tc>
          <w:tcPr>
            <w:tcBorders>
              <w:top w:val="single" w:sz="4"/>
              <w:left w:val="single" w:sz="4"/>
              <w:bottom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6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Valor Corrente / 1,11946</w:t>
            </w:r>
          </w:p>
        </w:tc>
      </w:tr>
    </w:tbl>
    <w:p>
      <w:pPr>
        <w:widowControl w:val="0"/>
        <w:spacing w:after="499" w:line="1" w:lineRule="exact"/>
      </w:pPr>
    </w:p>
    <w:p>
      <w:pPr>
        <w:pStyle w:val="Style29"/>
        <w:keepNext w:val="0"/>
        <w:keepLines w:val="0"/>
        <w:widowControl w:val="0"/>
        <w:shd w:val="clear" w:color="auto" w:fill="auto"/>
        <w:bidi w:val="0"/>
        <w:spacing w:before="0" w:after="100" w:line="240" w:lineRule="auto"/>
        <w:ind w:left="980" w:right="0" w:firstLine="0"/>
        <w:jc w:val="left"/>
      </w:pPr>
      <w:r>
        <w:rPr>
          <w:b/>
          <w:bCs/>
          <w:color w:val="000000"/>
          <w:spacing w:val="0"/>
          <w:w w:val="100"/>
          <w:position w:val="0"/>
          <w:shd w:val="clear" w:color="auto" w:fill="auto"/>
          <w:lang w:val="pt-PT" w:eastAsia="pt-PT" w:bidi="pt-PT"/>
        </w:rPr>
        <w:t>Macelly Cristina de Souza Veras</w:t>
      </w:r>
    </w:p>
    <w:p>
      <w:pPr>
        <w:pStyle w:val="Style16"/>
        <w:keepNext w:val="0"/>
        <w:keepLines w:val="0"/>
        <w:widowControl w:val="0"/>
        <w:shd w:val="clear" w:color="auto" w:fill="auto"/>
        <w:bidi w:val="0"/>
        <w:spacing w:before="0" w:after="220" w:line="240" w:lineRule="auto"/>
        <w:ind w:left="1660" w:right="0" w:firstLine="0"/>
        <w:jc w:val="left"/>
        <w:sectPr>
          <w:headerReference w:type="default" r:id="rId35"/>
          <w:footerReference w:type="default" r:id="rId36"/>
          <w:footnotePr>
            <w:pos w:val="pageBottom"/>
            <w:numFmt w:val="decimal"/>
            <w:numRestart w:val="continuous"/>
          </w:footnotePr>
          <w:pgSz w:w="16840" w:h="11900" w:orient="landscape"/>
          <w:pgMar w:top="1020" w:left="1148" w:right="658" w:bottom="541" w:header="0" w:footer="113" w:gutter="0"/>
          <w:pgNumType w:start="23"/>
          <w:cols w:space="720"/>
          <w:noEndnote/>
          <w:rtlGutter w:val="0"/>
          <w:docGrid w:linePitch="360"/>
        </w:sectPr>
      </w:pPr>
      <w:r>
        <w:rPr>
          <w:color w:val="000000"/>
          <w:spacing w:val="0"/>
          <w:w w:val="100"/>
          <w:position w:val="0"/>
          <w:shd w:val="clear" w:color="auto" w:fill="auto"/>
          <w:lang w:val="pt-BR" w:eastAsia="pt-BR" w:bidi="pt-BR"/>
        </w:rPr>
        <w:t xml:space="preserve">Prefeita </w:t>
      </w:r>
      <w:r>
        <w:rPr>
          <w:color w:val="000000"/>
          <w:spacing w:val="0"/>
          <w:w w:val="100"/>
          <w:position w:val="0"/>
          <w:shd w:val="clear" w:color="auto" w:fill="auto"/>
          <w:lang w:val="pt-PT" w:eastAsia="pt-PT" w:bidi="pt-PT"/>
        </w:rPr>
        <w:t>Municipal</w:t>
      </w:r>
    </w:p>
    <w:p>
      <w:pPr>
        <w:pStyle w:val="Style29"/>
        <w:keepNext w:val="0"/>
        <w:keepLines w:val="0"/>
        <w:widowControl w:val="0"/>
        <w:shd w:val="clear" w:color="auto" w:fill="auto"/>
        <w:bidi w:val="0"/>
        <w:spacing w:before="0" w:after="0" w:line="240" w:lineRule="auto"/>
        <w:ind w:left="2100" w:right="0" w:firstLine="20"/>
        <w:jc w:val="left"/>
      </w:pPr>
      <w:r>
        <w:rPr>
          <w:color w:val="000000"/>
          <w:spacing w:val="0"/>
          <w:w w:val="100"/>
          <w:position w:val="0"/>
          <w:shd w:val="clear" w:color="auto" w:fill="auto"/>
          <w:lang w:val="pt-PT" w:eastAsia="pt-PT" w:bidi="pt-PT"/>
        </w:rPr>
        <w:t>ESTADO DO AMAZONAS</w:t>
      </w:r>
    </w:p>
    <w:p>
      <w:pPr>
        <w:pStyle w:val="Style29"/>
        <w:keepNext w:val="0"/>
        <w:keepLines w:val="0"/>
        <w:widowControl w:val="0"/>
        <w:shd w:val="clear" w:color="auto" w:fill="auto"/>
        <w:bidi w:val="0"/>
        <w:spacing w:before="0" w:after="0" w:line="233" w:lineRule="auto"/>
        <w:ind w:left="2100" w:right="0" w:firstLine="20"/>
        <w:jc w:val="left"/>
      </w:pPr>
      <w:r>
        <w:rPr>
          <w:color w:val="000000"/>
          <w:spacing w:val="0"/>
          <w:w w:val="100"/>
          <w:position w:val="0"/>
          <w:shd w:val="clear" w:color="auto" w:fill="auto"/>
          <w:lang w:val="pt-PT" w:eastAsia="pt-PT" w:bidi="pt-PT"/>
        </w:rPr>
        <w:t xml:space="preserve">LEI DE DIRETRIZES </w:t>
      </w:r>
      <w:r>
        <w:rPr>
          <w:color w:val="000000"/>
          <w:spacing w:val="0"/>
          <w:w w:val="100"/>
          <w:position w:val="0"/>
          <w:shd w:val="clear" w:color="auto" w:fill="auto"/>
          <w:lang w:val="pt-BR" w:eastAsia="pt-BR" w:bidi="pt-BR"/>
        </w:rPr>
        <w:t xml:space="preserve">ORÇAMENTÁRIAS </w:t>
      </w:r>
      <w:r>
        <w:rPr>
          <w:color w:val="000000"/>
          <w:spacing w:val="0"/>
          <w:w w:val="100"/>
          <w:position w:val="0"/>
          <w:shd w:val="clear" w:color="auto" w:fill="auto"/>
          <w:lang w:val="pt-PT" w:eastAsia="pt-PT" w:bidi="pt-PT"/>
        </w:rPr>
        <w:t>- 2026</w:t>
      </w:r>
    </w:p>
    <w:p>
      <w:pPr>
        <w:pStyle w:val="Style29"/>
        <w:keepNext w:val="0"/>
        <w:keepLines w:val="0"/>
        <w:widowControl w:val="0"/>
        <w:shd w:val="clear" w:color="auto" w:fill="auto"/>
        <w:bidi w:val="0"/>
        <w:spacing w:before="0" w:after="0" w:line="233" w:lineRule="auto"/>
        <w:ind w:left="2100" w:right="0" w:firstLine="20"/>
        <w:jc w:val="left"/>
      </w:pPr>
      <w:r>
        <w:rPr>
          <w:color w:val="000000"/>
          <w:spacing w:val="0"/>
          <w:w w:val="100"/>
          <w:position w:val="0"/>
          <w:shd w:val="clear" w:color="auto" w:fill="auto"/>
          <w:lang w:val="pt-PT" w:eastAsia="pt-PT" w:bidi="pt-PT"/>
        </w:rPr>
        <w:t>ANEXO DE METAS FISCAIS</w:t>
      </w:r>
    </w:p>
    <w:p>
      <w:pPr>
        <w:pStyle w:val="Style29"/>
        <w:keepNext w:val="0"/>
        <w:keepLines w:val="0"/>
        <w:widowControl w:val="0"/>
        <w:shd w:val="clear" w:color="auto" w:fill="auto"/>
        <w:bidi w:val="0"/>
        <w:spacing w:before="0" w:after="360" w:line="228" w:lineRule="auto"/>
        <w:ind w:left="2100" w:right="0" w:firstLine="20"/>
        <w:jc w:val="left"/>
      </w:pPr>
      <w:r>
        <w:rPr>
          <w:color w:val="000000"/>
          <w:spacing w:val="0"/>
          <w:w w:val="100"/>
          <w:position w:val="0"/>
          <w:shd w:val="clear" w:color="auto" w:fill="auto"/>
          <w:lang w:val="pt-PT" w:eastAsia="pt-PT" w:bidi="pt-PT"/>
        </w:rPr>
        <w:t>Demonstrativo II - Avaliação do Cumprimento das Metas Fiscais do Exercício Anterior</w:t>
      </w:r>
    </w:p>
    <w:p>
      <w:pPr>
        <w:pStyle w:val="Style33"/>
        <w:keepNext w:val="0"/>
        <w:keepLines w:val="0"/>
        <w:widowControl w:val="0"/>
        <w:shd w:val="clear" w:color="auto" w:fill="auto"/>
        <w:tabs>
          <w:tab w:pos="9706" w:val="left"/>
        </w:tabs>
        <w:bidi w:val="0"/>
        <w:spacing w:before="0" w:after="0" w:line="240" w:lineRule="auto"/>
        <w:ind w:left="0" w:right="0" w:firstLine="0"/>
        <w:jc w:val="both"/>
      </w:pPr>
      <w:r>
        <w:rPr>
          <w:color w:val="000000"/>
          <w:spacing w:val="0"/>
          <w:w w:val="100"/>
          <w:position w:val="0"/>
          <w:shd w:val="clear" w:color="auto" w:fill="auto"/>
          <w:lang w:val="pt-PT" w:eastAsia="pt-PT" w:bidi="pt-PT"/>
        </w:rPr>
        <w:t>AMF - Tabela 2 (LRF, art. 4°, §2°, inciso I)</w:t>
        <w:tab/>
        <w:t>(R$)</w:t>
      </w:r>
    </w:p>
    <w:tbl>
      <w:tblPr>
        <w:tblOverlap w:val="never"/>
        <w:jc w:val="center"/>
        <w:tblLayout w:type="fixed"/>
      </w:tblPr>
      <w:tblGrid>
        <w:gridCol w:w="2520"/>
        <w:gridCol w:w="1570"/>
        <w:gridCol w:w="206"/>
        <w:gridCol w:w="341"/>
        <w:gridCol w:w="562"/>
        <w:gridCol w:w="1262"/>
        <w:gridCol w:w="557"/>
        <w:gridCol w:w="600"/>
        <w:gridCol w:w="1502"/>
        <w:gridCol w:w="979"/>
      </w:tblGrid>
      <w:tr>
        <w:trPr>
          <w:trHeight w:val="432" w:hRule="exact"/>
        </w:trPr>
        <w:tc>
          <w:tcPr>
            <w:vMerge w:val="restart"/>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80" w:firstLine="0"/>
              <w:jc w:val="center"/>
            </w:pPr>
            <w:r>
              <w:rPr>
                <w:rFonts w:ascii="Arial" w:eastAsia="Arial" w:hAnsi="Arial" w:cs="Arial"/>
                <w:b/>
                <w:bCs/>
                <w:color w:val="000000"/>
                <w:spacing w:val="0"/>
                <w:w w:val="100"/>
                <w:position w:val="0"/>
                <w:shd w:val="clear" w:color="auto" w:fill="auto"/>
                <w:lang w:val="pt-PT" w:eastAsia="pt-PT" w:bidi="pt-PT"/>
              </w:rPr>
              <w:t>ESPECIFICAÇÃO</w:t>
            </w:r>
          </w:p>
        </w:tc>
        <w:tc>
          <w:tcPr>
            <w:vMerge w:val="restart"/>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40" w:line="240" w:lineRule="auto"/>
              <w:ind w:left="280" w:right="0" w:firstLine="40"/>
              <w:jc w:val="left"/>
            </w:pPr>
            <w:r>
              <w:rPr>
                <w:rFonts w:ascii="Arial" w:eastAsia="Arial" w:hAnsi="Arial" w:cs="Arial"/>
                <w:b/>
                <w:bCs/>
                <w:color w:val="000000"/>
                <w:spacing w:val="0"/>
                <w:w w:val="100"/>
                <w:position w:val="0"/>
                <w:shd w:val="clear" w:color="auto" w:fill="auto"/>
                <w:lang w:val="pt-PT" w:eastAsia="pt-PT" w:bidi="pt-PT"/>
              </w:rPr>
              <w:t>I - Metas Previstas</w:t>
            </w:r>
          </w:p>
          <w:p>
            <w:pPr>
              <w:pStyle w:val="Style23"/>
              <w:keepNext w:val="0"/>
              <w:keepLines w:val="0"/>
              <w:widowControl w:val="0"/>
              <w:shd w:val="clear" w:color="auto" w:fill="auto"/>
              <w:bidi w:val="0"/>
              <w:spacing w:before="0" w:after="40" w:line="240" w:lineRule="auto"/>
              <w:ind w:left="180" w:right="0" w:firstLine="0"/>
              <w:jc w:val="center"/>
            </w:pPr>
            <w:r>
              <w:rPr>
                <w:rFonts w:ascii="Arial" w:eastAsia="Arial" w:hAnsi="Arial" w:cs="Arial"/>
                <w:b/>
                <w:bCs/>
                <w:color w:val="000000"/>
                <w:spacing w:val="0"/>
                <w:w w:val="100"/>
                <w:position w:val="0"/>
                <w:shd w:val="clear" w:color="auto" w:fill="auto"/>
                <w:lang w:val="pt-PT" w:eastAsia="pt-PT" w:bidi="pt-PT"/>
              </w:rPr>
              <w:t>2024</w:t>
            </w:r>
          </w:p>
          <w:p>
            <w:pPr>
              <w:pStyle w:val="Style23"/>
              <w:keepNext w:val="0"/>
              <w:keepLines w:val="0"/>
              <w:widowControl w:val="0"/>
              <w:shd w:val="clear" w:color="auto" w:fill="auto"/>
              <w:bidi w:val="0"/>
              <w:spacing w:before="0" w:after="4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(a)</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w:t>
            </w:r>
          </w:p>
        </w:tc>
        <w:tc>
          <w:tcPr>
            <w:vMerge w:val="restart"/>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PIB</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 RCL</w:t>
            </w:r>
          </w:p>
        </w:tc>
        <w:tc>
          <w:tcPr>
            <w:vMerge w:val="restart"/>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II - Metas Realizadas</w:t>
            </w:r>
          </w:p>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(b)</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 xml:space="preserve">% </w:t>
            </w:r>
            <w:r>
              <w:rPr>
                <w:rFonts w:ascii="Arial" w:eastAsia="Arial" w:hAnsi="Arial" w:cs="Arial"/>
                <w:b/>
                <w:bCs/>
                <w:color w:val="000000"/>
                <w:spacing w:val="0"/>
                <w:w w:val="100"/>
                <w:position w:val="0"/>
                <w:shd w:val="clear" w:color="auto" w:fill="auto"/>
                <w:lang w:val="pt-BR" w:eastAsia="pt-BR" w:bidi="pt-BR"/>
              </w:rPr>
              <w:t>PIB</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 RCL</w:t>
            </w:r>
          </w:p>
        </w:tc>
        <w:tc>
          <w:tcPr>
            <w:gridSpan w:val="2"/>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60" w:right="0" w:firstLine="0"/>
              <w:jc w:val="center"/>
            </w:pPr>
            <w:r>
              <w:rPr>
                <w:rFonts w:ascii="Arial" w:eastAsia="Arial" w:hAnsi="Arial" w:cs="Arial"/>
                <w:b/>
                <w:bCs/>
                <w:color w:val="000000"/>
                <w:spacing w:val="0"/>
                <w:w w:val="100"/>
                <w:position w:val="0"/>
                <w:shd w:val="clear" w:color="auto" w:fill="auto"/>
                <w:lang w:val="pt-PT" w:eastAsia="pt-PT" w:bidi="pt-PT"/>
              </w:rPr>
              <w:t>Variação ( II - I )</w:t>
            </w:r>
          </w:p>
        </w:tc>
      </w:tr>
      <w:tr>
        <w:trPr>
          <w:trHeight w:val="624" w:hRule="exact"/>
        </w:trPr>
        <w:tc>
          <w:tcPr>
            <w:vMerge/>
            <w:tcBorders>
              <w:left w:val="single" w:sz="4"/>
            </w:tcBorders>
            <w:shd w:val="clear" w:color="auto" w:fill="FFFFFF"/>
            <w:vAlign w:val="center"/>
          </w:tcPr>
          <w:p>
            <w:pPr/>
          </w:p>
        </w:tc>
        <w:tc>
          <w:tcPr>
            <w:vMerge/>
            <w:tcBorders>
              <w:left w:val="single" w:sz="4"/>
            </w:tcBorders>
            <w:shd w:val="clear" w:color="auto" w:fill="FFFFFF"/>
            <w:vAlign w:val="bottom"/>
          </w:tcPr>
          <w:p>
            <w:pPr/>
          </w:p>
        </w:tc>
        <w:tc>
          <w:tcPr>
            <w:vMerge/>
            <w:tcBorders>
              <w:left w:val="single" w:sz="4"/>
            </w:tcBorders>
            <w:shd w:val="clear" w:color="auto" w:fill="FFFFFF"/>
            <w:vAlign w:val="center"/>
          </w:tcPr>
          <w:p>
            <w:pPr/>
          </w:p>
        </w:tc>
        <w:tc>
          <w:tcPr>
            <w:vMerge/>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bottom"/>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307"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Valor (c) = ( b - a )</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76" w:lineRule="auto"/>
              <w:ind w:left="40" w:right="0" w:firstLine="0"/>
              <w:jc w:val="center"/>
            </w:pPr>
            <w:r>
              <w:rPr>
                <w:rFonts w:ascii="Arial" w:eastAsia="Arial" w:hAnsi="Arial" w:cs="Arial"/>
                <w:b/>
                <w:bCs/>
                <w:color w:val="000000"/>
                <w:spacing w:val="0"/>
                <w:w w:val="100"/>
                <w:position w:val="0"/>
                <w:shd w:val="clear" w:color="auto" w:fill="auto"/>
                <w:lang w:val="pt-PT" w:eastAsia="pt-PT" w:bidi="pt-PT"/>
              </w:rPr>
              <w:t>% (c/a) x 100</w:t>
            </w:r>
          </w:p>
        </w:tc>
      </w:tr>
      <w:tr>
        <w:trPr>
          <w:trHeight w:val="274"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Receita Total</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80" w:right="0" w:firstLine="40"/>
              <w:jc w:val="left"/>
            </w:pPr>
            <w:r>
              <w:rPr>
                <w:rFonts w:ascii="Arial" w:eastAsia="Arial" w:hAnsi="Arial" w:cs="Arial"/>
                <w:color w:val="000000"/>
                <w:spacing w:val="0"/>
                <w:w w:val="100"/>
                <w:position w:val="0"/>
                <w:shd w:val="clear" w:color="auto" w:fill="auto"/>
                <w:lang w:val="pt-PT" w:eastAsia="pt-PT" w:bidi="pt-PT"/>
              </w:rPr>
              <w:t>240.748.893,15</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178</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1,337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319.684.974,54</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0,237</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1,770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78.936.081,39</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32,78</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Receitas Primárias ( 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80" w:right="0" w:firstLine="40"/>
              <w:jc w:val="left"/>
            </w:pPr>
            <w:r>
              <w:rPr>
                <w:rFonts w:ascii="Arial" w:eastAsia="Arial" w:hAnsi="Arial" w:cs="Arial"/>
                <w:color w:val="000000"/>
                <w:spacing w:val="0"/>
                <w:w w:val="100"/>
                <w:position w:val="0"/>
                <w:shd w:val="clear" w:color="auto" w:fill="auto"/>
                <w:lang w:val="pt-PT" w:eastAsia="pt-PT" w:bidi="pt-PT"/>
              </w:rPr>
              <w:t>198.752.604,93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147</w:t>
            </w:r>
          </w:p>
        </w:tc>
        <w:tc>
          <w:tcPr>
            <w:gridSpan w:val="2"/>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1,104315.143.301,20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0,233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1,745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116.390.696,27</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58,56</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 Total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80" w:right="0" w:firstLine="40"/>
              <w:jc w:val="left"/>
            </w:pPr>
            <w:r>
              <w:rPr>
                <w:rFonts w:ascii="Arial" w:eastAsia="Arial" w:hAnsi="Arial" w:cs="Arial"/>
                <w:color w:val="000000"/>
                <w:spacing w:val="0"/>
                <w:w w:val="100"/>
                <w:position w:val="0"/>
                <w:shd w:val="clear" w:color="auto" w:fill="auto"/>
                <w:lang w:val="pt-PT" w:eastAsia="pt-PT" w:bidi="pt-PT"/>
              </w:rPr>
              <w:t>240.748.893,15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178</w:t>
            </w:r>
          </w:p>
        </w:tc>
        <w:tc>
          <w:tcPr>
            <w:gridSpan w:val="2"/>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1,337 363.602.329,41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0,269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2,013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122.853.436,26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51,02</w:t>
            </w:r>
          </w:p>
        </w:tc>
      </w:tr>
      <w:tr>
        <w:trPr>
          <w:trHeight w:val="24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Primárias ( II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80" w:right="0" w:firstLine="40"/>
              <w:jc w:val="left"/>
            </w:pPr>
            <w:r>
              <w:rPr>
                <w:rFonts w:ascii="Arial" w:eastAsia="Arial" w:hAnsi="Arial" w:cs="Arial"/>
                <w:color w:val="000000"/>
                <w:spacing w:val="0"/>
                <w:w w:val="100"/>
                <w:position w:val="0"/>
                <w:shd w:val="clear" w:color="auto" w:fill="auto"/>
                <w:lang w:val="pt-PT" w:eastAsia="pt-PT" w:bidi="pt-PT"/>
              </w:rPr>
              <w:t>161.222.150,93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119</w:t>
            </w:r>
          </w:p>
        </w:tc>
        <w:tc>
          <w:tcPr>
            <w:gridSpan w:val="2"/>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0,896358.252.731,31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0,265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1,983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197.030.580,38</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122,21</w:t>
            </w:r>
          </w:p>
        </w:tc>
      </w:tr>
      <w:tr>
        <w:trPr>
          <w:trHeight w:val="23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Resultado Primário ( III )=( 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37.530.454,00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028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0,209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-43.109.430,11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-0,032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-0,239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-80.639.884,11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-214,86</w:t>
            </w:r>
          </w:p>
        </w:tc>
      </w:tr>
      <w:tr>
        <w:trPr>
          <w:trHeight w:val="24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Resultado Nominal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-1.167.944,11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-0,006</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-1.167.944,11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Dívida Pública Consolidada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16.433.648,84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0,012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0,091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16.433.648,84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78" w:hRule="exact"/>
        </w:trPr>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Dívida Consolidada Líquida</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w:t>
            </w:r>
          </w:p>
        </w:tc>
        <w:tc>
          <w:tcPr>
            <w:tcBorders>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0,000</w:t>
            </w:r>
          </w:p>
        </w:tc>
        <w:tc>
          <w:tcPr>
            <w:tcBorders>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-78.403.079,67</w:t>
            </w:r>
          </w:p>
        </w:tc>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-0,058</w:t>
            </w:r>
          </w:p>
        </w:tc>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-0,434</w:t>
            </w:r>
          </w:p>
        </w:tc>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-78.403.079,67</w:t>
            </w:r>
          </w:p>
        </w:tc>
        <w:tc>
          <w:tcPr>
            <w:tcBorders>
              <w:left w:val="single" w:sz="4"/>
              <w:bottom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bl>
    <w:p>
      <w:pPr>
        <w:pStyle w:val="Style33"/>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Nota:</w:t>
      </w:r>
    </w:p>
    <w:p>
      <w:pPr>
        <w:widowControl w:val="0"/>
        <w:spacing w:after="119" w:line="1" w:lineRule="exact"/>
      </w:pPr>
    </w:p>
    <w:p>
      <w:pPr>
        <w:widowControl w:val="0"/>
        <w:spacing w:line="1" w:lineRule="exact"/>
      </w:pPr>
    </w:p>
    <w:p>
      <w:pPr>
        <w:pStyle w:val="Style33"/>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 xml:space="preserve">PIB </w:t>
      </w:r>
      <w:r>
        <w:rPr>
          <w:color w:val="000000"/>
          <w:spacing w:val="0"/>
          <w:w w:val="100"/>
          <w:position w:val="0"/>
          <w:sz w:val="18"/>
          <w:szCs w:val="18"/>
          <w:shd w:val="clear" w:color="auto" w:fill="auto"/>
          <w:lang w:val="pt-PT" w:eastAsia="pt-PT" w:bidi="pt-PT"/>
        </w:rPr>
        <w:t>Estadual Previsto e Realizado para 2024</w:t>
      </w:r>
    </w:p>
    <w:tbl>
      <w:tblPr>
        <w:tblOverlap w:val="never"/>
        <w:jc w:val="left"/>
        <w:tblLayout w:type="fixed"/>
      </w:tblPr>
      <w:tblGrid>
        <w:gridCol w:w="4445"/>
        <w:gridCol w:w="2362"/>
      </w:tblGrid>
      <w:tr>
        <w:trPr>
          <w:trHeight w:val="293"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ESPECIFICAÇÃO</w:t>
            </w:r>
          </w:p>
        </w:tc>
        <w:tc>
          <w:tcPr>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VALOR</w:t>
            </w:r>
          </w:p>
        </w:tc>
      </w:tr>
      <w:tr>
        <w:trPr>
          <w:trHeight w:val="302"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 xml:space="preserve">Previsão do </w:t>
            </w:r>
            <w:r>
              <w:rPr>
                <w:rFonts w:ascii="Arial" w:eastAsia="Arial" w:hAnsi="Arial" w:cs="Arial"/>
                <w:color w:val="000000"/>
                <w:spacing w:val="0"/>
                <w:w w:val="100"/>
                <w:position w:val="0"/>
                <w:shd w:val="clear" w:color="auto" w:fill="auto"/>
                <w:lang w:val="pt-BR" w:eastAsia="pt-BR" w:bidi="pt-BR"/>
              </w:rPr>
              <w:t xml:space="preserve">PIB </w:t>
            </w:r>
            <w:r>
              <w:rPr>
                <w:rFonts w:ascii="Arial" w:eastAsia="Arial" w:hAnsi="Arial" w:cs="Arial"/>
                <w:color w:val="000000"/>
                <w:spacing w:val="0"/>
                <w:w w:val="100"/>
                <w:position w:val="0"/>
                <w:shd w:val="clear" w:color="auto" w:fill="auto"/>
                <w:lang w:val="pt-PT" w:eastAsia="pt-PT" w:bidi="pt-PT"/>
              </w:rPr>
              <w:t>Estadual para 2024</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160.000.000.000,00</w:t>
            </w:r>
          </w:p>
        </w:tc>
      </w:tr>
      <w:tr>
        <w:trPr>
          <w:trHeight w:val="312"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 xml:space="preserve">Valor efetivo(realizado) do </w:t>
            </w:r>
            <w:r>
              <w:rPr>
                <w:rFonts w:ascii="Arial" w:eastAsia="Arial" w:hAnsi="Arial" w:cs="Arial"/>
                <w:color w:val="000000"/>
                <w:spacing w:val="0"/>
                <w:w w:val="100"/>
                <w:position w:val="0"/>
                <w:shd w:val="clear" w:color="auto" w:fill="auto"/>
                <w:lang w:val="pt-BR" w:eastAsia="pt-BR" w:bidi="pt-BR"/>
              </w:rPr>
              <w:t xml:space="preserve">PIB </w:t>
            </w:r>
            <w:r>
              <w:rPr>
                <w:rFonts w:ascii="Arial" w:eastAsia="Arial" w:hAnsi="Arial" w:cs="Arial"/>
                <w:color w:val="000000"/>
                <w:spacing w:val="0"/>
                <w:w w:val="100"/>
                <w:position w:val="0"/>
                <w:shd w:val="clear" w:color="auto" w:fill="auto"/>
                <w:lang w:val="pt-PT" w:eastAsia="pt-PT" w:bidi="pt-PT"/>
              </w:rPr>
              <w:t>Estadual para 2024</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169.070.000.000,00</w:t>
            </w:r>
          </w:p>
        </w:tc>
      </w:tr>
      <w:tr>
        <w:trPr>
          <w:trHeight w:val="288"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Previsão da RCL Estadual para 2024</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30.161.000.000,00</w:t>
            </w:r>
          </w:p>
        </w:tc>
      </w:tr>
      <w:tr>
        <w:trPr>
          <w:trHeight w:val="322" w:hRule="exact"/>
        </w:trPr>
        <w:tc>
          <w:tcPr>
            <w:tcBorders>
              <w:top w:val="single" w:sz="4"/>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Valor efetivo(realizado) da RCL Estadual para 2024</w:t>
            </w:r>
          </w:p>
        </w:tc>
        <w:tc>
          <w:tcPr>
            <w:tcBorders>
              <w:top w:val="single" w:sz="4"/>
              <w:left w:val="single" w:sz="4"/>
              <w:bottom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26.591.617.078,66</w:t>
            </w:r>
          </w:p>
        </w:tc>
      </w:tr>
    </w:tbl>
    <w:p>
      <w:pPr>
        <w:widowControl w:val="0"/>
        <w:spacing w:after="999" w:line="1" w:lineRule="exact"/>
      </w:pPr>
    </w:p>
    <w:p>
      <w:pPr>
        <w:pStyle w:val="Style29"/>
        <w:keepNext w:val="0"/>
        <w:keepLines w:val="0"/>
        <w:widowControl w:val="0"/>
        <w:shd w:val="clear" w:color="auto" w:fill="auto"/>
        <w:bidi w:val="0"/>
        <w:spacing w:before="0" w:after="80" w:line="240" w:lineRule="auto"/>
        <w:ind w:left="200" w:right="0" w:firstLine="0"/>
        <w:jc w:val="left"/>
      </w:pPr>
      <w:r>
        <mc:AlternateContent>
          <mc:Choice Requires="wps">
            <w:drawing>
              <wp:anchor distT="0" distB="0" distL="114300" distR="114300" simplePos="0" relativeHeight="125829399" behindDoc="0" locked="0" layoutInCell="1" allowOverlap="1">
                <wp:simplePos x="0" y="0"/>
                <wp:positionH relativeFrom="page">
                  <wp:posOffset>3138170</wp:posOffset>
                </wp:positionH>
                <wp:positionV relativeFrom="paragraph">
                  <wp:posOffset>12700</wp:posOffset>
                </wp:positionV>
                <wp:extent cx="1383665" cy="326390"/>
                <wp:wrapSquare wrapText="left"/>
                <wp:docPr id="67" name="Shape 67"/>
                <a:graphic xmlns:a="http://schemas.openxmlformats.org/drawingml/2006/main">
                  <a:graphicData uri="http://schemas.microsoft.com/office/word/2010/wordprocessingShape">
                    <wps:wsp>
                      <wps:cNvSpPr txBox="1"/>
                      <wps:spPr>
                        <a:xfrm>
                          <a:ext cx="1383665" cy="326390"/>
                        </a:xfrm>
                        <a:prstGeom prst="rect"/>
                        <a:noFill/>
                      </wps:spPr>
                      <wps:txbx>
                        <w:txbxContent>
                          <w:p>
                            <w:pPr>
                              <w:pStyle w:val="Style29"/>
                              <w:keepNext w:val="0"/>
                              <w:keepLines w:val="0"/>
                              <w:widowControl w:val="0"/>
                              <w:shd w:val="clear" w:color="auto" w:fill="auto"/>
                              <w:bidi w:val="0"/>
                              <w:spacing w:before="0" w:after="80" w:line="240" w:lineRule="auto"/>
                              <w:ind w:left="140" w:right="0" w:firstLine="0"/>
                              <w:jc w:val="left"/>
                            </w:pPr>
                            <w:r>
                              <w:rPr>
                                <w:b/>
                                <w:bCs/>
                                <w:color w:val="000000"/>
                                <w:spacing w:val="0"/>
                                <w:w w:val="100"/>
                                <w:position w:val="0"/>
                                <w:shd w:val="clear" w:color="auto" w:fill="auto"/>
                                <w:lang w:val="pt-PT" w:eastAsia="pt-PT" w:bidi="pt-PT"/>
                              </w:rPr>
                              <w:t>Dilson Marcos Kovalski</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wps:txbx>
                      <wps:bodyPr lIns="0" tIns="0" rIns="0" bIns="0">
                        <a:noAutoFit/>
                      </wps:bodyPr>
                    </wps:wsp>
                  </a:graphicData>
                </a:graphic>
              </wp:anchor>
            </w:drawing>
          </mc:Choice>
          <mc:Fallback>
            <w:pict>
              <v:shape id="_x0000_s1093" type="#_x0000_t202" style="position:absolute;margin-left:247.09999999999999pt;margin-top:1.pt;width:108.95pt;height:25.699999999999999pt;z-index:-125829354;mso-wrap-distance-left:9.pt;mso-wrap-distance-right:9.pt;mso-position-horizontal-relative:page" filled="f" stroked="f">
                <v:textbox inset="0,0,0,0">
                  <w:txbxContent>
                    <w:p>
                      <w:pPr>
                        <w:pStyle w:val="Style29"/>
                        <w:keepNext w:val="0"/>
                        <w:keepLines w:val="0"/>
                        <w:widowControl w:val="0"/>
                        <w:shd w:val="clear" w:color="auto" w:fill="auto"/>
                        <w:bidi w:val="0"/>
                        <w:spacing w:before="0" w:after="80" w:line="240" w:lineRule="auto"/>
                        <w:ind w:left="140" w:right="0" w:firstLine="0"/>
                        <w:jc w:val="left"/>
                      </w:pPr>
                      <w:r>
                        <w:rPr>
                          <w:b/>
                          <w:bCs/>
                          <w:color w:val="000000"/>
                          <w:spacing w:val="0"/>
                          <w:w w:val="100"/>
                          <w:position w:val="0"/>
                          <w:shd w:val="clear" w:color="auto" w:fill="auto"/>
                          <w:lang w:val="pt-PT" w:eastAsia="pt-PT" w:bidi="pt-PT"/>
                        </w:rPr>
                        <w:t>Dilson Marcos Kovalski</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v:textbox>
                <w10:wrap type="square" side="left" anchorx="page"/>
              </v:shape>
            </w:pict>
          </mc:Fallback>
        </mc:AlternateContent>
      </w:r>
      <w:r>
        <w:rPr>
          <w:b/>
          <w:bCs/>
          <w:color w:val="000000"/>
          <w:spacing w:val="0"/>
          <w:w w:val="100"/>
          <w:position w:val="0"/>
          <w:shd w:val="clear" w:color="auto" w:fill="auto"/>
          <w:lang w:val="pt-PT" w:eastAsia="pt-PT" w:bidi="pt-PT"/>
        </w:rPr>
        <w:t>Macelly Cristina de Souza Veras</w:t>
      </w:r>
    </w:p>
    <w:p>
      <w:pPr>
        <w:pStyle w:val="Style16"/>
        <w:keepNext w:val="0"/>
        <w:keepLines w:val="0"/>
        <w:widowControl w:val="0"/>
        <w:shd w:val="clear" w:color="auto" w:fill="auto"/>
        <w:bidi w:val="0"/>
        <w:spacing w:before="0" w:after="240" w:line="240" w:lineRule="auto"/>
        <w:ind w:left="900" w:right="0" w:firstLine="0"/>
        <w:jc w:val="left"/>
        <w:sectPr>
          <w:headerReference w:type="default" r:id="rId37"/>
          <w:footerReference w:type="default" r:id="rId38"/>
          <w:footnotePr>
            <w:pos w:val="pageBottom"/>
            <w:numFmt w:val="decimal"/>
            <w:numRestart w:val="continuous"/>
          </w:footnotePr>
          <w:pgSz w:w="11900" w:h="16840"/>
          <w:pgMar w:top="997" w:left="1150" w:right="650" w:bottom="997" w:header="0" w:footer="569" w:gutter="0"/>
          <w:cols w:space="720"/>
          <w:noEndnote/>
          <w:rtlGutter w:val="0"/>
          <w:docGrid w:linePitch="360"/>
        </w:sectPr>
      </w:pPr>
      <w:r>
        <w:rPr>
          <w:color w:val="000000"/>
          <w:spacing w:val="0"/>
          <w:w w:val="100"/>
          <w:position w:val="0"/>
          <w:shd w:val="clear" w:color="auto" w:fill="auto"/>
          <w:lang w:val="pt-BR" w:eastAsia="pt-BR" w:bidi="pt-BR"/>
        </w:rPr>
        <w:t xml:space="preserve">Prefeita </w:t>
      </w:r>
      <w:r>
        <w:rPr>
          <w:color w:val="000000"/>
          <w:spacing w:val="0"/>
          <w:w w:val="100"/>
          <w:position w:val="0"/>
          <w:shd w:val="clear" w:color="auto" w:fill="auto"/>
          <w:lang w:val="pt-PT" w:eastAsia="pt-PT" w:bidi="pt-PT"/>
        </w:rPr>
        <w:t>Municipal</w:t>
      </w:r>
    </w:p>
    <w:p>
      <w:pPr>
        <w:pStyle w:val="Style41"/>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pt-PT" w:eastAsia="pt-PT" w:bidi="pt-PT"/>
        </w:rPr>
        <w:t>Prefeitura Municipal de Maués</w:t>
      </w:r>
    </w:p>
    <w:p>
      <w:pPr>
        <w:pStyle w:val="Style29"/>
        <w:keepNext w:val="0"/>
        <w:keepLines w:val="0"/>
        <w:widowControl w:val="0"/>
        <w:shd w:val="clear" w:color="auto" w:fill="auto"/>
        <w:bidi w:val="0"/>
        <w:spacing w:before="0" w:after="0" w:line="240" w:lineRule="auto"/>
        <w:ind w:left="2480" w:right="0" w:firstLine="0"/>
        <w:jc w:val="left"/>
      </w:pPr>
      <w:r>
        <w:rPr>
          <w:color w:val="000000"/>
          <w:spacing w:val="0"/>
          <w:w w:val="100"/>
          <w:position w:val="0"/>
          <w:shd w:val="clear" w:color="auto" w:fill="auto"/>
          <w:lang w:val="pt-PT" w:eastAsia="pt-PT" w:bidi="pt-PT"/>
        </w:rPr>
        <w:t>ESTADO DO AMAZONAS</w:t>
      </w:r>
    </w:p>
    <w:p>
      <w:pPr>
        <w:pStyle w:val="Style29"/>
        <w:keepNext w:val="0"/>
        <w:keepLines w:val="0"/>
        <w:widowControl w:val="0"/>
        <w:shd w:val="clear" w:color="auto" w:fill="auto"/>
        <w:bidi w:val="0"/>
        <w:spacing w:before="0" w:after="0" w:line="233" w:lineRule="auto"/>
        <w:ind w:left="2480" w:right="0" w:firstLine="0"/>
        <w:jc w:val="left"/>
      </w:pPr>
      <w:r>
        <w:rPr>
          <w:color w:val="000000"/>
          <w:spacing w:val="0"/>
          <w:w w:val="100"/>
          <w:position w:val="0"/>
          <w:shd w:val="clear" w:color="auto" w:fill="auto"/>
          <w:lang w:val="pt-PT" w:eastAsia="pt-PT" w:bidi="pt-PT"/>
        </w:rPr>
        <w:t xml:space="preserve">LEI DE DIRETRIZES </w:t>
      </w:r>
      <w:r>
        <w:rPr>
          <w:color w:val="000000"/>
          <w:spacing w:val="0"/>
          <w:w w:val="100"/>
          <w:position w:val="0"/>
          <w:shd w:val="clear" w:color="auto" w:fill="auto"/>
          <w:lang w:val="pt-BR" w:eastAsia="pt-BR" w:bidi="pt-BR"/>
        </w:rPr>
        <w:t xml:space="preserve">ORÇAMENTÁRIAS </w:t>
      </w:r>
      <w:r>
        <w:rPr>
          <w:color w:val="000000"/>
          <w:spacing w:val="0"/>
          <w:w w:val="100"/>
          <w:position w:val="0"/>
          <w:shd w:val="clear" w:color="auto" w:fill="auto"/>
          <w:lang w:val="pt-PT" w:eastAsia="pt-PT" w:bidi="pt-PT"/>
        </w:rPr>
        <w:t>- 2028</w:t>
      </w:r>
    </w:p>
    <w:p>
      <w:pPr>
        <w:pStyle w:val="Style29"/>
        <w:keepNext w:val="0"/>
        <w:keepLines w:val="0"/>
        <w:widowControl w:val="0"/>
        <w:shd w:val="clear" w:color="auto" w:fill="auto"/>
        <w:bidi w:val="0"/>
        <w:spacing w:before="0" w:after="0" w:line="233" w:lineRule="auto"/>
        <w:ind w:left="2480" w:right="0" w:firstLine="0"/>
        <w:jc w:val="left"/>
      </w:pPr>
      <w:r>
        <w:rPr>
          <w:color w:val="000000"/>
          <w:spacing w:val="0"/>
          <w:w w:val="100"/>
          <w:position w:val="0"/>
          <w:shd w:val="clear" w:color="auto" w:fill="auto"/>
          <w:lang w:val="pt-PT" w:eastAsia="pt-PT" w:bidi="pt-PT"/>
        </w:rPr>
        <w:t>ANEXO DE METAS FISCAIS</w:t>
      </w:r>
    </w:p>
    <w:p>
      <w:pPr>
        <w:pStyle w:val="Style29"/>
        <w:keepNext w:val="0"/>
        <w:keepLines w:val="0"/>
        <w:widowControl w:val="0"/>
        <w:shd w:val="clear" w:color="auto" w:fill="auto"/>
        <w:bidi w:val="0"/>
        <w:spacing w:before="0" w:after="360" w:line="240" w:lineRule="auto"/>
        <w:ind w:left="2480" w:right="0" w:firstLine="0"/>
        <w:jc w:val="left"/>
      </w:pPr>
      <w:r>
        <w:rPr>
          <w:color w:val="000000"/>
          <w:spacing w:val="0"/>
          <w:w w:val="100"/>
          <w:position w:val="0"/>
          <w:shd w:val="clear" w:color="auto" w:fill="auto"/>
          <w:lang w:val="pt-PT" w:eastAsia="pt-PT" w:bidi="pt-PT"/>
        </w:rPr>
        <w:t>Demonstrativo III - Metas Fiscais Atuais Comparadas com as Fixadas nos Três Exercícios Anteriores</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AMF - Tabela 3 (LRF, art. 4°, §2°, inciso II)</w:t>
      </w:r>
    </w:p>
    <w:p>
      <w:pPr>
        <w:pStyle w:val="Style33"/>
        <w:keepNext w:val="0"/>
        <w:keepLines w:val="0"/>
        <w:widowControl w:val="0"/>
        <w:shd w:val="clear" w:color="auto" w:fill="auto"/>
        <w:bidi w:val="0"/>
        <w:spacing w:before="0" w:after="0" w:line="240" w:lineRule="auto"/>
        <w:ind w:left="0" w:right="0" w:firstLine="0"/>
        <w:jc w:val="right"/>
        <w:rPr>
          <w:sz w:val="12"/>
          <w:szCs w:val="12"/>
        </w:rPr>
      </w:pPr>
      <w:r>
        <w:rPr>
          <w:color w:val="000000"/>
          <w:spacing w:val="0"/>
          <w:w w:val="100"/>
          <w:position w:val="0"/>
          <w:sz w:val="12"/>
          <w:szCs w:val="12"/>
          <w:shd w:val="clear" w:color="auto" w:fill="auto"/>
          <w:lang w:val="pt-PT" w:eastAsia="pt-PT" w:bidi="pt-PT"/>
        </w:rPr>
        <w:t>(R$)</w:t>
      </w:r>
    </w:p>
    <w:tbl>
      <w:tblPr>
        <w:tblOverlap w:val="never"/>
        <w:jc w:val="center"/>
        <w:tblLayout w:type="fixed"/>
      </w:tblPr>
      <w:tblGrid>
        <w:gridCol w:w="2702"/>
        <w:gridCol w:w="1406"/>
        <w:gridCol w:w="1411"/>
        <w:gridCol w:w="768"/>
        <w:gridCol w:w="1392"/>
        <w:gridCol w:w="749"/>
        <w:gridCol w:w="1411"/>
        <w:gridCol w:w="749"/>
        <w:gridCol w:w="1411"/>
        <w:gridCol w:w="749"/>
        <w:gridCol w:w="1411"/>
        <w:gridCol w:w="754"/>
      </w:tblGrid>
      <w:tr>
        <w:trPr>
          <w:trHeight w:val="293"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ESPECIFICAÇÃO</w:t>
            </w:r>
          </w:p>
        </w:tc>
        <w:tc>
          <w:tcPr>
            <w:gridSpan w:val="11"/>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00" w:right="0" w:firstLine="0"/>
              <w:jc w:val="center"/>
            </w:pPr>
            <w:r>
              <w:rPr>
                <w:rFonts w:ascii="Arial" w:eastAsia="Arial" w:hAnsi="Arial" w:cs="Arial"/>
                <w:b/>
                <w:bCs/>
                <w:color w:val="000000"/>
                <w:spacing w:val="0"/>
                <w:w w:val="100"/>
                <w:position w:val="0"/>
                <w:shd w:val="clear" w:color="auto" w:fill="auto"/>
                <w:lang w:val="pt-PT" w:eastAsia="pt-PT" w:bidi="pt-PT"/>
              </w:rPr>
              <w:t>VALORES A PREÇOS CORRENTES</w:t>
            </w:r>
          </w:p>
        </w:tc>
      </w:tr>
      <w:tr>
        <w:trPr>
          <w:trHeight w:val="336" w:hRule="exact"/>
        </w:trPr>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w:t>
            </w:r>
          </w:p>
        </w:tc>
      </w:tr>
      <w:tr>
        <w:trPr>
          <w:trHeight w:val="235"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Receita Total</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334.512.755,43</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319.684.974,54</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226.953.058,52</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304.065.049,10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7,6</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316.227.651,08</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328.244.301,83</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Receitas Primárias ( 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304.894.395,92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315.143.301,20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217.677.615,16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294.396.006,73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306.182.003,56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317.823.226,92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 Total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303.794.287,64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363.602.329,41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226.953.058,52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304.065.049,10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304.681.822,94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316.259.732,59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Primárias ( II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302.105.540,55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358.252.731,31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225.096.412,04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298.124.853,53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302.664.019,55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314.165.252,68</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Resultado Primario ( III )=( I - II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2.788.855,37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-43.109.430,11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-1645,8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-11.216.144,09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-7.651.126,73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-541.575,72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-543.670,08</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Resultado Nominal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7.626.580,98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-38.569.244,06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-605,7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-9.576.296,76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-5.961.282,21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1.205.706,03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-120,2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1.263.701,16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Dívida Pública Consolidada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17.458.712,90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16.433.648,84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16.433.648,84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17.173.163,04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17.860.089,56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18.538.772,96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w:t>
            </w:r>
          </w:p>
        </w:tc>
      </w:tr>
      <w:tr>
        <w:trPr>
          <w:trHeight w:val="269" w:hRule="exact"/>
        </w:trPr>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Dívida Consolidada Líquida</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-79.571.023,78</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-78.403.079,67</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-78.403.079,67</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-81.931.218,25</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-85.208.466,99</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-88.446.388,73</w:t>
            </w:r>
          </w:p>
        </w:tc>
        <w:tc>
          <w:tcPr>
            <w:tcBorders>
              <w:left w:val="single" w:sz="4"/>
              <w:bottom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w:t>
            </w:r>
          </w:p>
        </w:tc>
      </w:tr>
    </w:tbl>
    <w:p>
      <w:pPr>
        <w:widowControl w:val="0"/>
        <w:spacing w:after="39" w:line="1" w:lineRule="exact"/>
      </w:pPr>
    </w:p>
    <w:p>
      <w:pPr>
        <w:widowControl w:val="0"/>
        <w:spacing w:line="1" w:lineRule="exact"/>
      </w:pPr>
    </w:p>
    <w:p>
      <w:pPr>
        <w:pStyle w:val="Style33"/>
        <w:keepNext w:val="0"/>
        <w:keepLines w:val="0"/>
        <w:widowControl w:val="0"/>
        <w:shd w:val="clear" w:color="auto" w:fill="auto"/>
        <w:bidi w:val="0"/>
        <w:spacing w:before="0" w:after="0" w:line="240" w:lineRule="auto"/>
        <w:ind w:left="14611" w:right="0" w:firstLine="0"/>
        <w:jc w:val="left"/>
        <w:rPr>
          <w:sz w:val="12"/>
          <w:szCs w:val="12"/>
        </w:rPr>
      </w:pPr>
      <w:r>
        <w:rPr>
          <w:color w:val="000000"/>
          <w:spacing w:val="0"/>
          <w:w w:val="100"/>
          <w:position w:val="0"/>
          <w:sz w:val="12"/>
          <w:szCs w:val="12"/>
          <w:shd w:val="clear" w:color="auto" w:fill="auto"/>
          <w:lang w:val="pt-PT" w:eastAsia="pt-PT" w:bidi="pt-PT"/>
        </w:rPr>
        <w:t>(R$)</w:t>
      </w:r>
    </w:p>
    <w:tbl>
      <w:tblPr>
        <w:tblOverlap w:val="never"/>
        <w:jc w:val="center"/>
        <w:tblLayout w:type="fixed"/>
      </w:tblPr>
      <w:tblGrid>
        <w:gridCol w:w="2702"/>
        <w:gridCol w:w="1406"/>
        <w:gridCol w:w="1411"/>
        <w:gridCol w:w="768"/>
        <w:gridCol w:w="1392"/>
        <w:gridCol w:w="749"/>
        <w:gridCol w:w="1411"/>
        <w:gridCol w:w="749"/>
        <w:gridCol w:w="1411"/>
        <w:gridCol w:w="749"/>
        <w:gridCol w:w="1411"/>
        <w:gridCol w:w="754"/>
      </w:tblGrid>
      <w:tr>
        <w:trPr>
          <w:trHeight w:val="288"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ESPECIFICAÇÃO</w:t>
            </w:r>
          </w:p>
        </w:tc>
        <w:tc>
          <w:tcPr>
            <w:gridSpan w:val="11"/>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00" w:right="0" w:firstLine="0"/>
              <w:jc w:val="center"/>
            </w:pPr>
            <w:r>
              <w:rPr>
                <w:rFonts w:ascii="Arial" w:eastAsia="Arial" w:hAnsi="Arial" w:cs="Arial"/>
                <w:b/>
                <w:bCs/>
                <w:color w:val="000000"/>
                <w:spacing w:val="0"/>
                <w:w w:val="100"/>
                <w:position w:val="0"/>
                <w:shd w:val="clear" w:color="auto" w:fill="auto"/>
                <w:lang w:val="pt-PT" w:eastAsia="pt-PT" w:bidi="pt-PT"/>
              </w:rPr>
              <w:t>VALORES A PREÇOS CONSTANTES</w:t>
            </w:r>
          </w:p>
        </w:tc>
      </w:tr>
      <w:tr>
        <w:trPr>
          <w:trHeight w:val="341" w:hRule="exact"/>
        </w:trPr>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w:t>
            </w:r>
          </w:p>
        </w:tc>
      </w:tr>
      <w:tr>
        <w:trPr>
          <w:trHeight w:val="230"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Receita Total</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369.098.255,03</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338.514.419,54</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-8,3</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219.644.221,61</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-35,1</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284.971.461,77</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29,7</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285.575.447,54</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0,2</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285.851.405,69</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0,1</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Receitas Primárias ( 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341.545.751,25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333.705.241,64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217.677.615,16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283.018.656,73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283.627.912,00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283.907.622,35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0,1</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 Total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340.313.398,96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385.018.506,61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226.953.058,52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292.314.025,28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282.238.238,24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282.510.971,89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0,1</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Primárias ( II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338.421.647,58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379.353.817,18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225.096.412,04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286.603.396,97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280.369.071,02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280.639.998,46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0,1</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Resultado Primário ( III )=( I - II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3.124.103,67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-45.648.575,54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-1561,2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-11.216.144,09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-7.355.438,12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-485.653,87</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Resultado Nominal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8.543.372,28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-40.840.972,54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-578,0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-9.576.296,76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-76,5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-5.730.900,03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1.116.890,87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-119,5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1.128.848,87</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Dívida Pública Consolidada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19.557.424,78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17.401.590,76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16.433.648,84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16.509.481,87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16.544.473,06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16.560.460,36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0,1</w:t>
            </w:r>
          </w:p>
        </w:tc>
      </w:tr>
      <w:tr>
        <w:trPr>
          <w:trHeight w:val="269" w:hRule="exact"/>
        </w:trPr>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Dívida Consolidada Líquida</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-89.136.256,55</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-83.021.021,06</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-78.403.079,67</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-78.764.870,46</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0,5</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-78.931.809,50</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0,2</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-79.008.083,12</w:t>
            </w:r>
          </w:p>
        </w:tc>
        <w:tc>
          <w:tcPr>
            <w:tcBorders>
              <w:left w:val="single" w:sz="4"/>
              <w:bottom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0,1</w:t>
            </w:r>
          </w:p>
        </w:tc>
      </w:tr>
    </w:tbl>
    <w:p>
      <w:pPr>
        <w:widowControl w:val="0"/>
        <w:spacing w:after="79" w:line="1" w:lineRule="exact"/>
      </w:pP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Nota:</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Metodologia de Cálculo dos Valores Constantes</w:t>
      </w:r>
    </w:p>
    <w:p>
      <w:pPr>
        <w:pStyle w:val="Style29"/>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ÍNDICES DE INFLAÇÃO</w:t>
      </w:r>
    </w:p>
    <w:tbl>
      <w:tblPr>
        <w:tblOverlap w:val="never"/>
        <w:jc w:val="left"/>
        <w:tblLayout w:type="fixed"/>
      </w:tblPr>
      <w:tblGrid>
        <w:gridCol w:w="2040"/>
        <w:gridCol w:w="2040"/>
        <w:gridCol w:w="2040"/>
        <w:gridCol w:w="2040"/>
        <w:gridCol w:w="2040"/>
        <w:gridCol w:w="2030"/>
      </w:tblGrid>
      <w:tr>
        <w:trPr>
          <w:trHeight w:val="523"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p>
            <w:pPr>
              <w:pStyle w:val="Style23"/>
              <w:keepNext w:val="0"/>
              <w:keepLines w:val="0"/>
              <w:widowControl w:val="0"/>
              <w:shd w:val="clear" w:color="auto" w:fill="auto"/>
              <w:tabs>
                <w:tab w:pos="782" w:val="left"/>
              </w:tabs>
              <w:bidi w:val="0"/>
              <w:spacing w:before="0" w:after="0" w:line="240" w:lineRule="auto"/>
              <w:ind w:left="0" w:right="0" w:firstLine="0"/>
              <w:jc w:val="both"/>
            </w:pPr>
            <w:r>
              <w:rPr>
                <w:rFonts w:ascii="Arial" w:eastAsia="Arial" w:hAnsi="Arial" w:cs="Arial"/>
                <w:color w:val="000000"/>
                <w:spacing w:val="0"/>
                <w:w w:val="100"/>
                <w:position w:val="0"/>
                <w:shd w:val="clear" w:color="auto" w:fill="auto"/>
                <w:lang w:val="pt-PT" w:eastAsia="pt-PT" w:bidi="pt-PT"/>
              </w:rPr>
              <w:t>'</w:t>
              <w:tab/>
              <w:t>4,62</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p>
            <w:pPr>
              <w:pStyle w:val="Style23"/>
              <w:keepNext w:val="0"/>
              <w:keepLines w:val="0"/>
              <w:widowControl w:val="0"/>
              <w:shd w:val="clear" w:color="auto" w:fill="auto"/>
              <w:tabs>
                <w:tab w:pos="830" w:val="left"/>
              </w:tabs>
              <w:bidi w:val="0"/>
              <w:spacing w:before="0" w:after="0" w:line="240" w:lineRule="auto"/>
              <w:ind w:left="0" w:right="0" w:firstLine="0"/>
              <w:jc w:val="both"/>
            </w:pPr>
            <w:r>
              <w:rPr>
                <w:rFonts w:ascii="Arial" w:eastAsia="Arial" w:hAnsi="Arial" w:cs="Arial"/>
                <w:color w:val="000000"/>
                <w:spacing w:val="0"/>
                <w:w w:val="100"/>
                <w:position w:val="0"/>
                <w:shd w:val="clear" w:color="auto" w:fill="auto"/>
                <w:lang w:val="pt-PT" w:eastAsia="pt-PT" w:bidi="pt-PT"/>
              </w:rPr>
              <w:t>'</w:t>
              <w:tab/>
              <w:t>4,83</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2025</w:t>
            </w:r>
          </w:p>
          <w:p>
            <w:pPr>
              <w:pStyle w:val="Style23"/>
              <w:keepNext w:val="0"/>
              <w:keepLines w:val="0"/>
              <w:widowControl w:val="0"/>
              <w:shd w:val="clear" w:color="auto" w:fill="auto"/>
              <w:tabs>
                <w:tab w:pos="835" w:val="left"/>
              </w:tabs>
              <w:bidi w:val="0"/>
              <w:spacing w:before="0" w:after="0" w:line="240" w:lineRule="auto"/>
              <w:ind w:left="0" w:right="0" w:firstLine="0"/>
              <w:jc w:val="both"/>
            </w:pPr>
            <w:r>
              <w:rPr>
                <w:rFonts w:ascii="Arial" w:eastAsia="Arial" w:hAnsi="Arial" w:cs="Arial"/>
                <w:color w:val="000000"/>
                <w:spacing w:val="0"/>
                <w:w w:val="100"/>
                <w:position w:val="0"/>
                <w:shd w:val="clear" w:color="auto" w:fill="auto"/>
                <w:lang w:val="pt-PT" w:eastAsia="pt-PT" w:bidi="pt-PT"/>
              </w:rPr>
              <w:t>'</w:t>
              <w:tab/>
              <w:t>3,29</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p>
            <w:pPr>
              <w:pStyle w:val="Style23"/>
              <w:keepNext w:val="0"/>
              <w:keepLines w:val="0"/>
              <w:widowControl w:val="0"/>
              <w:shd w:val="clear" w:color="auto" w:fill="auto"/>
              <w:tabs>
                <w:tab w:pos="830" w:val="left"/>
              </w:tabs>
              <w:bidi w:val="0"/>
              <w:spacing w:before="0" w:after="0" w:line="240" w:lineRule="auto"/>
              <w:ind w:left="0" w:right="0" w:firstLine="0"/>
              <w:jc w:val="both"/>
            </w:pPr>
            <w:r>
              <w:rPr>
                <w:rFonts w:ascii="Arial" w:eastAsia="Arial" w:hAnsi="Arial" w:cs="Arial"/>
                <w:color w:val="000000"/>
                <w:spacing w:val="0"/>
                <w:w w:val="100"/>
                <w:position w:val="0"/>
                <w:shd w:val="clear" w:color="auto" w:fill="auto"/>
                <w:lang w:val="pt-PT" w:eastAsia="pt-PT" w:bidi="pt-PT"/>
              </w:rPr>
              <w:t>'</w:t>
              <w:tab/>
              <w:t>4,50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p>
            <w:pPr>
              <w:pStyle w:val="Style23"/>
              <w:keepNext w:val="0"/>
              <w:keepLines w:val="0"/>
              <w:widowControl w:val="0"/>
              <w:shd w:val="clear" w:color="auto" w:fill="auto"/>
              <w:tabs>
                <w:tab w:pos="830" w:val="left"/>
              </w:tabs>
              <w:bidi w:val="0"/>
              <w:spacing w:before="0" w:after="0" w:line="240" w:lineRule="auto"/>
              <w:ind w:left="0" w:right="0" w:firstLine="0"/>
              <w:jc w:val="both"/>
            </w:pPr>
            <w:r>
              <w:rPr>
                <w:rFonts w:ascii="Arial" w:eastAsia="Arial" w:hAnsi="Arial" w:cs="Arial"/>
                <w:color w:val="000000"/>
                <w:spacing w:val="0"/>
                <w:w w:val="100"/>
                <w:position w:val="0"/>
                <w:shd w:val="clear" w:color="auto" w:fill="auto"/>
                <w:lang w:val="pt-PT" w:eastAsia="pt-PT" w:bidi="pt-PT"/>
              </w:rPr>
              <w:t>'</w:t>
              <w:tab/>
              <w:t>4,00</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p>
            <w:pPr>
              <w:pStyle w:val="Style23"/>
              <w:keepNext w:val="0"/>
              <w:keepLines w:val="0"/>
              <w:widowControl w:val="0"/>
              <w:shd w:val="clear" w:color="auto" w:fill="auto"/>
              <w:tabs>
                <w:tab w:pos="792" w:val="left"/>
              </w:tabs>
              <w:bidi w:val="0"/>
              <w:spacing w:before="0" w:after="0" w:line="240" w:lineRule="auto"/>
              <w:ind w:left="0" w:right="0" w:firstLine="0"/>
              <w:jc w:val="both"/>
            </w:pPr>
            <w:r>
              <w:rPr>
                <w:rFonts w:ascii="Arial" w:eastAsia="Arial" w:hAnsi="Arial" w:cs="Arial"/>
                <w:color w:val="000000"/>
                <w:spacing w:val="0"/>
                <w:w w:val="100"/>
                <w:position w:val="0"/>
                <w:shd w:val="clear" w:color="auto" w:fill="auto"/>
                <w:lang w:val="pt-PT" w:eastAsia="pt-PT" w:bidi="pt-PT"/>
              </w:rPr>
              <w:t>'</w:t>
              <w:tab/>
              <w:t>3,80</w:t>
            </w:r>
          </w:p>
        </w:tc>
      </w:tr>
      <w:tr>
        <w:trPr>
          <w:trHeight w:val="240" w:hRule="exact"/>
        </w:trPr>
        <w:tc>
          <w:tcPr>
            <w:gridSpan w:val="6"/>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pPr>
            <w:r>
              <w:rPr>
                <w:rFonts w:ascii="Arial" w:eastAsia="Arial" w:hAnsi="Arial" w:cs="Arial"/>
                <w:b/>
                <w:bCs/>
                <w:color w:val="000000"/>
                <w:spacing w:val="0"/>
                <w:w w:val="100"/>
                <w:position w:val="0"/>
                <w:shd w:val="clear" w:color="auto" w:fill="auto"/>
                <w:lang w:val="pt-PT" w:eastAsia="pt-PT" w:bidi="pt-PT"/>
              </w:rPr>
              <w:t>VALORES DE REFERÊNCIA</w:t>
            </w:r>
          </w:p>
        </w:tc>
      </w:tr>
      <w:tr>
        <w:trPr>
          <w:trHeight w:val="274" w:hRule="exact"/>
        </w:trPr>
        <w:tc>
          <w:tcPr>
            <w:gridSpan w:val="6"/>
            <w:tcBorders>
              <w:top w:val="single" w:sz="4"/>
              <w:left w:val="single" w:sz="4"/>
              <w:bottom w:val="single" w:sz="4"/>
              <w:right w:val="single" w:sz="4"/>
            </w:tcBorders>
            <w:shd w:val="clear" w:color="auto" w:fill="FFFFFF"/>
            <w:vAlign w:val="top"/>
          </w:tcPr>
          <w:p>
            <w:pPr>
              <w:pStyle w:val="Style23"/>
              <w:keepNext w:val="0"/>
              <w:keepLines w:val="0"/>
              <w:widowControl w:val="0"/>
              <w:shd w:val="clear" w:color="auto" w:fill="auto"/>
              <w:tabs>
                <w:tab w:pos="7474" w:val="left"/>
                <w:tab w:pos="9485" w:val="left"/>
                <w:tab w:pos="11525" w:val="left"/>
              </w:tabs>
              <w:bidi w:val="0"/>
              <w:spacing w:before="0" w:after="0" w:line="240" w:lineRule="auto"/>
              <w:ind w:left="0" w:right="0" w:firstLine="0"/>
              <w:jc w:val="both"/>
              <w:rPr>
                <w:sz w:val="16"/>
                <w:szCs w:val="16"/>
              </w:rPr>
            </w:pPr>
            <w:r>
              <w:rPr>
                <w:rFonts w:ascii="Arial" w:eastAsia="Arial" w:hAnsi="Arial" w:cs="Arial"/>
                <w:color w:val="000000"/>
                <w:spacing w:val="0"/>
                <w:w w:val="100"/>
                <w:position w:val="0"/>
                <w:sz w:val="16"/>
                <w:szCs w:val="16"/>
                <w:shd w:val="clear" w:color="auto" w:fill="auto"/>
                <w:lang w:val="pt-PT" w:eastAsia="pt-PT" w:bidi="pt-PT"/>
              </w:rPr>
              <w:t>Valor Corrente x 1,12021 Valor Corrente x 1,05890 Valor Corrente x 1,00000 Valor Corrente /</w:t>
              <w:tab/>
              <w:t>1,04020 Valor Corrente /</w:t>
              <w:tab/>
              <w:t>1,07952 Valor Corrente /</w:t>
              <w:tab/>
              <w:t>1,11946</w:t>
            </w:r>
          </w:p>
        </w:tc>
      </w:tr>
    </w:tbl>
    <w:p>
      <w:pPr>
        <w:pStyle w:val="Style33"/>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 Inflação Média ( % anual ) projetada com base no Índice Nacional de Preços ao Consumidor Amplo - IPCA, divulgado pelo IBGE</w:t>
      </w:r>
    </w:p>
    <w:p>
      <w:pPr>
        <w:widowControl w:val="0"/>
        <w:spacing w:after="719" w:line="1" w:lineRule="exact"/>
      </w:pPr>
    </w:p>
    <w:p>
      <w:pPr>
        <w:pStyle w:val="Style29"/>
        <w:keepNext w:val="0"/>
        <w:keepLines w:val="0"/>
        <w:widowControl w:val="0"/>
        <w:shd w:val="clear" w:color="auto" w:fill="auto"/>
        <w:bidi w:val="0"/>
        <w:spacing w:before="0" w:after="0" w:line="240" w:lineRule="auto"/>
        <w:ind w:left="2180" w:right="0" w:firstLine="40"/>
        <w:jc w:val="left"/>
      </w:pPr>
      <w:r>
        <mc:AlternateContent>
          <mc:Choice Requires="wps">
            <w:drawing>
              <wp:anchor distT="0" distB="0" distL="114300" distR="114300" simplePos="0" relativeHeight="125829401" behindDoc="0" locked="0" layoutInCell="1" allowOverlap="1">
                <wp:simplePos x="0" y="0"/>
                <wp:positionH relativeFrom="page">
                  <wp:posOffset>1448435</wp:posOffset>
                </wp:positionH>
                <wp:positionV relativeFrom="paragraph">
                  <wp:posOffset>12700</wp:posOffset>
                </wp:positionV>
                <wp:extent cx="1764665" cy="271145"/>
                <wp:wrapSquare wrapText="right"/>
                <wp:docPr id="71" name="Shape 71"/>
                <a:graphic xmlns:a="http://schemas.openxmlformats.org/drawingml/2006/main">
                  <a:graphicData uri="http://schemas.microsoft.com/office/word/2010/wordprocessingShape">
                    <wps:wsp>
                      <wps:cNvSpPr txBox="1"/>
                      <wps:spPr>
                        <a:xfrm>
                          <a:ext cx="1764665" cy="27114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Macelly Cristina de Souza Veras</w:t>
                            </w:r>
                          </w:p>
                          <w:p>
                            <w:pPr>
                              <w:pStyle w:val="Style16"/>
                              <w:keepNext w:val="0"/>
                              <w:keepLines w:val="0"/>
                              <w:widowControl w:val="0"/>
                              <w:shd w:val="clear" w:color="auto" w:fill="auto"/>
                              <w:bidi w:val="0"/>
                              <w:spacing w:before="0" w:after="0" w:line="230" w:lineRule="auto"/>
                              <w:ind w:left="0" w:right="0" w:firstLine="0"/>
                              <w:jc w:val="center"/>
                            </w:pPr>
                            <w:r>
                              <w:rPr>
                                <w:color w:val="000000"/>
                                <w:spacing w:val="0"/>
                                <w:w w:val="100"/>
                                <w:position w:val="0"/>
                                <w:shd w:val="clear" w:color="auto" w:fill="auto"/>
                                <w:lang w:val="pt-BR" w:eastAsia="pt-BR" w:bidi="pt-BR"/>
                              </w:rPr>
                              <w:t xml:space="preserve">Prefeita </w:t>
                            </w:r>
                            <w:r>
                              <w:rPr>
                                <w:color w:val="000000"/>
                                <w:spacing w:val="0"/>
                                <w:w w:val="100"/>
                                <w:position w:val="0"/>
                                <w:shd w:val="clear" w:color="auto" w:fill="auto"/>
                                <w:lang w:val="pt-PT" w:eastAsia="pt-PT" w:bidi="pt-PT"/>
                              </w:rPr>
                              <w:t>Municipal</w:t>
                            </w:r>
                          </w:p>
                        </w:txbxContent>
                      </wps:txbx>
                      <wps:bodyPr lIns="0" tIns="0" rIns="0" bIns="0">
                        <a:noAutoFit/>
                      </wps:bodyPr>
                    </wps:wsp>
                  </a:graphicData>
                </a:graphic>
              </wp:anchor>
            </w:drawing>
          </mc:Choice>
          <mc:Fallback>
            <w:pict>
              <v:shape id="_x0000_s1097" type="#_x0000_t202" style="position:absolute;margin-left:114.05pt;margin-top:1.pt;width:138.94999999999999pt;height:21.350000000000001pt;z-index:-125829352;mso-wrap-distance-left:9.pt;mso-wrap-distance-right:9.pt;mso-position-horizontal-relative:page" filled="f" stroked="f">
                <v:textbox inset="0,0,0,0">
                  <w:txbxContent>
                    <w:p>
                      <w:pPr>
                        <w:pStyle w:val="Style2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Macelly Cristina de Souza Veras</w:t>
                      </w:r>
                    </w:p>
                    <w:p>
                      <w:pPr>
                        <w:pStyle w:val="Style16"/>
                        <w:keepNext w:val="0"/>
                        <w:keepLines w:val="0"/>
                        <w:widowControl w:val="0"/>
                        <w:shd w:val="clear" w:color="auto" w:fill="auto"/>
                        <w:bidi w:val="0"/>
                        <w:spacing w:before="0" w:after="0" w:line="230" w:lineRule="auto"/>
                        <w:ind w:left="0" w:right="0" w:firstLine="0"/>
                        <w:jc w:val="center"/>
                      </w:pPr>
                      <w:r>
                        <w:rPr>
                          <w:color w:val="000000"/>
                          <w:spacing w:val="0"/>
                          <w:w w:val="100"/>
                          <w:position w:val="0"/>
                          <w:shd w:val="clear" w:color="auto" w:fill="auto"/>
                          <w:lang w:val="pt-BR" w:eastAsia="pt-BR" w:bidi="pt-BR"/>
                        </w:rPr>
                        <w:t xml:space="preserve">Prefeita </w:t>
                      </w:r>
                      <w:r>
                        <w:rPr>
                          <w:color w:val="000000"/>
                          <w:spacing w:val="0"/>
                          <w:w w:val="100"/>
                          <w:position w:val="0"/>
                          <w:shd w:val="clear" w:color="auto" w:fill="auto"/>
                          <w:lang w:val="pt-PT" w:eastAsia="pt-PT" w:bidi="pt-PT"/>
                        </w:rPr>
                        <w:t>Municipal</w:t>
                      </w:r>
                    </w:p>
                  </w:txbxContent>
                </v:textbox>
                <w10:wrap type="square" side="right" anchorx="page"/>
              </v:shape>
            </w:pict>
          </mc:Fallback>
        </mc:AlternateContent>
      </w:r>
      <w:r>
        <w:rPr>
          <w:b/>
          <w:bCs/>
          <w:color w:val="000000"/>
          <w:spacing w:val="0"/>
          <w:w w:val="100"/>
          <w:position w:val="0"/>
          <w:shd w:val="clear" w:color="auto" w:fill="auto"/>
          <w:lang w:val="pt-PT" w:eastAsia="pt-PT" w:bidi="pt-PT"/>
        </w:rPr>
        <w:t>Dilson Marcos Kovalski</w:t>
      </w:r>
    </w:p>
    <w:p>
      <w:pPr>
        <w:pStyle w:val="Style16"/>
        <w:keepNext w:val="0"/>
        <w:keepLines w:val="0"/>
        <w:widowControl w:val="0"/>
        <w:shd w:val="clear" w:color="auto" w:fill="auto"/>
        <w:bidi w:val="0"/>
        <w:spacing w:before="0" w:after="80" w:line="240" w:lineRule="auto"/>
        <w:ind w:left="2180" w:right="0" w:firstLine="40"/>
        <w:jc w:val="left"/>
        <w:sectPr>
          <w:headerReference w:type="default" r:id="rId39"/>
          <w:footerReference w:type="default" r:id="rId40"/>
          <w:footnotePr>
            <w:pos w:val="pageBottom"/>
            <w:numFmt w:val="decimal"/>
            <w:numRestart w:val="continuous"/>
          </w:footnotePr>
          <w:pgSz w:w="16840" w:h="11900" w:orient="landscape"/>
          <w:pgMar w:top="560" w:left="1167" w:right="658" w:bottom="542" w:header="132" w:footer="114" w:gutter="0"/>
          <w:cols w:space="720"/>
          <w:noEndnote/>
          <w:rtlGutter w:val="0"/>
          <w:docGrid w:linePitch="360"/>
        </w:sectPr>
      </w:pPr>
      <w:r>
        <w:rPr>
          <w:color w:val="000000"/>
          <w:spacing w:val="0"/>
          <w:w w:val="100"/>
          <w:position w:val="0"/>
          <w:shd w:val="clear" w:color="auto" w:fill="auto"/>
          <w:lang w:val="pt-PT" w:eastAsia="pt-PT" w:bidi="pt-PT"/>
        </w:rPr>
        <w:t>Contador CRC n° 012541/O-0</w:t>
      </w:r>
    </w:p>
    <w:p>
      <w:pPr>
        <w:pStyle w:val="Style29"/>
        <w:keepNext w:val="0"/>
        <w:keepLines w:val="0"/>
        <w:widowControl w:val="0"/>
        <w:shd w:val="clear" w:color="auto" w:fill="auto"/>
        <w:bidi w:val="0"/>
        <w:spacing w:before="0" w:after="0" w:line="233" w:lineRule="auto"/>
        <w:ind w:left="2180" w:right="0" w:firstLine="0"/>
        <w:jc w:val="left"/>
      </w:pPr>
      <w:r>
        <w:rPr>
          <w:color w:val="000000"/>
          <w:spacing w:val="0"/>
          <w:w w:val="100"/>
          <w:position w:val="0"/>
          <w:shd w:val="clear" w:color="auto" w:fill="auto"/>
          <w:lang w:val="pt-PT" w:eastAsia="pt-PT" w:bidi="pt-PT"/>
        </w:rPr>
        <w:t>ESTADO DO AMAZONAS</w:t>
      </w:r>
    </w:p>
    <w:p>
      <w:pPr>
        <w:pStyle w:val="Style29"/>
        <w:keepNext w:val="0"/>
        <w:keepLines w:val="0"/>
        <w:widowControl w:val="0"/>
        <w:shd w:val="clear" w:color="auto" w:fill="auto"/>
        <w:bidi w:val="0"/>
        <w:spacing w:before="0" w:after="0" w:line="233" w:lineRule="auto"/>
        <w:ind w:left="2180" w:right="3780" w:firstLine="0"/>
        <w:jc w:val="left"/>
      </w:pPr>
      <w:r>
        <w:rPr>
          <w:color w:val="000000"/>
          <w:spacing w:val="0"/>
          <w:w w:val="100"/>
          <w:position w:val="0"/>
          <w:shd w:val="clear" w:color="auto" w:fill="auto"/>
          <w:lang w:val="pt-PT" w:eastAsia="pt-PT" w:bidi="pt-PT"/>
        </w:rPr>
        <w:t xml:space="preserve">LEI DE DIRETRIZES </w:t>
      </w:r>
      <w:r>
        <w:rPr>
          <w:color w:val="000000"/>
          <w:spacing w:val="0"/>
          <w:w w:val="100"/>
          <w:position w:val="0"/>
          <w:shd w:val="clear" w:color="auto" w:fill="auto"/>
          <w:lang w:val="pt-BR" w:eastAsia="pt-BR" w:bidi="pt-BR"/>
        </w:rPr>
        <w:t xml:space="preserve">ORÇAMENTÁRIAS </w:t>
      </w:r>
      <w:r>
        <w:rPr>
          <w:color w:val="000000"/>
          <w:spacing w:val="0"/>
          <w:w w:val="100"/>
          <w:position w:val="0"/>
          <w:shd w:val="clear" w:color="auto" w:fill="auto"/>
          <w:lang w:val="pt-PT" w:eastAsia="pt-PT" w:bidi="pt-PT"/>
        </w:rPr>
        <w:t>- 2026 ANEXO DE METAS FISCAIS</w:t>
      </w:r>
    </w:p>
    <w:p>
      <w:pPr>
        <w:pStyle w:val="Style29"/>
        <w:keepNext w:val="0"/>
        <w:keepLines w:val="0"/>
        <w:widowControl w:val="0"/>
        <w:shd w:val="clear" w:color="auto" w:fill="auto"/>
        <w:bidi w:val="0"/>
        <w:spacing w:before="0" w:after="420" w:line="233" w:lineRule="auto"/>
        <w:ind w:left="2180" w:right="0" w:firstLine="0"/>
        <w:jc w:val="left"/>
      </w:pPr>
      <w:r>
        <w:rPr>
          <w:color w:val="000000"/>
          <w:spacing w:val="0"/>
          <w:w w:val="100"/>
          <w:position w:val="0"/>
          <w:shd w:val="clear" w:color="auto" w:fill="auto"/>
          <w:lang w:val="pt-PT" w:eastAsia="pt-PT" w:bidi="pt-PT"/>
        </w:rPr>
        <w:t xml:space="preserve">Demonstrativo IV - Evolução do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Líquido</w:t>
      </w:r>
    </w:p>
    <w:p>
      <w:pPr>
        <w:pStyle w:val="Style33"/>
        <w:keepNext w:val="0"/>
        <w:keepLines w:val="0"/>
        <w:widowControl w:val="0"/>
        <w:shd w:val="clear" w:color="auto" w:fill="auto"/>
        <w:tabs>
          <w:tab w:pos="9725" w:val="left"/>
        </w:tabs>
        <w:bidi w:val="0"/>
        <w:spacing w:before="0" w:after="0" w:line="240" w:lineRule="auto"/>
        <w:ind w:left="0" w:right="0" w:firstLine="0"/>
        <w:jc w:val="both"/>
        <w:rPr>
          <w:sz w:val="14"/>
          <w:szCs w:val="14"/>
        </w:rPr>
      </w:pPr>
      <w:r>
        <w:rPr>
          <w:color w:val="000000"/>
          <w:spacing w:val="0"/>
          <w:w w:val="100"/>
          <w:position w:val="0"/>
          <w:sz w:val="16"/>
          <w:szCs w:val="16"/>
          <w:shd w:val="clear" w:color="auto" w:fill="auto"/>
          <w:lang w:val="pt-PT" w:eastAsia="pt-PT" w:bidi="pt-PT"/>
        </w:rPr>
        <w:t>AMF - Tabela 4 (LRF, art. 4°, §2°, inciso III)</w:t>
        <w:tab/>
      </w:r>
      <w:r>
        <w:rPr>
          <w:color w:val="000000"/>
          <w:spacing w:val="0"/>
          <w:w w:val="100"/>
          <w:position w:val="0"/>
          <w:sz w:val="14"/>
          <w:szCs w:val="14"/>
          <w:shd w:val="clear" w:color="auto" w:fill="auto"/>
          <w:lang w:val="pt-PT" w:eastAsia="pt-PT" w:bidi="pt-PT"/>
        </w:rPr>
        <w:t>(R$)</w:t>
      </w:r>
    </w:p>
    <w:tbl>
      <w:tblPr>
        <w:tblOverlap w:val="never"/>
        <w:jc w:val="center"/>
        <w:tblLayout w:type="fixed"/>
      </w:tblPr>
      <w:tblGrid>
        <w:gridCol w:w="2688"/>
        <w:gridCol w:w="1666"/>
        <w:gridCol w:w="854"/>
        <w:gridCol w:w="1738"/>
        <w:gridCol w:w="782"/>
        <w:gridCol w:w="1603"/>
        <w:gridCol w:w="754"/>
      </w:tblGrid>
      <w:tr>
        <w:trPr>
          <w:trHeight w:val="302"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BR" w:eastAsia="pt-BR" w:bidi="pt-BR"/>
              </w:rPr>
              <w:t xml:space="preserve">PATRIMÔNIO </w:t>
            </w:r>
            <w:r>
              <w:rPr>
                <w:rFonts w:ascii="Arial" w:eastAsia="Arial" w:hAnsi="Arial" w:cs="Arial"/>
                <w:b/>
                <w:bCs/>
                <w:color w:val="000000"/>
                <w:spacing w:val="0"/>
                <w:w w:val="100"/>
                <w:position w:val="0"/>
                <w:shd w:val="clear" w:color="auto" w:fill="auto"/>
                <w:lang w:val="pt-PT" w:eastAsia="pt-PT" w:bidi="pt-PT"/>
              </w:rPr>
              <w:t>LÍQUIDO</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60" w:right="0" w:firstLine="0"/>
              <w:jc w:val="center"/>
            </w:pPr>
            <w:r>
              <w:rPr>
                <w:rFonts w:ascii="Arial" w:eastAsia="Arial" w:hAnsi="Arial" w:cs="Arial"/>
                <w:b/>
                <w:bCs/>
                <w:color w:val="000000"/>
                <w:spacing w:val="0"/>
                <w:w w:val="100"/>
                <w:position w:val="0"/>
                <w:shd w:val="clear" w:color="auto" w:fill="auto"/>
                <w:lang w:val="pt-PT" w:eastAsia="pt-PT" w:bidi="pt-PT"/>
              </w:rPr>
              <w:t>%</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2022</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w:t>
            </w:r>
          </w:p>
        </w:tc>
      </w:tr>
      <w:tr>
        <w:trPr>
          <w:trHeight w:val="278"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Patrimônio/Capital</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40"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Reservas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88"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Resultado Acumulado</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238.390.865,40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100,00</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-100.206.010,43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-95.896.932,89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307"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TOTAL</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238.390.865,40</w:t>
            </w:r>
          </w:p>
        </w:tc>
        <w:tc>
          <w:tcPr>
            <w:tcBorders>
              <w:top w:val="single" w:sz="4"/>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100,00</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20" w:firstLine="0"/>
              <w:jc w:val="center"/>
            </w:pPr>
            <w:r>
              <w:rPr>
                <w:rFonts w:ascii="Arial" w:eastAsia="Arial" w:hAnsi="Arial" w:cs="Arial"/>
                <w:color w:val="000000"/>
                <w:spacing w:val="0"/>
                <w:w w:val="100"/>
                <w:position w:val="0"/>
                <w:shd w:val="clear" w:color="auto" w:fill="auto"/>
                <w:lang w:val="pt-PT" w:eastAsia="pt-PT" w:bidi="pt-PT"/>
              </w:rPr>
              <w:t>-100.206.010,43</w:t>
            </w:r>
          </w:p>
        </w:tc>
        <w:tc>
          <w:tcPr>
            <w:tcBorders>
              <w:top w:val="single" w:sz="4"/>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-95.896.932,89</w:t>
            </w:r>
          </w:p>
        </w:tc>
        <w:tc>
          <w:tcPr>
            <w:tcBorders>
              <w:top w:val="single" w:sz="4"/>
              <w:left w:val="single" w:sz="4"/>
              <w:bottom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bl>
    <w:p>
      <w:pPr>
        <w:pStyle w:val="Style33"/>
        <w:keepNext w:val="0"/>
        <w:keepLines w:val="0"/>
        <w:widowControl w:val="0"/>
        <w:shd w:val="clear" w:color="auto" w:fill="auto"/>
        <w:bidi w:val="0"/>
        <w:spacing w:before="0" w:after="0" w:line="240" w:lineRule="auto"/>
        <w:ind w:left="19" w:right="0" w:firstLine="0"/>
        <w:jc w:val="left"/>
        <w:rPr>
          <w:sz w:val="18"/>
          <w:szCs w:val="18"/>
        </w:rPr>
      </w:pPr>
      <w:r>
        <w:rPr>
          <w:color w:val="000000"/>
          <w:spacing w:val="0"/>
          <w:w w:val="100"/>
          <w:position w:val="0"/>
          <w:sz w:val="18"/>
          <w:szCs w:val="18"/>
          <w:shd w:val="clear" w:color="auto" w:fill="auto"/>
          <w:lang w:val="pt-PT" w:eastAsia="pt-PT" w:bidi="pt-PT"/>
        </w:rPr>
        <w:t>Notas:</w:t>
      </w:r>
    </w:p>
    <w:p>
      <w:pPr>
        <w:widowControl w:val="0"/>
        <w:spacing w:after="1779" w:line="1" w:lineRule="exact"/>
      </w:pPr>
    </w:p>
    <w:p>
      <w:pPr>
        <w:pStyle w:val="Style29"/>
        <w:keepNext w:val="0"/>
        <w:keepLines w:val="0"/>
        <w:widowControl w:val="0"/>
        <w:shd w:val="clear" w:color="auto" w:fill="auto"/>
        <w:bidi w:val="0"/>
        <w:spacing w:before="0" w:after="120" w:line="240" w:lineRule="auto"/>
        <w:ind w:left="0" w:right="0" w:firstLine="0"/>
        <w:jc w:val="left"/>
      </w:pPr>
      <w:r>
        <mc:AlternateContent>
          <mc:Choice Requires="wps">
            <w:drawing>
              <wp:anchor distT="0" distB="0" distL="114300" distR="114300" simplePos="0" relativeHeight="125829403" behindDoc="0" locked="0" layoutInCell="1" allowOverlap="1">
                <wp:simplePos x="0" y="0"/>
                <wp:positionH relativeFrom="page">
                  <wp:posOffset>3216910</wp:posOffset>
                </wp:positionH>
                <wp:positionV relativeFrom="paragraph">
                  <wp:posOffset>12700</wp:posOffset>
                </wp:positionV>
                <wp:extent cx="1374775" cy="356870"/>
                <wp:wrapSquare wrapText="left"/>
                <wp:docPr id="73" name="Shape 73"/>
                <a:graphic xmlns:a="http://schemas.openxmlformats.org/drawingml/2006/main">
                  <a:graphicData uri="http://schemas.microsoft.com/office/word/2010/wordprocessingShape">
                    <wps:wsp>
                      <wps:cNvSpPr txBox="1"/>
                      <wps:spPr>
                        <a:xfrm>
                          <a:ext cx="1374775" cy="356870"/>
                        </a:xfrm>
                        <a:prstGeom prst="rect"/>
                        <a:noFill/>
                      </wps:spPr>
                      <wps:txbx>
                        <w:txbxContent>
                          <w:p>
                            <w:pPr>
                              <w:pStyle w:val="Style29"/>
                              <w:keepNext w:val="0"/>
                              <w:keepLines w:val="0"/>
                              <w:widowControl w:val="0"/>
                              <w:shd w:val="clear" w:color="auto" w:fill="auto"/>
                              <w:bidi w:val="0"/>
                              <w:spacing w:before="0" w:after="120" w:line="240" w:lineRule="auto"/>
                              <w:ind w:left="0" w:right="0" w:firstLine="0"/>
                              <w:jc w:val="left"/>
                            </w:pPr>
                            <w:r>
                              <w:rPr>
                                <w:b/>
                                <w:bCs/>
                                <w:color w:val="000000"/>
                                <w:spacing w:val="0"/>
                                <w:w w:val="100"/>
                                <w:position w:val="0"/>
                                <w:shd w:val="clear" w:color="auto" w:fill="auto"/>
                                <w:lang w:val="pt-PT" w:eastAsia="pt-PT" w:bidi="pt-PT"/>
                              </w:rPr>
                              <w:t>Dilson Marcos Kovalski</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wps:txbx>
                      <wps:bodyPr lIns="0" tIns="0" rIns="0" bIns="0">
                        <a:noAutoFit/>
                      </wps:bodyPr>
                    </wps:wsp>
                  </a:graphicData>
                </a:graphic>
              </wp:anchor>
            </w:drawing>
          </mc:Choice>
          <mc:Fallback>
            <w:pict>
              <v:shape id="_x0000_s1099" type="#_x0000_t202" style="position:absolute;margin-left:253.30000000000001pt;margin-top:1.pt;width:108.25pt;height:28.100000000000001pt;z-index:-125829350;mso-wrap-distance-left:9.pt;mso-wrap-distance-right:9.pt;mso-position-horizontal-relative:page" filled="f" stroked="f">
                <v:textbox inset="0,0,0,0">
                  <w:txbxContent>
                    <w:p>
                      <w:pPr>
                        <w:pStyle w:val="Style29"/>
                        <w:keepNext w:val="0"/>
                        <w:keepLines w:val="0"/>
                        <w:widowControl w:val="0"/>
                        <w:shd w:val="clear" w:color="auto" w:fill="auto"/>
                        <w:bidi w:val="0"/>
                        <w:spacing w:before="0" w:after="120" w:line="240" w:lineRule="auto"/>
                        <w:ind w:left="0" w:right="0" w:firstLine="0"/>
                        <w:jc w:val="left"/>
                      </w:pPr>
                      <w:r>
                        <w:rPr>
                          <w:b/>
                          <w:bCs/>
                          <w:color w:val="000000"/>
                          <w:spacing w:val="0"/>
                          <w:w w:val="100"/>
                          <w:position w:val="0"/>
                          <w:shd w:val="clear" w:color="auto" w:fill="auto"/>
                          <w:lang w:val="pt-PT" w:eastAsia="pt-PT" w:bidi="pt-PT"/>
                        </w:rPr>
                        <w:t>Dilson Marcos Kovalski</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v:textbox>
                <w10:wrap type="square" side="left" anchorx="page"/>
              </v:shape>
            </w:pict>
          </mc:Fallback>
        </mc:AlternateContent>
      </w:r>
      <w:r>
        <w:rPr>
          <w:b/>
          <w:bCs/>
          <w:color w:val="000000"/>
          <w:spacing w:val="0"/>
          <w:w w:val="100"/>
          <w:position w:val="0"/>
          <w:shd w:val="clear" w:color="auto" w:fill="auto"/>
          <w:lang w:val="pt-PT" w:eastAsia="pt-PT" w:bidi="pt-PT"/>
        </w:rPr>
        <w:t>Macelly Cristina de Souza Veras</w:t>
      </w:r>
    </w:p>
    <w:p>
      <w:pPr>
        <w:pStyle w:val="Style16"/>
        <w:keepNext w:val="0"/>
        <w:keepLines w:val="0"/>
        <w:widowControl w:val="0"/>
        <w:shd w:val="clear" w:color="auto" w:fill="auto"/>
        <w:bidi w:val="0"/>
        <w:spacing w:before="0" w:after="0" w:line="240" w:lineRule="auto"/>
        <w:ind w:left="820" w:right="0" w:firstLine="0"/>
        <w:jc w:val="left"/>
        <w:sectPr>
          <w:headerReference w:type="default" r:id="rId41"/>
          <w:footerReference w:type="default" r:id="rId42"/>
          <w:footnotePr>
            <w:pos w:val="pageBottom"/>
            <w:numFmt w:val="decimal"/>
            <w:numRestart w:val="continuous"/>
          </w:footnotePr>
          <w:pgSz w:w="11900" w:h="16840"/>
          <w:pgMar w:top="975" w:left="1217" w:right="599" w:bottom="975" w:header="0" w:footer="547" w:gutter="0"/>
          <w:cols w:space="720"/>
          <w:noEndnote/>
          <w:rtlGutter w:val="0"/>
          <w:docGrid w:linePitch="360"/>
        </w:sectPr>
      </w:pPr>
      <w:r>
        <w:rPr>
          <w:color w:val="000000"/>
          <w:spacing w:val="0"/>
          <w:w w:val="100"/>
          <w:position w:val="0"/>
          <w:shd w:val="clear" w:color="auto" w:fill="auto"/>
          <w:lang w:val="pt-BR" w:eastAsia="pt-BR" w:bidi="pt-BR"/>
        </w:rPr>
        <w:t xml:space="preserve">Prefeita </w:t>
      </w:r>
      <w:r>
        <w:rPr>
          <w:color w:val="000000"/>
          <w:spacing w:val="0"/>
          <w:w w:val="100"/>
          <w:position w:val="0"/>
          <w:shd w:val="clear" w:color="auto" w:fill="auto"/>
          <w:lang w:val="pt-PT" w:eastAsia="pt-PT" w:bidi="pt-PT"/>
        </w:rPr>
        <w:t>Municipal</w:t>
      </w:r>
    </w:p>
    <w:p>
      <w:pPr>
        <w:pStyle w:val="Style29"/>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pt-PT" w:eastAsia="pt-PT" w:bidi="pt-PT"/>
        </w:rPr>
        <w:t>ESTADO DO AMAZONAS</w:t>
      </w:r>
    </w:p>
    <w:p>
      <w:pPr>
        <w:pStyle w:val="Style29"/>
        <w:keepNext w:val="0"/>
        <w:keepLines w:val="0"/>
        <w:widowControl w:val="0"/>
        <w:shd w:val="clear" w:color="auto" w:fill="auto"/>
        <w:bidi w:val="0"/>
        <w:spacing w:before="0" w:after="0" w:line="233" w:lineRule="auto"/>
        <w:ind w:right="0" w:firstLine="0"/>
        <w:jc w:val="left"/>
      </w:pPr>
      <w:r>
        <w:rPr>
          <w:color w:val="000000"/>
          <w:spacing w:val="0"/>
          <w:w w:val="100"/>
          <w:position w:val="0"/>
          <w:shd w:val="clear" w:color="auto" w:fill="auto"/>
          <w:lang w:val="pt-PT" w:eastAsia="pt-PT" w:bidi="pt-PT"/>
        </w:rPr>
        <w:t xml:space="preserve">LEI DE DIRETRIZES </w:t>
      </w:r>
      <w:r>
        <w:rPr>
          <w:color w:val="000000"/>
          <w:spacing w:val="0"/>
          <w:w w:val="100"/>
          <w:position w:val="0"/>
          <w:shd w:val="clear" w:color="auto" w:fill="auto"/>
          <w:lang w:val="pt-BR" w:eastAsia="pt-BR" w:bidi="pt-BR"/>
        </w:rPr>
        <w:t xml:space="preserve">ORÇAMENTÁRIAS </w:t>
      </w:r>
      <w:r>
        <w:rPr>
          <w:color w:val="000000"/>
          <w:spacing w:val="0"/>
          <w:w w:val="100"/>
          <w:position w:val="0"/>
          <w:shd w:val="clear" w:color="auto" w:fill="auto"/>
          <w:lang w:val="pt-PT" w:eastAsia="pt-PT" w:bidi="pt-PT"/>
        </w:rPr>
        <w:t>- 2026</w:t>
      </w:r>
    </w:p>
    <w:p>
      <w:pPr>
        <w:pStyle w:val="Style29"/>
        <w:keepNext w:val="0"/>
        <w:keepLines w:val="0"/>
        <w:widowControl w:val="0"/>
        <w:shd w:val="clear" w:color="auto" w:fill="auto"/>
        <w:bidi w:val="0"/>
        <w:spacing w:before="0" w:after="0" w:line="233" w:lineRule="auto"/>
        <w:ind w:right="0" w:firstLine="0"/>
        <w:jc w:val="left"/>
      </w:pPr>
      <w:r>
        <w:rPr>
          <w:color w:val="000000"/>
          <w:spacing w:val="0"/>
          <w:w w:val="100"/>
          <w:position w:val="0"/>
          <w:shd w:val="clear" w:color="auto" w:fill="auto"/>
          <w:lang w:val="pt-PT" w:eastAsia="pt-PT" w:bidi="pt-PT"/>
        </w:rPr>
        <w:t>ANEXO DE METAS FISCAIS</w:t>
      </w:r>
    </w:p>
    <w:p>
      <w:pPr>
        <w:pStyle w:val="Style29"/>
        <w:keepNext w:val="0"/>
        <w:keepLines w:val="0"/>
        <w:widowControl w:val="0"/>
        <w:shd w:val="clear" w:color="auto" w:fill="auto"/>
        <w:bidi w:val="0"/>
        <w:spacing w:before="0" w:after="280" w:line="233" w:lineRule="auto"/>
        <w:ind w:right="0" w:firstLine="0"/>
        <w:jc w:val="left"/>
      </w:pPr>
      <w:r>
        <w:rPr>
          <w:color w:val="000000"/>
          <w:spacing w:val="0"/>
          <w:w w:val="100"/>
          <w:position w:val="0"/>
          <w:shd w:val="clear" w:color="auto" w:fill="auto"/>
          <w:lang w:val="pt-PT" w:eastAsia="pt-PT" w:bidi="pt-PT"/>
        </w:rPr>
        <w:t>Demonstrativo V - Origem e Aplicação dos Recursos Obtidos com a Alienação de Ativos</w:t>
      </w:r>
    </w:p>
    <w:p>
      <w:pPr>
        <w:pStyle w:val="Style33"/>
        <w:keepNext w:val="0"/>
        <w:keepLines w:val="0"/>
        <w:widowControl w:val="0"/>
        <w:shd w:val="clear" w:color="auto" w:fill="auto"/>
        <w:tabs>
          <w:tab w:pos="9667" w:val="left"/>
        </w:tabs>
        <w:bidi w:val="0"/>
        <w:spacing w:before="0" w:after="0" w:line="240" w:lineRule="auto"/>
        <w:ind w:left="0" w:right="0" w:firstLine="0"/>
        <w:jc w:val="both"/>
      </w:pPr>
      <w:r>
        <w:rPr>
          <w:color w:val="000000"/>
          <w:spacing w:val="0"/>
          <w:w w:val="100"/>
          <w:position w:val="0"/>
          <w:shd w:val="clear" w:color="auto" w:fill="auto"/>
          <w:lang w:val="pt-PT" w:eastAsia="pt-PT" w:bidi="pt-PT"/>
        </w:rPr>
        <w:t>AMF - Tabela 5 (LRF, art. 4°, §2°, inciso III)</w:t>
        <w:tab/>
      </w:r>
      <w:r>
        <w:rPr>
          <w:color w:val="000000"/>
          <w:spacing w:val="0"/>
          <w:w w:val="100"/>
          <w:position w:val="0"/>
          <w:shd w:val="clear" w:color="auto" w:fill="auto"/>
          <w:vertAlign w:val="superscript"/>
          <w:lang w:val="pt-PT" w:eastAsia="pt-PT" w:bidi="pt-PT"/>
        </w:rPr>
        <w:t>(R</w:t>
      </w:r>
      <w:r>
        <w:rPr>
          <w:color w:val="000000"/>
          <w:spacing w:val="0"/>
          <w:w w:val="100"/>
          <w:position w:val="0"/>
          <w:shd w:val="clear" w:color="auto" w:fill="auto"/>
          <w:lang w:val="pt-PT" w:eastAsia="pt-PT" w:bidi="pt-PT"/>
        </w:rPr>
        <w:t>$</w:t>
      </w:r>
      <w:r>
        <w:rPr>
          <w:color w:val="000000"/>
          <w:spacing w:val="0"/>
          <w:w w:val="100"/>
          <w:position w:val="0"/>
          <w:shd w:val="clear" w:color="auto" w:fill="auto"/>
          <w:vertAlign w:val="superscript"/>
          <w:lang w:val="pt-PT" w:eastAsia="pt-PT" w:bidi="pt-PT"/>
        </w:rPr>
        <w:t>)</w:t>
      </w:r>
    </w:p>
    <w:tbl>
      <w:tblPr>
        <w:tblOverlap w:val="never"/>
        <w:jc w:val="center"/>
        <w:tblLayout w:type="fixed"/>
      </w:tblPr>
      <w:tblGrid>
        <w:gridCol w:w="5309"/>
        <w:gridCol w:w="1085"/>
        <w:gridCol w:w="446"/>
        <w:gridCol w:w="1114"/>
        <w:gridCol w:w="446"/>
        <w:gridCol w:w="1128"/>
        <w:gridCol w:w="480"/>
      </w:tblGrid>
      <w:tr>
        <w:trPr>
          <w:trHeight w:val="269"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 w:firstLine="0"/>
              <w:jc w:val="center"/>
            </w:pPr>
            <w:r>
              <w:rPr>
                <w:rFonts w:ascii="Arial" w:eastAsia="Arial" w:hAnsi="Arial" w:cs="Arial"/>
                <w:b/>
                <w:bCs/>
                <w:color w:val="000000"/>
                <w:spacing w:val="0"/>
                <w:w w:val="100"/>
                <w:position w:val="0"/>
                <w:shd w:val="clear" w:color="auto" w:fill="auto"/>
                <w:lang w:val="pt-PT" w:eastAsia="pt-PT" w:bidi="pt-PT"/>
              </w:rPr>
              <w:t>RECEITAS</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2024</w:t>
            </w:r>
          </w:p>
        </w:tc>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2023</w:t>
            </w:r>
          </w:p>
        </w:tc>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2022</w:t>
            </w:r>
          </w:p>
        </w:tc>
        <w:tc>
          <w:tcPr>
            <w:tcBorders>
              <w:top w:val="single" w:sz="4"/>
              <w:right w:val="single" w:sz="4"/>
            </w:tcBorders>
            <w:shd w:val="clear" w:color="auto" w:fill="FFFFFF"/>
            <w:vAlign w:val="top"/>
          </w:tcPr>
          <w:p>
            <w:pPr>
              <w:widowControl w:val="0"/>
              <w:rPr>
                <w:sz w:val="10"/>
                <w:szCs w:val="10"/>
              </w:rPr>
            </w:pPr>
          </w:p>
        </w:tc>
      </w:tr>
      <w:tr>
        <w:trPr>
          <w:trHeight w:val="283" w:hRule="exact"/>
        </w:trPr>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pPr>
            <w:r>
              <w:rPr>
                <w:rFonts w:ascii="Arial" w:eastAsia="Arial" w:hAnsi="Arial" w:cs="Arial"/>
                <w:b/>
                <w:bCs/>
                <w:color w:val="000000"/>
                <w:spacing w:val="0"/>
                <w:w w:val="100"/>
                <w:position w:val="0"/>
                <w:shd w:val="clear" w:color="auto" w:fill="auto"/>
                <w:lang w:val="pt-PT" w:eastAsia="pt-PT" w:bidi="pt-PT"/>
              </w:rPr>
              <w:t>REALIZADAS</w:t>
            </w:r>
          </w:p>
        </w:tc>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720" w:right="0" w:firstLine="0"/>
              <w:jc w:val="left"/>
            </w:pPr>
            <w:r>
              <w:rPr>
                <w:rFonts w:ascii="Arial" w:eastAsia="Arial" w:hAnsi="Arial" w:cs="Arial"/>
                <w:b/>
                <w:bCs/>
                <w:color w:val="000000"/>
                <w:spacing w:val="0"/>
                <w:w w:val="100"/>
                <w:position w:val="0"/>
                <w:shd w:val="clear" w:color="auto" w:fill="auto"/>
                <w:lang w:val="pt-PT" w:eastAsia="pt-PT" w:bidi="pt-PT"/>
              </w:rPr>
              <w:t>(a)</w:t>
            </w:r>
          </w:p>
        </w:tc>
        <w:tc>
          <w:tcPr>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740" w:right="0" w:firstLine="0"/>
              <w:jc w:val="left"/>
            </w:pPr>
            <w:r>
              <w:rPr>
                <w:rFonts w:ascii="Arial" w:eastAsia="Arial" w:hAnsi="Arial" w:cs="Arial"/>
                <w:b/>
                <w:bCs/>
                <w:color w:val="000000"/>
                <w:spacing w:val="0"/>
                <w:w w:val="100"/>
                <w:position w:val="0"/>
                <w:shd w:val="clear" w:color="auto" w:fill="auto"/>
                <w:lang w:val="pt-PT" w:eastAsia="pt-PT" w:bidi="pt-PT"/>
              </w:rPr>
              <w:t>(b)</w:t>
            </w:r>
          </w:p>
        </w:tc>
        <w:tc>
          <w:tcPr>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700" w:right="0" w:firstLine="0"/>
              <w:jc w:val="left"/>
            </w:pPr>
            <w:r>
              <w:rPr>
                <w:rFonts w:ascii="Arial" w:eastAsia="Arial" w:hAnsi="Arial" w:cs="Arial"/>
                <w:b/>
                <w:bCs/>
                <w:color w:val="000000"/>
                <w:spacing w:val="0"/>
                <w:w w:val="100"/>
                <w:position w:val="0"/>
                <w:shd w:val="clear" w:color="auto" w:fill="auto"/>
                <w:lang w:val="pt-PT" w:eastAsia="pt-PT" w:bidi="pt-PT"/>
              </w:rPr>
              <w:t>(c)</w:t>
            </w:r>
          </w:p>
        </w:tc>
        <w:tc>
          <w:tcPr>
            <w:tcBorders>
              <w:right w:val="single" w:sz="4"/>
            </w:tcBorders>
            <w:shd w:val="clear" w:color="auto" w:fill="FFFFFF"/>
            <w:vAlign w:val="top"/>
          </w:tcPr>
          <w:p>
            <w:pPr>
              <w:widowControl w:val="0"/>
              <w:rPr>
                <w:sz w:val="10"/>
                <w:szCs w:val="10"/>
              </w:rPr>
            </w:pPr>
          </w:p>
        </w:tc>
      </w:tr>
      <w:tr>
        <w:trPr>
          <w:trHeight w:val="259"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RECEITA DE CAPITAL</w:t>
            </w:r>
          </w:p>
        </w:tc>
        <w:tc>
          <w:tcPr>
            <w:tcBorders>
              <w:top w:val="single" w:sz="4"/>
              <w:left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26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40"/>
              <w:jc w:val="left"/>
            </w:pPr>
            <w:r>
              <w:rPr>
                <w:rFonts w:ascii="Arial" w:eastAsia="Arial" w:hAnsi="Arial" w:cs="Arial"/>
                <w:color w:val="000000"/>
                <w:spacing w:val="0"/>
                <w:w w:val="100"/>
                <w:position w:val="0"/>
                <w:shd w:val="clear" w:color="auto" w:fill="auto"/>
                <w:lang w:val="pt-PT" w:eastAsia="pt-PT" w:bidi="pt-PT"/>
              </w:rPr>
              <w:t>Receita de Alienação de Ativos</w:t>
            </w:r>
          </w:p>
        </w:tc>
        <w:tc>
          <w:tcPr>
            <w:tcBorders>
              <w:left w:val="single" w:sz="4"/>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50"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40" w:right="0" w:firstLine="40"/>
              <w:jc w:val="left"/>
            </w:pPr>
            <w:r>
              <w:rPr>
                <w:rFonts w:ascii="Arial" w:eastAsia="Arial" w:hAnsi="Arial" w:cs="Arial"/>
                <w:color w:val="000000"/>
                <w:spacing w:val="0"/>
                <w:w w:val="100"/>
                <w:position w:val="0"/>
                <w:shd w:val="clear" w:color="auto" w:fill="auto"/>
                <w:lang w:val="pt-PT" w:eastAsia="pt-PT" w:bidi="pt-PT"/>
              </w:rPr>
              <w:t>Alienação de Bens Móveis</w:t>
            </w:r>
          </w:p>
        </w:tc>
        <w:tc>
          <w:tcPr>
            <w:tcBorders>
              <w:left w:val="single" w:sz="4"/>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0,00</w:t>
            </w:r>
          </w:p>
        </w:tc>
      </w:tr>
      <w:tr>
        <w:trPr>
          <w:trHeight w:val="283"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40" w:right="0" w:firstLine="40"/>
              <w:jc w:val="left"/>
            </w:pPr>
            <w:r>
              <w:rPr>
                <w:rFonts w:ascii="Arial" w:eastAsia="Arial" w:hAnsi="Arial" w:cs="Arial"/>
                <w:color w:val="000000"/>
                <w:spacing w:val="0"/>
                <w:w w:val="100"/>
                <w:position w:val="0"/>
                <w:shd w:val="clear" w:color="auto" w:fill="auto"/>
                <w:lang w:val="pt-PT" w:eastAsia="pt-PT" w:bidi="pt-PT"/>
              </w:rPr>
              <w:t>Alienação de Bens Imóveis</w:t>
            </w:r>
          </w:p>
        </w:tc>
        <w:tc>
          <w:tcPr>
            <w:tcBorders>
              <w:left w:val="single" w:sz="4"/>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0,00</w:t>
            </w:r>
          </w:p>
        </w:tc>
      </w:tr>
      <w:tr>
        <w:trPr>
          <w:trHeight w:val="322"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TOTAL</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0,00</w:t>
            </w:r>
          </w:p>
        </w:tc>
        <w:tc>
          <w:tcPr>
            <w:gridSpan w:val="2"/>
            <w:tcBorders>
              <w:top w:val="single" w:sz="4"/>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gridSpan w:val="2"/>
            <w:tcBorders>
              <w:top w:val="single" w:sz="4"/>
              <w:left w:val="single" w:sz="4"/>
              <w:bottom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r>
    </w:tbl>
    <w:p>
      <w:pPr>
        <w:widowControl w:val="0"/>
        <w:spacing w:after="559" w:line="1" w:lineRule="exact"/>
      </w:pPr>
    </w:p>
    <w:p>
      <w:pPr>
        <w:widowControl w:val="0"/>
        <w:spacing w:line="1" w:lineRule="exact"/>
      </w:pPr>
    </w:p>
    <w:tbl>
      <w:tblPr>
        <w:tblOverlap w:val="never"/>
        <w:jc w:val="center"/>
        <w:tblLayout w:type="fixed"/>
      </w:tblPr>
      <w:tblGrid>
        <w:gridCol w:w="5309"/>
        <w:gridCol w:w="1085"/>
        <w:gridCol w:w="446"/>
        <w:gridCol w:w="1114"/>
        <w:gridCol w:w="446"/>
        <w:gridCol w:w="1114"/>
        <w:gridCol w:w="494"/>
      </w:tblGrid>
      <w:tr>
        <w:trPr>
          <w:trHeight w:val="269"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pPr>
            <w:r>
              <w:rPr>
                <w:rFonts w:ascii="Arial" w:eastAsia="Arial" w:hAnsi="Arial" w:cs="Arial"/>
                <w:b/>
                <w:bCs/>
                <w:color w:val="000000"/>
                <w:spacing w:val="0"/>
                <w:w w:val="100"/>
                <w:position w:val="0"/>
                <w:shd w:val="clear" w:color="auto" w:fill="auto"/>
                <w:lang w:val="pt-PT" w:eastAsia="pt-PT" w:bidi="pt-PT"/>
              </w:rPr>
              <w:t>DESPESAS</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2024</w:t>
            </w:r>
          </w:p>
        </w:tc>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2023</w:t>
            </w:r>
          </w:p>
        </w:tc>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2022</w:t>
            </w:r>
          </w:p>
        </w:tc>
        <w:tc>
          <w:tcPr>
            <w:tcBorders>
              <w:top w:val="single" w:sz="4"/>
              <w:right w:val="single" w:sz="4"/>
            </w:tcBorders>
            <w:shd w:val="clear" w:color="auto" w:fill="FFFFFF"/>
            <w:vAlign w:val="top"/>
          </w:tcPr>
          <w:p>
            <w:pPr>
              <w:widowControl w:val="0"/>
              <w:rPr>
                <w:sz w:val="10"/>
                <w:szCs w:val="10"/>
              </w:rPr>
            </w:pPr>
          </w:p>
        </w:tc>
      </w:tr>
      <w:tr>
        <w:trPr>
          <w:trHeight w:val="278" w:hRule="exact"/>
        </w:trPr>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pPr>
            <w:r>
              <w:rPr>
                <w:rFonts w:ascii="Arial" w:eastAsia="Arial" w:hAnsi="Arial" w:cs="Arial"/>
                <w:b/>
                <w:bCs/>
                <w:color w:val="000000"/>
                <w:spacing w:val="0"/>
                <w:w w:val="100"/>
                <w:position w:val="0"/>
                <w:shd w:val="clear" w:color="auto" w:fill="auto"/>
                <w:lang w:val="pt-PT" w:eastAsia="pt-PT" w:bidi="pt-PT"/>
              </w:rPr>
              <w:t>REALIZADAS</w:t>
            </w:r>
          </w:p>
        </w:tc>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720" w:right="0" w:firstLine="0"/>
              <w:jc w:val="left"/>
            </w:pPr>
            <w:r>
              <w:rPr>
                <w:rFonts w:ascii="Arial" w:eastAsia="Arial" w:hAnsi="Arial" w:cs="Arial"/>
                <w:b/>
                <w:bCs/>
                <w:color w:val="000000"/>
                <w:spacing w:val="0"/>
                <w:w w:val="100"/>
                <w:position w:val="0"/>
                <w:shd w:val="clear" w:color="auto" w:fill="auto"/>
                <w:lang w:val="pt-PT" w:eastAsia="pt-PT" w:bidi="pt-PT"/>
              </w:rPr>
              <w:t>(d)</w:t>
            </w:r>
          </w:p>
        </w:tc>
        <w:tc>
          <w:tcPr>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740" w:right="0" w:firstLine="0"/>
              <w:jc w:val="left"/>
            </w:pPr>
            <w:r>
              <w:rPr>
                <w:rFonts w:ascii="Arial" w:eastAsia="Arial" w:hAnsi="Arial" w:cs="Arial"/>
                <w:b/>
                <w:bCs/>
                <w:color w:val="000000"/>
                <w:spacing w:val="0"/>
                <w:w w:val="100"/>
                <w:position w:val="0"/>
                <w:shd w:val="clear" w:color="auto" w:fill="auto"/>
                <w:lang w:val="pt-PT" w:eastAsia="pt-PT" w:bidi="pt-PT"/>
              </w:rPr>
              <w:t>(e)</w:t>
            </w:r>
          </w:p>
        </w:tc>
        <w:tc>
          <w:tcPr>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720" w:right="0" w:firstLine="0"/>
              <w:jc w:val="left"/>
            </w:pPr>
            <w:r>
              <w:rPr>
                <w:rFonts w:ascii="Arial" w:eastAsia="Arial" w:hAnsi="Arial" w:cs="Arial"/>
                <w:b/>
                <w:bCs/>
                <w:color w:val="000000"/>
                <w:spacing w:val="0"/>
                <w:w w:val="100"/>
                <w:position w:val="0"/>
                <w:shd w:val="clear" w:color="auto" w:fill="auto"/>
                <w:lang w:val="pt-PT" w:eastAsia="pt-PT" w:bidi="pt-PT"/>
              </w:rPr>
              <w:t>(f)</w:t>
            </w:r>
          </w:p>
        </w:tc>
        <w:tc>
          <w:tcPr>
            <w:tcBorders>
              <w:right w:val="single" w:sz="4"/>
            </w:tcBorders>
            <w:shd w:val="clear" w:color="auto" w:fill="FFFFFF"/>
            <w:vAlign w:val="top"/>
          </w:tcPr>
          <w:p>
            <w:pPr>
              <w:widowControl w:val="0"/>
              <w:rPr>
                <w:sz w:val="10"/>
                <w:szCs w:val="10"/>
              </w:rPr>
            </w:pPr>
          </w:p>
        </w:tc>
      </w:tr>
      <w:tr>
        <w:trPr>
          <w:trHeight w:val="274"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APLICAÇÃO DOS RECURSOS DA ALIENAÇÃO DE ATIVOS</w:t>
            </w:r>
          </w:p>
        </w:tc>
        <w:tc>
          <w:tcPr>
            <w:tcBorders>
              <w:top w:val="single" w:sz="4"/>
              <w:left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245" w:hRule="exact"/>
        </w:trPr>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40"/>
              <w:jc w:val="left"/>
            </w:pPr>
            <w:r>
              <w:rPr>
                <w:rFonts w:ascii="Arial" w:eastAsia="Arial" w:hAnsi="Arial" w:cs="Arial"/>
                <w:color w:val="000000"/>
                <w:spacing w:val="0"/>
                <w:w w:val="100"/>
                <w:position w:val="0"/>
                <w:shd w:val="clear" w:color="auto" w:fill="auto"/>
                <w:lang w:val="pt-PT" w:eastAsia="pt-PT" w:bidi="pt-PT"/>
              </w:rPr>
              <w:t>DESPESAS DE CAPITAL</w:t>
            </w:r>
          </w:p>
        </w:tc>
        <w:tc>
          <w:tcPr>
            <w:tcBorders>
              <w:left w:val="single" w:sz="4"/>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top"/>
          </w:tcPr>
          <w:p>
            <w:pPr>
              <w:widowControl w:val="0"/>
              <w:rPr>
                <w:sz w:val="10"/>
                <w:szCs w:val="10"/>
              </w:rPr>
            </w:pP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40" w:right="0" w:firstLine="40"/>
              <w:jc w:val="left"/>
            </w:pPr>
            <w:r>
              <w:rPr>
                <w:rFonts w:ascii="Arial" w:eastAsia="Arial" w:hAnsi="Arial" w:cs="Arial"/>
                <w:color w:val="000000"/>
                <w:spacing w:val="0"/>
                <w:w w:val="100"/>
                <w:position w:val="0"/>
                <w:shd w:val="clear" w:color="auto" w:fill="auto"/>
                <w:lang w:val="pt-PT" w:eastAsia="pt-PT" w:bidi="pt-PT"/>
              </w:rPr>
              <w:t>Investimentos</w:t>
            </w:r>
          </w:p>
        </w:tc>
        <w:tc>
          <w:tcPr>
            <w:tcBorders>
              <w:left w:val="single" w:sz="4"/>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40" w:right="0" w:firstLine="40"/>
              <w:jc w:val="left"/>
            </w:pPr>
            <w:r>
              <w:rPr>
                <w:rFonts w:ascii="Arial" w:eastAsia="Arial" w:hAnsi="Arial" w:cs="Arial"/>
                <w:color w:val="000000"/>
                <w:spacing w:val="0"/>
                <w:w w:val="100"/>
                <w:position w:val="0"/>
                <w:shd w:val="clear" w:color="auto" w:fill="auto"/>
                <w:lang w:val="pt-PT" w:eastAsia="pt-PT" w:bidi="pt-PT"/>
              </w:rPr>
              <w:t>Inversões Financeiras</w:t>
            </w:r>
          </w:p>
        </w:tc>
        <w:tc>
          <w:tcPr>
            <w:tcBorders>
              <w:left w:val="single" w:sz="4"/>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50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40" w:line="240" w:lineRule="auto"/>
              <w:ind w:left="140" w:right="0" w:firstLine="40"/>
              <w:jc w:val="left"/>
            </w:pPr>
            <w:r>
              <w:rPr>
                <w:rFonts w:ascii="Arial" w:eastAsia="Arial" w:hAnsi="Arial" w:cs="Arial"/>
                <w:color w:val="000000"/>
                <w:spacing w:val="0"/>
                <w:w w:val="100"/>
                <w:position w:val="0"/>
                <w:shd w:val="clear" w:color="auto" w:fill="auto"/>
                <w:lang w:val="pt-PT" w:eastAsia="pt-PT" w:bidi="pt-PT"/>
              </w:rPr>
              <w:t>Amortização da Dívida</w:t>
            </w:r>
          </w:p>
          <w:p>
            <w:pPr>
              <w:pStyle w:val="Style23"/>
              <w:keepNext w:val="0"/>
              <w:keepLines w:val="0"/>
              <w:widowControl w:val="0"/>
              <w:shd w:val="clear" w:color="auto" w:fill="auto"/>
              <w:bidi w:val="0"/>
              <w:spacing w:before="0" w:after="0" w:line="240" w:lineRule="auto"/>
              <w:ind w:left="0" w:right="-20" w:firstLine="0"/>
              <w:jc w:val="center"/>
            </w:pPr>
            <w:r>
              <w:rPr>
                <w:rFonts w:ascii="Arial" w:eastAsia="Arial" w:hAnsi="Arial" w:cs="Arial"/>
                <w:color w:val="000000"/>
                <w:spacing w:val="0"/>
                <w:w w:val="100"/>
                <w:position w:val="0"/>
                <w:shd w:val="clear" w:color="auto" w:fill="auto"/>
                <w:lang w:val="pt-PT" w:eastAsia="pt-PT" w:bidi="pt-PT"/>
              </w:rPr>
              <w:t>DESPESAS CORRENTES DOS REGIMES PREVIDENCIÁRIOS</w:t>
            </w:r>
          </w:p>
        </w:tc>
        <w:tc>
          <w:tcPr>
            <w:tcBorders>
              <w:left w:val="single" w:sz="4"/>
            </w:tcBorders>
            <w:shd w:val="clear" w:color="auto" w:fill="FFFFFF"/>
            <w:vAlign w:val="top"/>
          </w:tcPr>
          <w:p>
            <w:pPr>
              <w:widowControl w:val="0"/>
              <w:rPr>
                <w:sz w:val="10"/>
                <w:szCs w:val="10"/>
              </w:rPr>
            </w:pP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top"/>
          </w:tcPr>
          <w:p>
            <w:pPr>
              <w:widowControl w:val="0"/>
              <w:rPr>
                <w:sz w:val="10"/>
                <w:szCs w:val="10"/>
              </w:rPr>
            </w:pP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40"/>
              <w:jc w:val="left"/>
            </w:pPr>
            <w:r>
              <w:rPr>
                <w:rFonts w:ascii="Arial" w:eastAsia="Arial" w:hAnsi="Arial" w:cs="Arial"/>
                <w:color w:val="000000"/>
                <w:spacing w:val="0"/>
                <w:w w:val="100"/>
                <w:position w:val="0"/>
                <w:shd w:val="clear" w:color="auto" w:fill="auto"/>
                <w:lang w:val="pt-PT" w:eastAsia="pt-PT" w:bidi="pt-PT"/>
              </w:rPr>
              <w:t>Regime Geral de Previdência Social</w:t>
            </w:r>
          </w:p>
        </w:tc>
        <w:tc>
          <w:tcPr>
            <w:tcBorders>
              <w:left w:val="single" w:sz="4"/>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88"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40" w:right="0" w:firstLine="40"/>
              <w:jc w:val="left"/>
            </w:pPr>
            <w:r>
              <w:rPr>
                <w:rFonts w:ascii="Arial" w:eastAsia="Arial" w:hAnsi="Arial" w:cs="Arial"/>
                <w:color w:val="000000"/>
                <w:spacing w:val="0"/>
                <w:w w:val="100"/>
                <w:position w:val="0"/>
                <w:shd w:val="clear" w:color="auto" w:fill="auto"/>
                <w:lang w:val="pt-PT" w:eastAsia="pt-PT" w:bidi="pt-PT"/>
              </w:rPr>
              <w:t>Regimes Próprios dos Servidores Públicos</w:t>
            </w:r>
          </w:p>
        </w:tc>
        <w:tc>
          <w:tcPr>
            <w:tcBorders>
              <w:left w:val="single" w:sz="4"/>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top"/>
          </w:tcPr>
          <w:p>
            <w:pPr>
              <w:widowControl w:val="0"/>
              <w:rPr>
                <w:sz w:val="10"/>
                <w:szCs w:val="10"/>
              </w:rPr>
            </w:pPr>
          </w:p>
        </w:tc>
        <w:tc>
          <w:tcPr>
            <w:tcBorders>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322"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TOTAL</w:t>
            </w:r>
          </w:p>
        </w:tc>
        <w:tc>
          <w:tcPr>
            <w:gridSpan w:val="2"/>
            <w:tcBorders>
              <w:top w:val="single" w:sz="4"/>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gridSpan w:val="2"/>
            <w:tcBorders>
              <w:top w:val="single" w:sz="4"/>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gridSpan w:val="2"/>
            <w:tcBorders>
              <w:top w:val="single" w:sz="4"/>
              <w:left w:val="single" w:sz="4"/>
              <w:bottom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r>
    </w:tbl>
    <w:p>
      <w:pPr>
        <w:widowControl w:val="0"/>
        <w:spacing w:after="559" w:line="1" w:lineRule="exact"/>
      </w:pPr>
    </w:p>
    <w:p>
      <w:pPr>
        <w:widowControl w:val="0"/>
        <w:spacing w:line="1" w:lineRule="exact"/>
      </w:pPr>
    </w:p>
    <w:tbl>
      <w:tblPr>
        <w:tblOverlap w:val="never"/>
        <w:jc w:val="center"/>
        <w:tblLayout w:type="fixed"/>
      </w:tblPr>
      <w:tblGrid>
        <w:gridCol w:w="5309"/>
        <w:gridCol w:w="1531"/>
        <w:gridCol w:w="1560"/>
        <w:gridCol w:w="1608"/>
      </w:tblGrid>
      <w:tr>
        <w:trPr>
          <w:trHeight w:val="269"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SALDO FINANCEIRO DO EXERCÍCIO ( III ) = ( I - II )</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(g)=((Ia-IId)+IIIh)</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(h)=((Ib-IIe)+IIIi)</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(i)=(Ic - IIf)</w:t>
            </w:r>
          </w:p>
        </w:tc>
      </w:tr>
      <w:tr>
        <w:trPr>
          <w:trHeight w:val="274" w:hRule="exact"/>
        </w:trPr>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20" w:firstLine="0"/>
              <w:jc w:val="center"/>
            </w:pPr>
            <w:r>
              <w:rPr>
                <w:rFonts w:ascii="Arial" w:eastAsia="Arial" w:hAnsi="Arial" w:cs="Arial"/>
                <w:b/>
                <w:bCs/>
                <w:color w:val="000000"/>
                <w:spacing w:val="0"/>
                <w:w w:val="100"/>
                <w:position w:val="0"/>
                <w:shd w:val="clear" w:color="auto" w:fill="auto"/>
                <w:lang w:val="pt-PT" w:eastAsia="pt-PT" w:bidi="pt-PT"/>
              </w:rPr>
              <w:t>0,00</w:t>
            </w:r>
          </w:p>
        </w:tc>
        <w:tc>
          <w:tcPr>
            <w:tcBorders>
              <w:top w:val="single" w:sz="4"/>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pPr>
            <w:r>
              <w:rPr>
                <w:rFonts w:ascii="Arial" w:eastAsia="Arial" w:hAnsi="Arial" w:cs="Arial"/>
                <w:b/>
                <w:bCs/>
                <w:color w:val="000000"/>
                <w:spacing w:val="0"/>
                <w:w w:val="100"/>
                <w:position w:val="0"/>
                <w:shd w:val="clear" w:color="auto" w:fill="auto"/>
                <w:lang w:val="pt-PT" w:eastAsia="pt-PT" w:bidi="pt-PT"/>
              </w:rPr>
              <w:t>0,00</w:t>
            </w:r>
          </w:p>
        </w:tc>
        <w:tc>
          <w:tcPr>
            <w:tcBorders>
              <w:top w:val="single" w:sz="4"/>
              <w:left w:val="single" w:sz="4"/>
              <w:bottom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center"/>
            </w:pPr>
            <w:r>
              <w:rPr>
                <w:rFonts w:ascii="Arial" w:eastAsia="Arial" w:hAnsi="Arial" w:cs="Arial"/>
                <w:b/>
                <w:bCs/>
                <w:color w:val="000000"/>
                <w:spacing w:val="0"/>
                <w:w w:val="100"/>
                <w:position w:val="0"/>
                <w:shd w:val="clear" w:color="auto" w:fill="auto"/>
                <w:lang w:val="pt-PT" w:eastAsia="pt-PT" w:bidi="pt-PT"/>
              </w:rPr>
              <w:t>0,00</w:t>
            </w:r>
          </w:p>
        </w:tc>
      </w:tr>
    </w:tbl>
    <w:p>
      <w:pPr>
        <w:pStyle w:val="Style33"/>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Notas:</w:t>
      </w:r>
    </w:p>
    <w:p>
      <w:pPr>
        <w:widowControl w:val="0"/>
        <w:spacing w:after="2579" w:line="1" w:lineRule="exact"/>
      </w:pPr>
    </w:p>
    <w:p>
      <w:pPr>
        <w:pStyle w:val="Style29"/>
        <w:keepNext w:val="0"/>
        <w:keepLines w:val="0"/>
        <w:widowControl w:val="0"/>
        <w:shd w:val="clear" w:color="auto" w:fill="auto"/>
        <w:bidi w:val="0"/>
        <w:spacing w:before="0" w:after="160" w:line="240" w:lineRule="auto"/>
        <w:ind w:left="0" w:right="0" w:firstLine="0"/>
        <w:jc w:val="left"/>
      </w:pPr>
      <w:r>
        <mc:AlternateContent>
          <mc:Choice Requires="wps">
            <w:drawing>
              <wp:anchor distT="0" distB="207010" distL="129540" distR="169545" simplePos="0" relativeHeight="125829405" behindDoc="0" locked="0" layoutInCell="1" allowOverlap="1">
                <wp:simplePos x="0" y="0"/>
                <wp:positionH relativeFrom="page">
                  <wp:posOffset>3232150</wp:posOffset>
                </wp:positionH>
                <wp:positionV relativeFrom="paragraph">
                  <wp:posOffset>12700</wp:posOffset>
                </wp:positionV>
                <wp:extent cx="1304290" cy="155575"/>
                <wp:wrapSquare wrapText="left"/>
                <wp:docPr id="77" name="Shape 77"/>
                <a:graphic xmlns:a="http://schemas.openxmlformats.org/drawingml/2006/main">
                  <a:graphicData uri="http://schemas.microsoft.com/office/word/2010/wordprocessingShape">
                    <wps:wsp>
                      <wps:cNvSpPr txBox="1"/>
                      <wps:spPr>
                        <a:xfrm>
                          <a:ext cx="1304290" cy="15557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Dilson Marcos Kovalski</w:t>
                            </w:r>
                          </w:p>
                        </w:txbxContent>
                      </wps:txbx>
                      <wps:bodyPr wrap="none" lIns="0" tIns="0" rIns="0" bIns="0">
                        <a:noAutoFit/>
                      </wps:bodyPr>
                    </wps:wsp>
                  </a:graphicData>
                </a:graphic>
              </wp:anchor>
            </w:drawing>
          </mc:Choice>
          <mc:Fallback>
            <w:pict>
              <v:shape id="_x0000_s1103" type="#_x0000_t202" style="position:absolute;margin-left:254.5pt;margin-top:1.pt;width:102.7pt;height:12.25pt;z-index:-125829348;mso-wrap-distance-left:10.199999999999999pt;mso-wrap-distance-right:13.35pt;mso-wrap-distance-bottom:16.300000000000001pt;mso-position-horizontal-relative:page" filled="f" stroked="f">
                <v:textbox inset="0,0,0,0">
                  <w:txbxContent>
                    <w:p>
                      <w:pPr>
                        <w:pStyle w:val="Style2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Dilson Marcos Kovalski</w:t>
                      </w:r>
                    </w:p>
                  </w:txbxContent>
                </v:textbox>
                <w10:wrap type="square" side="left" anchorx="page"/>
              </v:shape>
            </w:pict>
          </mc:Fallback>
        </mc:AlternateContent>
      </w:r>
      <w:r>
        <mc:AlternateContent>
          <mc:Choice Requires="wps">
            <w:drawing>
              <wp:anchor distT="222250" distB="0" distL="114300" distR="114300" simplePos="0" relativeHeight="125829407" behindDoc="0" locked="0" layoutInCell="1" allowOverlap="1">
                <wp:simplePos x="0" y="0"/>
                <wp:positionH relativeFrom="page">
                  <wp:posOffset>3216910</wp:posOffset>
                </wp:positionH>
                <wp:positionV relativeFrom="paragraph">
                  <wp:posOffset>234950</wp:posOffset>
                </wp:positionV>
                <wp:extent cx="1374775" cy="140335"/>
                <wp:wrapSquare wrapText="left"/>
                <wp:docPr id="79" name="Shape 79"/>
                <a:graphic xmlns:a="http://schemas.openxmlformats.org/drawingml/2006/main">
                  <a:graphicData uri="http://schemas.microsoft.com/office/word/2010/wordprocessingShape">
                    <wps:wsp>
                      <wps:cNvSpPr txBox="1"/>
                      <wps:spPr>
                        <a:xfrm>
                          <a:ext cx="1374775" cy="14033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wps:txbx>
                      <wps:bodyPr wrap="none" lIns="0" tIns="0" rIns="0" bIns="0">
                        <a:noAutoFit/>
                      </wps:bodyPr>
                    </wps:wsp>
                  </a:graphicData>
                </a:graphic>
              </wp:anchor>
            </w:drawing>
          </mc:Choice>
          <mc:Fallback>
            <w:pict>
              <v:shape id="_x0000_s1105" type="#_x0000_t202" style="position:absolute;margin-left:253.30000000000001pt;margin-top:18.5pt;width:108.25pt;height:11.050000000000001pt;z-index:-125829346;mso-wrap-distance-left:9.pt;mso-wrap-distance-top:17.5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v:textbox>
                <w10:wrap type="square" side="left" anchorx="page"/>
              </v:shape>
            </w:pict>
          </mc:Fallback>
        </mc:AlternateContent>
      </w:r>
      <w:r>
        <w:rPr>
          <w:b/>
          <w:bCs/>
          <w:color w:val="000000"/>
          <w:spacing w:val="0"/>
          <w:w w:val="100"/>
          <w:position w:val="0"/>
          <w:shd w:val="clear" w:color="auto" w:fill="auto"/>
          <w:lang w:val="pt-PT" w:eastAsia="pt-PT" w:bidi="pt-PT"/>
        </w:rPr>
        <w:t>Macelly Cristina de Souza Veras</w:t>
      </w:r>
    </w:p>
    <w:p>
      <w:pPr>
        <w:pStyle w:val="Style16"/>
        <w:keepNext w:val="0"/>
        <w:keepLines w:val="0"/>
        <w:widowControl w:val="0"/>
        <w:shd w:val="clear" w:color="auto" w:fill="auto"/>
        <w:bidi w:val="0"/>
        <w:spacing w:before="0" w:after="0" w:line="240" w:lineRule="auto"/>
        <w:ind w:left="800" w:right="0" w:firstLine="0"/>
        <w:jc w:val="left"/>
        <w:sectPr>
          <w:footnotePr>
            <w:pos w:val="pageBottom"/>
            <w:numFmt w:val="decimal"/>
            <w:numRestart w:val="continuous"/>
          </w:footnotePr>
          <w:pgSz w:w="11900" w:h="16840"/>
          <w:pgMar w:top="975" w:left="1236" w:right="613" w:bottom="975" w:header="0" w:footer="547" w:gutter="0"/>
          <w:cols w:space="720"/>
          <w:noEndnote/>
          <w:rtlGutter w:val="0"/>
          <w:docGrid w:linePitch="360"/>
        </w:sectPr>
      </w:pPr>
      <w:r>
        <w:rPr>
          <w:color w:val="000000"/>
          <w:spacing w:val="0"/>
          <w:w w:val="100"/>
          <w:position w:val="0"/>
          <w:shd w:val="clear" w:color="auto" w:fill="auto"/>
          <w:lang w:val="pt-BR" w:eastAsia="pt-BR" w:bidi="pt-BR"/>
        </w:rPr>
        <w:t xml:space="preserve">Prefeita </w:t>
      </w:r>
      <w:r>
        <w:rPr>
          <w:color w:val="000000"/>
          <w:spacing w:val="0"/>
          <w:w w:val="100"/>
          <w:position w:val="0"/>
          <w:shd w:val="clear" w:color="auto" w:fill="auto"/>
          <w:lang w:val="pt-PT" w:eastAsia="pt-PT" w:bidi="pt-PT"/>
        </w:rPr>
        <w:t>Municipal</w:t>
      </w:r>
    </w:p>
    <w:p>
      <w:pPr>
        <w:pStyle w:val="Style29"/>
        <w:keepNext w:val="0"/>
        <w:keepLines w:val="0"/>
        <w:widowControl w:val="0"/>
        <w:shd w:val="clear" w:color="auto" w:fill="auto"/>
        <w:bidi w:val="0"/>
        <w:spacing w:before="0" w:after="0" w:line="240" w:lineRule="auto"/>
        <w:ind w:left="2500" w:right="0" w:firstLine="20"/>
        <w:jc w:val="left"/>
      </w:pPr>
      <w:r>
        <w:rPr>
          <w:color w:val="000000"/>
          <w:spacing w:val="0"/>
          <w:w w:val="100"/>
          <w:position w:val="0"/>
          <w:shd w:val="clear" w:color="auto" w:fill="auto"/>
          <w:lang w:val="pt-PT" w:eastAsia="pt-PT" w:bidi="pt-PT"/>
        </w:rPr>
        <w:t>ESTADO DO AMAZONAS</w:t>
      </w:r>
    </w:p>
    <w:p>
      <w:pPr>
        <w:pStyle w:val="Style29"/>
        <w:keepNext w:val="0"/>
        <w:keepLines w:val="0"/>
        <w:widowControl w:val="0"/>
        <w:shd w:val="clear" w:color="auto" w:fill="auto"/>
        <w:bidi w:val="0"/>
        <w:spacing w:before="0" w:after="0" w:line="233" w:lineRule="auto"/>
        <w:ind w:left="2500" w:right="0" w:firstLine="20"/>
        <w:jc w:val="left"/>
      </w:pPr>
      <w:r>
        <w:rPr>
          <w:color w:val="000000"/>
          <w:spacing w:val="0"/>
          <w:w w:val="100"/>
          <w:position w:val="0"/>
          <w:shd w:val="clear" w:color="auto" w:fill="auto"/>
          <w:lang w:val="pt-PT" w:eastAsia="pt-PT" w:bidi="pt-PT"/>
        </w:rPr>
        <w:t xml:space="preserve">LEI DE DIRETRIZES </w:t>
      </w:r>
      <w:r>
        <w:rPr>
          <w:color w:val="000000"/>
          <w:spacing w:val="0"/>
          <w:w w:val="100"/>
          <w:position w:val="0"/>
          <w:shd w:val="clear" w:color="auto" w:fill="auto"/>
          <w:lang w:val="pt-BR" w:eastAsia="pt-BR" w:bidi="pt-BR"/>
        </w:rPr>
        <w:t xml:space="preserve">ORÇAMENTÁRIAS </w:t>
      </w:r>
      <w:r>
        <w:rPr>
          <w:color w:val="000000"/>
          <w:spacing w:val="0"/>
          <w:w w:val="100"/>
          <w:position w:val="0"/>
          <w:shd w:val="clear" w:color="auto" w:fill="auto"/>
          <w:lang w:val="pt-PT" w:eastAsia="pt-PT" w:bidi="pt-PT"/>
        </w:rPr>
        <w:t>- 2026</w:t>
      </w:r>
    </w:p>
    <w:p>
      <w:pPr>
        <w:pStyle w:val="Style29"/>
        <w:keepNext w:val="0"/>
        <w:keepLines w:val="0"/>
        <w:widowControl w:val="0"/>
        <w:shd w:val="clear" w:color="auto" w:fill="auto"/>
        <w:bidi w:val="0"/>
        <w:spacing w:before="0" w:after="0" w:line="233" w:lineRule="auto"/>
        <w:ind w:left="2500" w:right="0" w:firstLine="20"/>
        <w:jc w:val="left"/>
      </w:pPr>
      <w:r>
        <w:rPr>
          <w:color w:val="000000"/>
          <w:spacing w:val="0"/>
          <w:w w:val="100"/>
          <w:position w:val="0"/>
          <w:shd w:val="clear" w:color="auto" w:fill="auto"/>
          <w:lang w:val="pt-PT" w:eastAsia="pt-PT" w:bidi="pt-PT"/>
        </w:rPr>
        <w:t>ANEXO DE METAS FISCAIS</w:t>
      </w:r>
    </w:p>
    <w:p>
      <w:pPr>
        <w:pStyle w:val="Style29"/>
        <w:keepNext w:val="0"/>
        <w:keepLines w:val="0"/>
        <w:widowControl w:val="0"/>
        <w:shd w:val="clear" w:color="auto" w:fill="auto"/>
        <w:bidi w:val="0"/>
        <w:spacing w:before="0" w:after="320" w:line="233" w:lineRule="auto"/>
        <w:ind w:left="2500" w:right="0" w:firstLine="20"/>
        <w:jc w:val="left"/>
      </w:pPr>
      <w:r>
        <w:rPr>
          <w:color w:val="000000"/>
          <w:spacing w:val="0"/>
          <w:w w:val="100"/>
          <w:position w:val="0"/>
          <w:shd w:val="clear" w:color="auto" w:fill="auto"/>
          <w:lang w:val="pt-PT" w:eastAsia="pt-PT" w:bidi="pt-PT"/>
        </w:rPr>
        <w:t xml:space="preserve">Demonstrativo </w:t>
      </w:r>
      <w:r>
        <w:rPr>
          <w:color w:val="000000"/>
          <w:spacing w:val="0"/>
          <w:w w:val="100"/>
          <w:position w:val="0"/>
          <w:shd w:val="clear" w:color="auto" w:fill="auto"/>
          <w:lang w:val="pt-BR" w:eastAsia="pt-BR" w:bidi="pt-BR"/>
        </w:rPr>
        <w:t xml:space="preserve">VII </w:t>
      </w:r>
      <w:r>
        <w:rPr>
          <w:color w:val="000000"/>
          <w:spacing w:val="0"/>
          <w:w w:val="100"/>
          <w:position w:val="0"/>
          <w:shd w:val="clear" w:color="auto" w:fill="auto"/>
          <w:lang w:val="pt-PT" w:eastAsia="pt-PT" w:bidi="pt-PT"/>
        </w:rPr>
        <w:t>- Estimativa e Compensação da Renúncia de Receita</w:t>
      </w:r>
    </w:p>
    <w:p>
      <w:pPr>
        <w:pStyle w:val="Style33"/>
        <w:keepNext w:val="0"/>
        <w:keepLines w:val="0"/>
        <w:widowControl w:val="0"/>
        <w:shd w:val="clear" w:color="auto" w:fill="auto"/>
        <w:tabs>
          <w:tab w:pos="14390" w:val="left"/>
        </w:tabs>
        <w:bidi w:val="0"/>
        <w:spacing w:before="0" w:after="0" w:line="240" w:lineRule="auto"/>
        <w:ind w:left="0" w:right="0" w:firstLine="0"/>
        <w:jc w:val="both"/>
      </w:pPr>
      <w:r>
        <w:rPr>
          <w:color w:val="000000"/>
          <w:spacing w:val="0"/>
          <w:w w:val="100"/>
          <w:position w:val="0"/>
          <w:shd w:val="clear" w:color="auto" w:fill="auto"/>
          <w:lang w:val="pt-PT" w:eastAsia="pt-PT" w:bidi="pt-PT"/>
        </w:rPr>
        <w:t>AMF - Tabela 8 (LRF, art. 4°, §2°, inciso V)</w:t>
        <w:tab/>
        <w:t>(R$)</w:t>
      </w:r>
    </w:p>
    <w:tbl>
      <w:tblPr>
        <w:tblOverlap w:val="never"/>
        <w:jc w:val="center"/>
        <w:tblLayout w:type="fixed"/>
      </w:tblPr>
      <w:tblGrid>
        <w:gridCol w:w="2582"/>
        <w:gridCol w:w="1560"/>
        <w:gridCol w:w="3082"/>
        <w:gridCol w:w="1320"/>
        <w:gridCol w:w="1320"/>
        <w:gridCol w:w="1291"/>
        <w:gridCol w:w="4224"/>
      </w:tblGrid>
      <w:tr>
        <w:trPr>
          <w:trHeight w:val="317"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Tributo</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b/>
                <w:bCs/>
                <w:color w:val="000000"/>
                <w:spacing w:val="0"/>
                <w:w w:val="100"/>
                <w:position w:val="0"/>
                <w:shd w:val="clear" w:color="auto" w:fill="auto"/>
                <w:lang w:val="pt-PT" w:eastAsia="pt-PT" w:bidi="pt-PT"/>
              </w:rPr>
              <w:t>Modalidade</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SETOR/PROGRAMA/</w:t>
            </w:r>
          </w:p>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BENEFICIÁRIO</w:t>
            </w:r>
          </w:p>
        </w:tc>
        <w:tc>
          <w:tcPr>
            <w:gridSpan w:val="3"/>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RENÚNCIA DE RECEITA PREVISTA</w:t>
            </w:r>
          </w:p>
        </w:tc>
        <w:tc>
          <w:tcPr>
            <w:vMerge w:val="restart"/>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COMPENSAÇÃO</w:t>
            </w:r>
          </w:p>
        </w:tc>
      </w:tr>
      <w:tr>
        <w:trPr>
          <w:trHeight w:val="283"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c>
          <w:tcPr>
            <w:vMerge/>
            <w:tcBorders>
              <w:left w:val="single" w:sz="4"/>
              <w:right w:val="single" w:sz="4"/>
            </w:tcBorders>
            <w:shd w:val="clear" w:color="auto" w:fill="FFFFFF"/>
            <w:vAlign w:val="center"/>
          </w:tcPr>
          <w:p>
            <w:pPr/>
          </w:p>
        </w:tc>
      </w:tr>
      <w:tr>
        <w:trPr>
          <w:trHeight w:val="811"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right w:val="single" w:sz="4"/>
            </w:tcBorders>
            <w:shd w:val="clear" w:color="auto" w:fill="FFFFFF"/>
            <w:vAlign w:val="top"/>
          </w:tcPr>
          <w:p>
            <w:pPr>
              <w:widowControl w:val="0"/>
              <w:rPr>
                <w:sz w:val="10"/>
                <w:szCs w:val="10"/>
              </w:rPr>
            </w:pPr>
          </w:p>
        </w:tc>
      </w:tr>
      <w:tr>
        <w:trPr>
          <w:trHeight w:val="307" w:hRule="exact"/>
        </w:trPr>
        <w:tc>
          <w:tcPr>
            <w:gridSpan w:val="3"/>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60" w:right="0" w:firstLine="0"/>
              <w:jc w:val="left"/>
            </w:pPr>
            <w:r>
              <w:rPr>
                <w:rFonts w:ascii="Arial" w:eastAsia="Arial" w:hAnsi="Arial" w:cs="Arial"/>
                <w:b/>
                <w:bCs/>
                <w:color w:val="000000"/>
                <w:spacing w:val="0"/>
                <w:w w:val="100"/>
                <w:position w:val="0"/>
                <w:shd w:val="clear" w:color="auto" w:fill="auto"/>
                <w:lang w:val="pt-PT" w:eastAsia="pt-PT" w:bidi="pt-PT"/>
              </w:rPr>
              <w:t>TOTAL</w:t>
            </w:r>
          </w:p>
        </w:tc>
        <w:tc>
          <w:tcPr>
            <w:tcBorders>
              <w:top w:val="single" w:sz="4"/>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top w:val="single" w:sz="4"/>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top w:val="single" w:sz="4"/>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top"/>
          </w:tcPr>
          <w:p>
            <w:pPr>
              <w:widowControl w:val="0"/>
              <w:rPr>
                <w:sz w:val="10"/>
                <w:szCs w:val="10"/>
              </w:rPr>
            </w:pPr>
          </w:p>
        </w:tc>
      </w:tr>
    </w:tbl>
    <w:p>
      <w:pPr>
        <w:widowControl w:val="0"/>
        <w:spacing w:after="2039" w:line="1" w:lineRule="exact"/>
      </w:pPr>
    </w:p>
    <w:p>
      <w:pPr>
        <w:pStyle w:val="Style29"/>
        <w:keepNext w:val="0"/>
        <w:keepLines w:val="0"/>
        <w:widowControl w:val="0"/>
        <w:shd w:val="clear" w:color="auto" w:fill="auto"/>
        <w:bidi w:val="0"/>
        <w:spacing w:before="0" w:after="40" w:line="240" w:lineRule="auto"/>
        <w:ind w:left="1060" w:right="0" w:firstLine="0"/>
        <w:jc w:val="left"/>
      </w:pPr>
      <w:r>
        <mc:AlternateContent>
          <mc:Choice Requires="wps">
            <w:drawing>
              <wp:anchor distT="0" distB="0" distL="114300" distR="114300" simplePos="0" relativeHeight="125829409" behindDoc="0" locked="0" layoutInCell="1" allowOverlap="1">
                <wp:simplePos x="0" y="0"/>
                <wp:positionH relativeFrom="page">
                  <wp:posOffset>4615180</wp:posOffset>
                </wp:positionH>
                <wp:positionV relativeFrom="paragraph">
                  <wp:posOffset>12700</wp:posOffset>
                </wp:positionV>
                <wp:extent cx="1374775" cy="280670"/>
                <wp:wrapSquare wrapText="left"/>
                <wp:docPr id="81" name="Shape 81"/>
                <a:graphic xmlns:a="http://schemas.openxmlformats.org/drawingml/2006/main">
                  <a:graphicData uri="http://schemas.microsoft.com/office/word/2010/wordprocessingShape">
                    <wps:wsp>
                      <wps:cNvSpPr txBox="1"/>
                      <wps:spPr>
                        <a:xfrm>
                          <a:ext cx="1374775" cy="28067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Dilson Marcos Kovalski</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wps:txbx>
                      <wps:bodyPr lIns="0" tIns="0" rIns="0" bIns="0">
                        <a:noAutoFit/>
                      </wps:bodyPr>
                    </wps:wsp>
                  </a:graphicData>
                </a:graphic>
              </wp:anchor>
            </w:drawing>
          </mc:Choice>
          <mc:Fallback>
            <w:pict>
              <v:shape id="_x0000_s1107" type="#_x0000_t202" style="position:absolute;margin-left:363.39999999999998pt;margin-top:1.pt;width:108.25pt;height:22.100000000000001pt;z-index:-125829344;mso-wrap-distance-left:9.pt;mso-wrap-distance-right:9.pt;mso-position-horizontal-relative:page" filled="f" stroked="f">
                <v:textbox inset="0,0,0,0">
                  <w:txbxContent>
                    <w:p>
                      <w:pPr>
                        <w:pStyle w:val="Style2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Dilson Marcos Kovalski</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v:textbox>
                <w10:wrap type="square" side="left" anchorx="page"/>
              </v:shape>
            </w:pict>
          </mc:Fallback>
        </mc:AlternateContent>
      </w:r>
      <w:r>
        <w:rPr>
          <w:b/>
          <w:bCs/>
          <w:color w:val="000000"/>
          <w:spacing w:val="0"/>
          <w:w w:val="100"/>
          <w:position w:val="0"/>
          <w:shd w:val="clear" w:color="auto" w:fill="auto"/>
          <w:lang w:val="pt-PT" w:eastAsia="pt-PT" w:bidi="pt-PT"/>
        </w:rPr>
        <w:t>Macelly Cristina de Souza Veras</w:t>
      </w:r>
    </w:p>
    <w:p>
      <w:pPr>
        <w:pStyle w:val="Style16"/>
        <w:keepNext w:val="0"/>
        <w:keepLines w:val="0"/>
        <w:widowControl w:val="0"/>
        <w:shd w:val="clear" w:color="auto" w:fill="auto"/>
        <w:bidi w:val="0"/>
        <w:spacing w:before="0" w:after="320" w:line="240" w:lineRule="auto"/>
        <w:ind w:left="1720" w:right="0" w:firstLine="0"/>
        <w:jc w:val="left"/>
        <w:sectPr>
          <w:headerReference w:type="default" r:id="rId43"/>
          <w:footerReference w:type="default" r:id="rId44"/>
          <w:footnotePr>
            <w:pos w:val="pageBottom"/>
            <w:numFmt w:val="decimal"/>
            <w:numRestart w:val="continuous"/>
          </w:footnotePr>
          <w:pgSz w:w="16840" w:h="11900" w:orient="landscape"/>
          <w:pgMar w:top="960" w:left="1134" w:right="328" w:bottom="960" w:header="0" w:footer="532" w:gutter="0"/>
          <w:cols w:space="720"/>
          <w:noEndnote/>
          <w:rtlGutter w:val="0"/>
          <w:docGrid w:linePitch="360"/>
        </w:sectPr>
      </w:pPr>
      <w:r>
        <w:rPr>
          <w:color w:val="000000"/>
          <w:spacing w:val="0"/>
          <w:w w:val="100"/>
          <w:position w:val="0"/>
          <w:shd w:val="clear" w:color="auto" w:fill="auto"/>
          <w:lang w:val="pt-BR" w:eastAsia="pt-BR" w:bidi="pt-BR"/>
        </w:rPr>
        <w:t xml:space="preserve">Prefeita </w:t>
      </w:r>
      <w:r>
        <w:rPr>
          <w:color w:val="000000"/>
          <w:spacing w:val="0"/>
          <w:w w:val="100"/>
          <w:position w:val="0"/>
          <w:shd w:val="clear" w:color="auto" w:fill="auto"/>
          <w:lang w:val="pt-PT" w:eastAsia="pt-PT" w:bidi="pt-PT"/>
        </w:rPr>
        <w:t>Municipal</w:t>
      </w:r>
    </w:p>
    <w:p>
      <w:pPr>
        <w:pStyle w:val="Style29"/>
        <w:keepNext w:val="0"/>
        <w:keepLines w:val="0"/>
        <w:widowControl w:val="0"/>
        <w:shd w:val="clear" w:color="auto" w:fill="auto"/>
        <w:bidi w:val="0"/>
        <w:spacing w:before="0" w:after="0" w:line="233" w:lineRule="auto"/>
        <w:ind w:right="0" w:firstLine="0"/>
        <w:jc w:val="left"/>
      </w:pPr>
      <w:r>
        <w:rPr>
          <w:color w:val="000000"/>
          <w:spacing w:val="0"/>
          <w:w w:val="100"/>
          <w:position w:val="0"/>
          <w:shd w:val="clear" w:color="auto" w:fill="auto"/>
          <w:lang w:val="pt-PT" w:eastAsia="pt-PT" w:bidi="pt-PT"/>
        </w:rPr>
        <w:t>ESTADO DO AMAZONAS</w:t>
      </w:r>
    </w:p>
    <w:p>
      <w:pPr>
        <w:pStyle w:val="Style29"/>
        <w:keepNext w:val="0"/>
        <w:keepLines w:val="0"/>
        <w:widowControl w:val="0"/>
        <w:shd w:val="clear" w:color="auto" w:fill="auto"/>
        <w:bidi w:val="0"/>
        <w:spacing w:before="0" w:after="0" w:line="233" w:lineRule="auto"/>
        <w:ind w:right="0" w:firstLine="0"/>
        <w:jc w:val="left"/>
      </w:pPr>
      <w:r>
        <w:rPr>
          <w:color w:val="000000"/>
          <w:spacing w:val="0"/>
          <w:w w:val="100"/>
          <w:position w:val="0"/>
          <w:shd w:val="clear" w:color="auto" w:fill="auto"/>
          <w:lang w:val="pt-PT" w:eastAsia="pt-PT" w:bidi="pt-PT"/>
        </w:rPr>
        <w:t xml:space="preserve">LEI DE DIRETRIZES </w:t>
      </w:r>
      <w:r>
        <w:rPr>
          <w:color w:val="000000"/>
          <w:spacing w:val="0"/>
          <w:w w:val="100"/>
          <w:position w:val="0"/>
          <w:shd w:val="clear" w:color="auto" w:fill="auto"/>
          <w:lang w:val="pt-BR" w:eastAsia="pt-BR" w:bidi="pt-BR"/>
        </w:rPr>
        <w:t xml:space="preserve">ORÇAMENTÁRIAS </w:t>
      </w:r>
      <w:r>
        <w:rPr>
          <w:color w:val="000000"/>
          <w:spacing w:val="0"/>
          <w:w w:val="100"/>
          <w:position w:val="0"/>
          <w:shd w:val="clear" w:color="auto" w:fill="auto"/>
          <w:lang w:val="pt-PT" w:eastAsia="pt-PT" w:bidi="pt-PT"/>
        </w:rPr>
        <w:t>- 2026</w:t>
      </w:r>
    </w:p>
    <w:p>
      <w:pPr>
        <w:pStyle w:val="Style29"/>
        <w:keepNext w:val="0"/>
        <w:keepLines w:val="0"/>
        <w:widowControl w:val="0"/>
        <w:shd w:val="clear" w:color="auto" w:fill="auto"/>
        <w:bidi w:val="0"/>
        <w:spacing w:before="0" w:after="0" w:line="233" w:lineRule="auto"/>
        <w:ind w:right="0" w:firstLine="0"/>
        <w:jc w:val="left"/>
      </w:pPr>
      <w:r>
        <w:rPr>
          <w:color w:val="000000"/>
          <w:spacing w:val="0"/>
          <w:w w:val="100"/>
          <w:position w:val="0"/>
          <w:shd w:val="clear" w:color="auto" w:fill="auto"/>
          <w:lang w:val="pt-PT" w:eastAsia="pt-PT" w:bidi="pt-PT"/>
        </w:rPr>
        <w:t>ANEXO DE METAS FISCAIS</w:t>
      </w:r>
    </w:p>
    <w:p>
      <w:pPr>
        <w:pStyle w:val="Style29"/>
        <w:keepNext w:val="0"/>
        <w:keepLines w:val="0"/>
        <w:widowControl w:val="0"/>
        <w:shd w:val="clear" w:color="auto" w:fill="auto"/>
        <w:bidi w:val="0"/>
        <w:spacing w:before="0" w:after="340" w:line="233" w:lineRule="auto"/>
        <w:ind w:right="720" w:firstLine="0"/>
        <w:jc w:val="left"/>
      </w:pPr>
      <w:r>
        <w:rPr>
          <w:color w:val="000000"/>
          <w:spacing w:val="0"/>
          <w:w w:val="100"/>
          <w:position w:val="0"/>
          <w:shd w:val="clear" w:color="auto" w:fill="auto"/>
          <w:lang w:val="pt-PT" w:eastAsia="pt-PT" w:bidi="pt-PT"/>
        </w:rPr>
        <w:t>Demonstrativo VIII - Margem de Expansão das Despesas Obrigatórias de Caráter Continuado</w:t>
      </w:r>
    </w:p>
    <w:p>
      <w:pPr>
        <w:pStyle w:val="Style33"/>
        <w:keepNext w:val="0"/>
        <w:keepLines w:val="0"/>
        <w:widowControl w:val="0"/>
        <w:shd w:val="clear" w:color="auto" w:fill="auto"/>
        <w:tabs>
          <w:tab w:pos="8424" w:val="left"/>
        </w:tabs>
        <w:bidi w:val="0"/>
        <w:spacing w:before="0" w:after="0" w:line="240" w:lineRule="auto"/>
        <w:ind w:left="0" w:right="0" w:firstLine="0"/>
        <w:jc w:val="both"/>
      </w:pPr>
      <w:r>
        <w:rPr>
          <w:color w:val="000000"/>
          <w:spacing w:val="0"/>
          <w:w w:val="100"/>
          <w:position w:val="0"/>
          <w:shd w:val="clear" w:color="auto" w:fill="auto"/>
          <w:lang w:val="pt-PT" w:eastAsia="pt-PT" w:bidi="pt-PT"/>
        </w:rPr>
        <w:t>AMF - Tabela 9 (LRF, art. 4°, §2°, inciso V)</w:t>
        <w:tab/>
      </w:r>
      <w:r>
        <w:rPr>
          <w:color w:val="000000"/>
          <w:spacing w:val="0"/>
          <w:w w:val="100"/>
          <w:position w:val="0"/>
          <w:shd w:val="clear" w:color="auto" w:fill="auto"/>
          <w:vertAlign w:val="superscript"/>
          <w:lang w:val="pt-PT" w:eastAsia="pt-PT" w:bidi="pt-PT"/>
        </w:rPr>
        <w:t>(R$)</w:t>
      </w:r>
    </w:p>
    <w:tbl>
      <w:tblPr>
        <w:tblOverlap w:val="never"/>
        <w:jc w:val="center"/>
        <w:tblLayout w:type="fixed"/>
      </w:tblPr>
      <w:tblGrid>
        <w:gridCol w:w="6960"/>
        <w:gridCol w:w="1776"/>
      </w:tblGrid>
      <w:tr>
        <w:trPr>
          <w:trHeight w:val="307"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EVENTOS</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r>
      <w:tr>
        <w:trPr>
          <w:trHeight w:val="264"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80" w:right="0" w:firstLine="20"/>
              <w:jc w:val="left"/>
            </w:pPr>
            <w:r>
              <w:rPr>
                <w:rFonts w:ascii="Arial" w:eastAsia="Arial" w:hAnsi="Arial" w:cs="Arial"/>
                <w:color w:val="000000"/>
                <w:spacing w:val="0"/>
                <w:w w:val="100"/>
                <w:position w:val="0"/>
                <w:shd w:val="clear" w:color="auto" w:fill="auto"/>
                <w:lang w:val="pt-PT" w:eastAsia="pt-PT" w:bidi="pt-PT"/>
              </w:rPr>
              <w:t>Aumento Permanente da Receita</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320" w:right="0" w:firstLine="0"/>
              <w:jc w:val="left"/>
            </w:pPr>
            <w:r>
              <w:rPr>
                <w:rFonts w:ascii="Arial" w:eastAsia="Arial" w:hAnsi="Arial" w:cs="Arial"/>
                <w:color w:val="000000"/>
                <w:spacing w:val="0"/>
                <w:w w:val="100"/>
                <w:position w:val="0"/>
                <w:shd w:val="clear" w:color="auto" w:fill="auto"/>
                <w:lang w:val="pt-PT" w:eastAsia="pt-PT" w:bidi="pt-PT"/>
              </w:rPr>
              <w:t>0,00</w:t>
            </w:r>
          </w:p>
        </w:tc>
      </w:tr>
      <w:tr>
        <w:trPr>
          <w:trHeight w:val="27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20"/>
              <w:jc w:val="left"/>
            </w:pPr>
            <w:r>
              <w:rPr>
                <w:rFonts w:ascii="Arial" w:eastAsia="Arial" w:hAnsi="Arial" w:cs="Arial"/>
                <w:color w:val="000000"/>
                <w:spacing w:val="0"/>
                <w:w w:val="100"/>
                <w:position w:val="0"/>
                <w:shd w:val="clear" w:color="auto" w:fill="auto"/>
                <w:lang w:val="pt-PT" w:eastAsia="pt-PT" w:bidi="pt-PT"/>
              </w:rPr>
              <w:t>( -) Transferências Constitucionais</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307"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80" w:right="0" w:firstLine="20"/>
              <w:jc w:val="left"/>
            </w:pPr>
            <w:r>
              <w:rPr>
                <w:rFonts w:ascii="Arial" w:eastAsia="Arial" w:hAnsi="Arial" w:cs="Arial"/>
                <w:color w:val="000000"/>
                <w:spacing w:val="0"/>
                <w:w w:val="100"/>
                <w:position w:val="0"/>
                <w:shd w:val="clear" w:color="auto" w:fill="auto"/>
                <w:lang w:val="pt-PT" w:eastAsia="pt-PT" w:bidi="pt-PT"/>
              </w:rPr>
              <w:t>( -) Transferências ao FUNDEB</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302"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80" w:right="0" w:firstLine="20"/>
              <w:jc w:val="left"/>
            </w:pPr>
            <w:r>
              <w:rPr>
                <w:rFonts w:ascii="Arial" w:eastAsia="Arial" w:hAnsi="Arial" w:cs="Arial"/>
                <w:color w:val="000000"/>
                <w:spacing w:val="0"/>
                <w:w w:val="100"/>
                <w:position w:val="0"/>
                <w:shd w:val="clear" w:color="auto" w:fill="auto"/>
                <w:lang w:val="pt-PT" w:eastAsia="pt-PT" w:bidi="pt-PT"/>
              </w:rPr>
              <w:t>Saldo Final do Aumento Permanente de Receita ( I )</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98"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80" w:right="0" w:firstLine="20"/>
              <w:jc w:val="left"/>
            </w:pPr>
            <w:r>
              <w:rPr>
                <w:rFonts w:ascii="Arial" w:eastAsia="Arial" w:hAnsi="Arial" w:cs="Arial"/>
                <w:color w:val="000000"/>
                <w:spacing w:val="0"/>
                <w:w w:val="100"/>
                <w:position w:val="0"/>
                <w:shd w:val="clear" w:color="auto" w:fill="auto"/>
                <w:lang w:val="pt-PT" w:eastAsia="pt-PT" w:bidi="pt-PT"/>
              </w:rPr>
              <w:t>Redução Permanente de Despesas ( II )</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302"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80" w:right="0" w:firstLine="20"/>
              <w:jc w:val="left"/>
            </w:pPr>
            <w:r>
              <w:rPr>
                <w:rFonts w:ascii="Arial" w:eastAsia="Arial" w:hAnsi="Arial" w:cs="Arial"/>
                <w:color w:val="000000"/>
                <w:spacing w:val="0"/>
                <w:w w:val="100"/>
                <w:position w:val="0"/>
                <w:shd w:val="clear" w:color="auto" w:fill="auto"/>
                <w:lang w:val="pt-PT" w:eastAsia="pt-PT" w:bidi="pt-PT"/>
              </w:rPr>
              <w:t>Margem Bruta ( III ) = ( I + II )</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69"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20"/>
              <w:jc w:val="left"/>
            </w:pPr>
            <w:r>
              <w:rPr>
                <w:rFonts w:ascii="Arial" w:eastAsia="Arial" w:hAnsi="Arial" w:cs="Arial"/>
                <w:color w:val="000000"/>
                <w:spacing w:val="0"/>
                <w:w w:val="100"/>
                <w:position w:val="0"/>
                <w:shd w:val="clear" w:color="auto" w:fill="auto"/>
                <w:lang w:val="pt-PT" w:eastAsia="pt-PT" w:bidi="pt-PT"/>
              </w:rPr>
              <w:t>Saldo Utilizado da Margem Bruta ( IV )</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6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00" w:right="0" w:firstLine="0"/>
              <w:jc w:val="left"/>
            </w:pPr>
            <w:r>
              <w:rPr>
                <w:rFonts w:ascii="Arial" w:eastAsia="Arial" w:hAnsi="Arial" w:cs="Arial"/>
                <w:color w:val="000000"/>
                <w:spacing w:val="0"/>
                <w:w w:val="100"/>
                <w:position w:val="0"/>
                <w:shd w:val="clear" w:color="auto" w:fill="auto"/>
                <w:lang w:val="pt-PT" w:eastAsia="pt-PT" w:bidi="pt-PT"/>
              </w:rPr>
              <w:t>Novas DOCC</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312"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00" w:right="0" w:firstLine="0"/>
              <w:jc w:val="left"/>
            </w:pPr>
            <w:r>
              <w:rPr>
                <w:rFonts w:ascii="Arial" w:eastAsia="Arial" w:hAnsi="Arial" w:cs="Arial"/>
                <w:color w:val="000000"/>
                <w:spacing w:val="0"/>
                <w:w w:val="100"/>
                <w:position w:val="0"/>
                <w:shd w:val="clear" w:color="auto" w:fill="auto"/>
                <w:lang w:val="pt-PT" w:eastAsia="pt-PT" w:bidi="pt-PT"/>
              </w:rPr>
              <w:t>Novas DOCC Geradas Pelas PPP</w:t>
            </w:r>
          </w:p>
        </w:tc>
        <w:tc>
          <w:tcPr>
            <w:tcBorders>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98"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80" w:right="0" w:firstLine="20"/>
              <w:jc w:val="left"/>
            </w:pPr>
            <w:r>
              <w:rPr>
                <w:rFonts w:ascii="Arial" w:eastAsia="Arial" w:hAnsi="Arial" w:cs="Arial"/>
                <w:color w:val="000000"/>
                <w:spacing w:val="0"/>
                <w:w w:val="100"/>
                <w:position w:val="0"/>
                <w:shd w:val="clear" w:color="auto" w:fill="auto"/>
                <w:lang w:val="pt-PT" w:eastAsia="pt-PT" w:bidi="pt-PT"/>
              </w:rPr>
              <w:t>Margem Líquida de Expansão de DOCC ( V )=( III - IV )</w:t>
            </w:r>
          </w:p>
        </w:tc>
        <w:tc>
          <w:tcPr>
            <w:tcBorders>
              <w:top w:val="single" w:sz="4"/>
              <w:left w:val="single" w:sz="4"/>
              <w:bottom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bl>
    <w:p>
      <w:pPr>
        <w:pStyle w:val="Style33"/>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Notas:</w:t>
      </w:r>
    </w:p>
    <w:p>
      <w:pPr>
        <w:widowControl w:val="0"/>
        <w:spacing w:after="3119" w:line="1" w:lineRule="exact"/>
      </w:pPr>
    </w:p>
    <w:p>
      <w:pPr>
        <w:pStyle w:val="Style29"/>
        <w:keepNext w:val="0"/>
        <w:keepLines w:val="0"/>
        <w:widowControl w:val="0"/>
        <w:shd w:val="clear" w:color="auto" w:fill="auto"/>
        <w:bidi w:val="0"/>
        <w:spacing w:before="0" w:after="120" w:line="240" w:lineRule="auto"/>
        <w:ind w:left="0" w:right="0" w:firstLine="0"/>
        <w:jc w:val="left"/>
      </w:pPr>
      <w:r>
        <mc:AlternateContent>
          <mc:Choice Requires="wps">
            <w:drawing>
              <wp:anchor distT="0" distB="198120" distL="117475" distR="181610" simplePos="0" relativeHeight="125829411" behindDoc="0" locked="0" layoutInCell="1" allowOverlap="1">
                <wp:simplePos x="0" y="0"/>
                <wp:positionH relativeFrom="page">
                  <wp:posOffset>3220720</wp:posOffset>
                </wp:positionH>
                <wp:positionV relativeFrom="paragraph">
                  <wp:posOffset>12700</wp:posOffset>
                </wp:positionV>
                <wp:extent cx="1304290" cy="155575"/>
                <wp:wrapSquare wrapText="left"/>
                <wp:docPr id="85" name="Shape 85"/>
                <a:graphic xmlns:a="http://schemas.openxmlformats.org/drawingml/2006/main">
                  <a:graphicData uri="http://schemas.microsoft.com/office/word/2010/wordprocessingShape">
                    <wps:wsp>
                      <wps:cNvSpPr txBox="1"/>
                      <wps:spPr>
                        <a:xfrm>
                          <a:ext cx="1304290" cy="15557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Dilson Marcos Kovalski</w:t>
                            </w:r>
                          </w:p>
                        </w:txbxContent>
                      </wps:txbx>
                      <wps:bodyPr wrap="none" lIns="0" tIns="0" rIns="0" bIns="0">
                        <a:noAutoFit/>
                      </wps:bodyPr>
                    </wps:wsp>
                  </a:graphicData>
                </a:graphic>
              </wp:anchor>
            </w:drawing>
          </mc:Choice>
          <mc:Fallback>
            <w:pict>
              <v:shape id="_x0000_s1111" type="#_x0000_t202" style="position:absolute;margin-left:253.59999999999999pt;margin-top:1.pt;width:102.7pt;height:12.25pt;z-index:-125829342;mso-wrap-distance-left:9.25pt;mso-wrap-distance-right:14.300000000000001pt;mso-wrap-distance-bottom:15.6pt;mso-position-horizontal-relative:page" filled="f" stroked="f">
                <v:textbox inset="0,0,0,0">
                  <w:txbxContent>
                    <w:p>
                      <w:pPr>
                        <w:pStyle w:val="Style2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Dilson Marcos Kovalski</w:t>
                      </w:r>
                    </w:p>
                  </w:txbxContent>
                </v:textbox>
                <w10:wrap type="square" side="left" anchorx="page"/>
              </v:shape>
            </w:pict>
          </mc:Fallback>
        </mc:AlternateContent>
      </w:r>
      <w:r>
        <mc:AlternateContent>
          <mc:Choice Requires="wps">
            <w:drawing>
              <wp:anchor distT="213360" distB="0" distL="114300" distR="114300" simplePos="0" relativeHeight="125829413" behindDoc="0" locked="0" layoutInCell="1" allowOverlap="1">
                <wp:simplePos x="0" y="0"/>
                <wp:positionH relativeFrom="page">
                  <wp:posOffset>3217545</wp:posOffset>
                </wp:positionH>
                <wp:positionV relativeFrom="paragraph">
                  <wp:posOffset>226060</wp:posOffset>
                </wp:positionV>
                <wp:extent cx="1374775" cy="140335"/>
                <wp:wrapSquare wrapText="left"/>
                <wp:docPr id="87" name="Shape 87"/>
                <a:graphic xmlns:a="http://schemas.openxmlformats.org/drawingml/2006/main">
                  <a:graphicData uri="http://schemas.microsoft.com/office/word/2010/wordprocessingShape">
                    <wps:wsp>
                      <wps:cNvSpPr txBox="1"/>
                      <wps:spPr>
                        <a:xfrm>
                          <a:ext cx="1374775" cy="14033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wps:txbx>
                      <wps:bodyPr wrap="none" lIns="0" tIns="0" rIns="0" bIns="0">
                        <a:noAutoFit/>
                      </wps:bodyPr>
                    </wps:wsp>
                  </a:graphicData>
                </a:graphic>
              </wp:anchor>
            </w:drawing>
          </mc:Choice>
          <mc:Fallback>
            <w:pict>
              <v:shape id="_x0000_s1113" type="#_x0000_t202" style="position:absolute;margin-left:253.34999999999999pt;margin-top:17.800000000000001pt;width:108.25pt;height:11.050000000000001pt;z-index:-125829340;mso-wrap-distance-left:9.pt;mso-wrap-distance-top:16.800000000000001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v:textbox>
                <w10:wrap type="square" side="left" anchorx="page"/>
              </v:shape>
            </w:pict>
          </mc:Fallback>
        </mc:AlternateContent>
      </w:r>
      <w:r>
        <w:rPr>
          <w:b/>
          <w:bCs/>
          <w:color w:val="000000"/>
          <w:spacing w:val="0"/>
          <w:w w:val="100"/>
          <w:position w:val="0"/>
          <w:shd w:val="clear" w:color="auto" w:fill="auto"/>
          <w:lang w:val="pt-PT" w:eastAsia="pt-PT" w:bidi="pt-PT"/>
        </w:rPr>
        <w:t>Macelly Cristina de Souza Veras</w:t>
      </w:r>
    </w:p>
    <w:p>
      <w:pPr>
        <w:pStyle w:val="Style16"/>
        <w:keepNext w:val="0"/>
        <w:keepLines w:val="0"/>
        <w:widowControl w:val="0"/>
        <w:shd w:val="clear" w:color="auto" w:fill="auto"/>
        <w:bidi w:val="0"/>
        <w:spacing w:before="0" w:after="340" w:line="240" w:lineRule="auto"/>
        <w:ind w:left="800" w:right="0" w:firstLine="0"/>
        <w:jc w:val="left"/>
        <w:sectPr>
          <w:headerReference w:type="default" r:id="rId45"/>
          <w:footerReference w:type="default" r:id="rId46"/>
          <w:footnotePr>
            <w:pos w:val="pageBottom"/>
            <w:numFmt w:val="decimal"/>
            <w:numRestart w:val="continuous"/>
          </w:footnotePr>
          <w:pgSz w:w="11900" w:h="16840"/>
          <w:pgMar w:top="961" w:left="1237" w:right="1860" w:bottom="961" w:header="0" w:footer="533" w:gutter="0"/>
          <w:cols w:space="720"/>
          <w:noEndnote/>
          <w:rtlGutter w:val="0"/>
          <w:docGrid w:linePitch="360"/>
        </w:sectPr>
      </w:pPr>
      <w:r>
        <w:rPr>
          <w:color w:val="000000"/>
          <w:spacing w:val="0"/>
          <w:w w:val="100"/>
          <w:position w:val="0"/>
          <w:shd w:val="clear" w:color="auto" w:fill="auto"/>
          <w:lang w:val="pt-BR" w:eastAsia="pt-BR" w:bidi="pt-BR"/>
        </w:rPr>
        <w:t xml:space="preserve">Prefeita </w:t>
      </w:r>
      <w:r>
        <w:rPr>
          <w:color w:val="000000"/>
          <w:spacing w:val="0"/>
          <w:w w:val="100"/>
          <w:position w:val="0"/>
          <w:shd w:val="clear" w:color="auto" w:fill="auto"/>
          <w:lang w:val="pt-PT" w:eastAsia="pt-PT" w:bidi="pt-PT"/>
        </w:rPr>
        <w:t>Municipal</w:t>
      </w:r>
    </w:p>
    <w:p>
      <w:pPr>
        <w:pStyle w:val="Style33"/>
        <w:keepNext w:val="0"/>
        <w:keepLines w:val="0"/>
        <w:widowControl w:val="0"/>
        <w:shd w:val="clear" w:color="auto" w:fill="auto"/>
        <w:bidi w:val="0"/>
        <w:spacing w:before="0" w:after="0" w:line="233" w:lineRule="auto"/>
        <w:ind w:left="2376" w:right="0" w:firstLine="0"/>
        <w:jc w:val="left"/>
        <w:rPr>
          <w:sz w:val="18"/>
          <w:szCs w:val="18"/>
        </w:rPr>
      </w:pPr>
      <w:r>
        <w:rPr>
          <w:color w:val="000000"/>
          <w:spacing w:val="0"/>
          <w:w w:val="100"/>
          <w:position w:val="0"/>
          <w:sz w:val="18"/>
          <w:szCs w:val="18"/>
          <w:shd w:val="clear" w:color="auto" w:fill="auto"/>
          <w:lang w:val="pt-PT" w:eastAsia="pt-PT" w:bidi="pt-PT"/>
        </w:rPr>
        <w:t>Art. 4°, §2°, inciso II da LRF</w:t>
      </w:r>
    </w:p>
    <w:tbl>
      <w:tblPr>
        <w:tblOverlap w:val="never"/>
        <w:jc w:val="center"/>
        <w:tblLayout w:type="fixed"/>
      </w:tblPr>
      <w:tblGrid>
        <w:gridCol w:w="5174"/>
        <w:gridCol w:w="1560"/>
        <w:gridCol w:w="1560"/>
        <w:gridCol w:w="1560"/>
        <w:gridCol w:w="1560"/>
        <w:gridCol w:w="1560"/>
        <w:gridCol w:w="1560"/>
      </w:tblGrid>
      <w:tr>
        <w:trPr>
          <w:trHeight w:val="254"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ESPECIFICAÇÃO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ARRECADADA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PREVISÃO</w:t>
            </w:r>
          </w:p>
        </w:tc>
      </w:tr>
      <w:tr>
        <w:trPr>
          <w:trHeight w:val="240" w:hRule="exact"/>
        </w:trPr>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r>
      <w:tr>
        <w:trPr>
          <w:trHeight w:val="254"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RECEITAS CORRENTE</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277.733.006,98</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319.684.974,54</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202.626.011,99</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278.643.285,48</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289.789.016,91</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300.800.999,56</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IMPOSTOS, TAXAS E CONTRIBUIÇÕES DE MELHORIAS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12.438.991,27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13.679.071,93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9.591.757,73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13.123.386,84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13.648.322,31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14.166.958,55</w:t>
            </w:r>
          </w:p>
        </w:tc>
      </w:tr>
      <w:tr>
        <w:trPr>
          <w:trHeight w:val="25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20"/>
              <w:jc w:val="left"/>
            </w:pPr>
            <w:r>
              <w:rPr>
                <w:rFonts w:ascii="Arial" w:eastAsia="Arial" w:hAnsi="Arial" w:cs="Arial"/>
                <w:color w:val="000000"/>
                <w:spacing w:val="0"/>
                <w:w w:val="100"/>
                <w:position w:val="0"/>
                <w:shd w:val="clear" w:color="auto" w:fill="auto"/>
                <w:lang w:val="pt-PT" w:eastAsia="pt-PT" w:bidi="pt-PT"/>
              </w:rPr>
              <w:t>IMPOSTOS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9.877.814,74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11.192.984,25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7.309.652,02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10.738.586,37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11.168.129,82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11.592.518,75</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20"/>
              <w:jc w:val="left"/>
            </w:pPr>
            <w:r>
              <w:rPr>
                <w:rFonts w:ascii="Arial" w:eastAsia="Arial" w:hAnsi="Arial" w:cs="Arial"/>
                <w:color w:val="000000"/>
                <w:spacing w:val="0"/>
                <w:w w:val="100"/>
                <w:position w:val="0"/>
                <w:shd w:val="clear" w:color="auto" w:fill="auto"/>
                <w:lang w:val="pt-PT" w:eastAsia="pt-PT" w:bidi="pt-PT"/>
              </w:rPr>
              <w:t xml:space="preserve">Imposto Sobre o </w:t>
            </w:r>
            <w:r>
              <w:rPr>
                <w:rFonts w:ascii="Arial" w:eastAsia="Arial" w:hAnsi="Arial" w:cs="Arial"/>
                <w:color w:val="000000"/>
                <w:spacing w:val="0"/>
                <w:w w:val="100"/>
                <w:position w:val="0"/>
                <w:shd w:val="clear" w:color="auto" w:fill="auto"/>
                <w:lang w:val="pt-BR" w:eastAsia="pt-BR" w:bidi="pt-BR"/>
              </w:rPr>
              <w:t>Patrimônio</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639.254,06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911.798,96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900.680,11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1.041.210,72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1.082.859,15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1.124.007,80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Imposto s/a Propriedade Territorial Rural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25.643,35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27.278,52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14.424,18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15.073,27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15.676,20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16.271,90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00" w:right="0" w:firstLine="0"/>
              <w:jc w:val="left"/>
            </w:pPr>
            <w:r>
              <w:rPr>
                <w:rFonts w:ascii="Arial" w:eastAsia="Arial" w:hAnsi="Arial" w:cs="Arial"/>
                <w:color w:val="000000"/>
                <w:spacing w:val="0"/>
                <w:w w:val="100"/>
                <w:position w:val="0"/>
                <w:shd w:val="clear" w:color="auto" w:fill="auto"/>
                <w:lang w:val="pt-BR" w:eastAsia="pt-BR" w:bidi="pt-BR"/>
              </w:rPr>
              <w:t xml:space="preserve">Imp.s/a </w:t>
            </w:r>
            <w:r>
              <w:rPr>
                <w:rFonts w:ascii="Arial" w:eastAsia="Arial" w:hAnsi="Arial" w:cs="Arial"/>
                <w:color w:val="000000"/>
                <w:spacing w:val="0"/>
                <w:w w:val="100"/>
                <w:position w:val="0"/>
                <w:shd w:val="clear" w:color="auto" w:fill="auto"/>
                <w:lang w:val="pt-PT" w:eastAsia="pt-PT" w:bidi="pt-PT"/>
              </w:rPr>
              <w:t>Prop.Territ. Rural-Mun.Conv- Priinc.</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25.643,35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27.278,52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14.424,18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15.073,27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15.676,20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16.271,90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Imposto sobre a Propriedade Predial e Territorial U</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470.163,26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678.955,30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794.105,78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829.840,54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863.034,16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895.829,46</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IPTU - Principal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275.462,16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678.955,30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794.105,78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829.840,54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863.034,16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895.829,46</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IPTU - Multas e Juros</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17.935,30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IPTU - Dívida Ativa</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126.457,35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IPTU - Dívida Ativa - Multas e Juros</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50.308,45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Impostos sobre Transmissão "Inter Vivos" de Bens Im</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143.447,45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205.565,14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92.150,15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196.296,91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204.148,79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211.906,44</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ITBI - Principal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143.447,45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205.565,14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92.150,15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196.296,91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204.148,79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211.906,44</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20"/>
              <w:jc w:val="left"/>
            </w:pPr>
            <w:r>
              <w:rPr>
                <w:rFonts w:ascii="Arial" w:eastAsia="Arial" w:hAnsi="Arial" w:cs="Arial"/>
                <w:color w:val="000000"/>
                <w:spacing w:val="0"/>
                <w:w w:val="100"/>
                <w:position w:val="0"/>
                <w:shd w:val="clear" w:color="auto" w:fill="auto"/>
                <w:lang w:val="pt-PT" w:eastAsia="pt-PT" w:bidi="pt-PT"/>
              </w:rPr>
              <w:t>Impostos s/Renda e Proventos de Qualquer Natureza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4.496.424,92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5.736.566,14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2.577.841,96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5.693.844,85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5.921.598,64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6.146.619,38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Imposto sobre a Renda - Retido na Fonte</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4.496.424,92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5.736.566,14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2.577.841,96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5.693.844,85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5.921.598,64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6.146.619,38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IRRF - Trabalho</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1.194.475,33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3.270.357,48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1.568.332,05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3.638.906,99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3.784.463,27</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3.928.272,87</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IRRF - Outros Rendimentos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3.301.949,59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2.466.208,66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1.009.509,91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2.054.937,86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2.137.135,37</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2.218.346,51</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Impostos Sobre Serviços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4.742.135,76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4.544.619,15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3.831.129,95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4.003.530,80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4.163.672,03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4.321.891,57</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00" w:right="0" w:firstLine="0"/>
              <w:jc w:val="left"/>
            </w:pPr>
            <w:r>
              <w:rPr>
                <w:rFonts w:ascii="Arial" w:eastAsia="Arial" w:hAnsi="Arial" w:cs="Arial"/>
                <w:color w:val="000000"/>
                <w:spacing w:val="0"/>
                <w:w w:val="100"/>
                <w:position w:val="0"/>
                <w:shd w:val="clear" w:color="auto" w:fill="auto"/>
                <w:lang w:val="pt-PT" w:eastAsia="pt-PT" w:bidi="pt-PT"/>
              </w:rPr>
              <w:t>Imposto sobre Serviços de Qualquer Natureza - ISSQ</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4.742.135,76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4.544.619,15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3.831.129,95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4.003.530,80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4.163.672,03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4.321.891,57</w:t>
            </w:r>
          </w:p>
        </w:tc>
      </w:tr>
      <w:tr>
        <w:trPr>
          <w:trHeight w:val="25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ISS - Principal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4.742.135,76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4.544.619,15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3.831.129,95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4.003.530,80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4.163.672,03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4.321.891,57</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60" w:right="0" w:firstLine="0"/>
              <w:jc w:val="left"/>
            </w:pPr>
            <w:r>
              <w:rPr>
                <w:rFonts w:ascii="Arial" w:eastAsia="Arial" w:hAnsi="Arial" w:cs="Arial"/>
                <w:color w:val="000000"/>
                <w:spacing w:val="0"/>
                <w:w w:val="100"/>
                <w:position w:val="0"/>
                <w:shd w:val="clear" w:color="auto" w:fill="auto"/>
                <w:lang w:val="pt-PT" w:eastAsia="pt-PT" w:bidi="pt-PT"/>
              </w:rPr>
              <w:t>TAXAS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796.272,47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670.606,50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729.341,10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762.161,45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792.647,91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822.768,53</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20"/>
              <w:jc w:val="left"/>
            </w:pPr>
            <w:r>
              <w:rPr>
                <w:rFonts w:ascii="Arial" w:eastAsia="Arial" w:hAnsi="Arial" w:cs="Arial"/>
                <w:color w:val="000000"/>
                <w:spacing w:val="0"/>
                <w:w w:val="100"/>
                <w:position w:val="0"/>
                <w:shd w:val="clear" w:color="auto" w:fill="auto"/>
                <w:lang w:val="pt-PT" w:eastAsia="pt-PT" w:bidi="pt-PT"/>
              </w:rPr>
              <w:t>Taxas p/Exercício do Poder de Polícia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475.955,99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492.120,60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391.389,40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509.001,92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529.362,00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549.477,76</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Taxas de Inspeção, Controle e Fiscalização</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475.955,99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492.120,60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391.389,40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509.001,92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529.362,00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549.477,76</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Taxas de Inspeção - Contr. e Fiscal. - Principal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475.955,99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492.120,60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391.389,40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509.001,92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529.362,00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549.477,76</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20"/>
              <w:jc w:val="left"/>
            </w:pPr>
            <w:r>
              <w:rPr>
                <w:rFonts w:ascii="Arial" w:eastAsia="Arial" w:hAnsi="Arial" w:cs="Arial"/>
                <w:color w:val="000000"/>
                <w:spacing w:val="0"/>
                <w:w w:val="100"/>
                <w:position w:val="0"/>
                <w:shd w:val="clear" w:color="auto" w:fill="auto"/>
                <w:lang w:val="pt-PT" w:eastAsia="pt-PT" w:bidi="pt-PT"/>
              </w:rPr>
              <w:t>Taxas Pela Prestação de Serviços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320.316,48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178.485,90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337.951,70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253.159,53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263.285,91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273.290,77</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Taxas pela Prestação de Serviços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320.316,48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178.485,90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337.951,70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253.159,53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263.285,91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273.290,77</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00" w:right="0" w:firstLine="0"/>
              <w:jc w:val="left"/>
            </w:pPr>
            <w:r>
              <w:rPr>
                <w:rFonts w:ascii="Arial" w:eastAsia="Arial" w:hAnsi="Arial" w:cs="Arial"/>
                <w:color w:val="000000"/>
                <w:spacing w:val="0"/>
                <w:w w:val="100"/>
                <w:position w:val="0"/>
                <w:shd w:val="clear" w:color="auto" w:fill="auto"/>
                <w:lang w:val="pt-PT" w:eastAsia="pt-PT" w:bidi="pt-PT"/>
              </w:rPr>
              <w:t xml:space="preserve">Taxas </w:t>
            </w:r>
            <w:r>
              <w:rPr>
                <w:rFonts w:ascii="Arial" w:eastAsia="Arial" w:hAnsi="Arial" w:cs="Arial"/>
                <w:color w:val="000000"/>
                <w:spacing w:val="0"/>
                <w:w w:val="100"/>
                <w:position w:val="0"/>
                <w:shd w:val="clear" w:color="auto" w:fill="auto"/>
                <w:lang w:val="pt-PT" w:eastAsia="pt-PT" w:bidi="pt-PT"/>
              </w:rPr>
              <w:t>p/Prest.de</w:t>
            </w:r>
            <w:r>
              <w:rPr>
                <w:rFonts w:ascii="Arial" w:eastAsia="Arial" w:hAnsi="Arial" w:cs="Arial"/>
                <w:color w:val="000000"/>
                <w:spacing w:val="0"/>
                <w:w w:val="100"/>
                <w:position w:val="0"/>
                <w:shd w:val="clear" w:color="auto" w:fill="auto"/>
                <w:lang w:val="pt-PT" w:eastAsia="pt-PT" w:bidi="pt-PT"/>
              </w:rPr>
              <w:t xml:space="preserve"> Serviços - Principal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320.316,48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178.485,90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337.951,70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253.159,53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263.285,91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273.290,77</w:t>
            </w:r>
          </w:p>
        </w:tc>
      </w:tr>
      <w:tr>
        <w:trPr>
          <w:trHeight w:val="25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60" w:right="0" w:firstLine="0"/>
              <w:jc w:val="left"/>
            </w:pPr>
            <w:r>
              <w:rPr>
                <w:rFonts w:ascii="Arial" w:eastAsia="Arial" w:hAnsi="Arial" w:cs="Arial"/>
                <w:color w:val="000000"/>
                <w:spacing w:val="0"/>
                <w:w w:val="100"/>
                <w:position w:val="0"/>
                <w:shd w:val="clear" w:color="auto" w:fill="auto"/>
                <w:lang w:val="pt-PT" w:eastAsia="pt-PT" w:bidi="pt-PT"/>
              </w:rPr>
              <w:t>CONTRIBUIÇÃO DE MELHORIA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1.764.904,06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1.815.481,18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1.552.764,61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1.622.639,02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1.687.544,58</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1.751.671,27</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20"/>
              <w:jc w:val="left"/>
            </w:pPr>
            <w:r>
              <w:rPr>
                <w:rFonts w:ascii="Arial" w:eastAsia="Arial" w:hAnsi="Arial" w:cs="Arial"/>
                <w:color w:val="000000"/>
                <w:spacing w:val="0"/>
                <w:w w:val="100"/>
                <w:position w:val="0"/>
                <w:shd w:val="clear" w:color="auto" w:fill="auto"/>
                <w:lang w:val="pt-PT" w:eastAsia="pt-PT" w:bidi="pt-PT"/>
              </w:rPr>
              <w:t>Contribuição de Melhoria - Específica E/M</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1.764.904,06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1.815.481,18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1.552.764,61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1.622.639,02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1.687.544,58</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1.751.671,27</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Contr.Melh.p/Exp.Rede de Ilum.Púb. Cidade-Princ.</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1.764.904,06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1.815.481,18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1.552.764,61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1.622.639,02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1.687.544,58</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1.751.671,27</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CONTRIBUIÇÕES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6.686.922,75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7.651.165,51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3.493.216,23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4.650.410,96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4.836.427,40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5.020.211,64</w:t>
            </w:r>
          </w:p>
        </w:tc>
      </w:tr>
      <w:tr>
        <w:trPr>
          <w:trHeight w:val="25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60" w:right="0" w:firstLine="0"/>
              <w:jc w:val="left"/>
            </w:pPr>
            <w:r>
              <w:rPr>
                <w:rFonts w:ascii="Arial" w:eastAsia="Arial" w:hAnsi="Arial" w:cs="Arial"/>
                <w:color w:val="000000"/>
                <w:spacing w:val="0"/>
                <w:w w:val="100"/>
                <w:position w:val="0"/>
                <w:shd w:val="clear" w:color="auto" w:fill="auto"/>
                <w:lang w:val="pt-PT" w:eastAsia="pt-PT" w:bidi="pt-PT"/>
              </w:rPr>
              <w:t>CONTRIBUIÇÕES SOCIAIS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4.594.963,37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5.102.454,44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3.493.216,23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4.650.410,96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4.836.427,40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5.020.211,64</w:t>
            </w:r>
          </w:p>
        </w:tc>
      </w:tr>
      <w:tr>
        <w:trPr>
          <w:trHeight w:val="293" w:hRule="exact"/>
        </w:trPr>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Contr.P/ Regime Próprio de Prev. RPPS</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4.594.963,37</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5.102.454,44</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3.493.216,23</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4.650.410,96</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4.836.427,40</w:t>
            </w:r>
          </w:p>
        </w:tc>
        <w:tc>
          <w:tcPr>
            <w:tcBorders>
              <w:left w:val="single" w:sz="4"/>
              <w:bottom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5.020.211,64</w:t>
            </w:r>
          </w:p>
        </w:tc>
      </w:tr>
    </w:tbl>
    <w:p>
      <w:pPr>
        <w:widowControl w:val="0"/>
        <w:spacing w:line="1" w:lineRule="exact"/>
      </w:pPr>
      <w:r>
        <w:br w:type="page"/>
      </w:r>
    </w:p>
    <w:p>
      <w:pPr>
        <w:pStyle w:val="Style33"/>
        <w:keepNext w:val="0"/>
        <w:keepLines w:val="0"/>
        <w:widowControl w:val="0"/>
        <w:shd w:val="clear" w:color="auto" w:fill="auto"/>
        <w:bidi w:val="0"/>
        <w:spacing w:before="0" w:after="0" w:line="233" w:lineRule="auto"/>
        <w:ind w:left="2376" w:right="0" w:firstLine="0"/>
        <w:jc w:val="left"/>
        <w:rPr>
          <w:sz w:val="18"/>
          <w:szCs w:val="18"/>
        </w:rPr>
      </w:pPr>
      <w:r>
        <w:rPr>
          <w:color w:val="000000"/>
          <w:spacing w:val="0"/>
          <w:w w:val="100"/>
          <w:position w:val="0"/>
          <w:sz w:val="18"/>
          <w:szCs w:val="18"/>
          <w:shd w:val="clear" w:color="auto" w:fill="auto"/>
          <w:lang w:val="pt-PT" w:eastAsia="pt-PT" w:bidi="pt-PT"/>
        </w:rPr>
        <w:t>Art. 4°, §2°, inciso II da LRF</w:t>
      </w:r>
    </w:p>
    <w:tbl>
      <w:tblPr>
        <w:tblOverlap w:val="never"/>
        <w:jc w:val="center"/>
        <w:tblLayout w:type="fixed"/>
      </w:tblPr>
      <w:tblGrid>
        <w:gridCol w:w="5174"/>
        <w:gridCol w:w="1560"/>
        <w:gridCol w:w="1560"/>
        <w:gridCol w:w="1560"/>
        <w:gridCol w:w="1560"/>
        <w:gridCol w:w="1560"/>
        <w:gridCol w:w="1560"/>
      </w:tblGrid>
      <w:tr>
        <w:trPr>
          <w:trHeight w:val="254"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780" w:firstLine="0"/>
              <w:jc w:val="right"/>
            </w:pPr>
            <w:r>
              <w:rPr>
                <w:rFonts w:ascii="Arial" w:eastAsia="Arial" w:hAnsi="Arial" w:cs="Arial"/>
                <w:b/>
                <w:bCs/>
                <w:color w:val="000000"/>
                <w:spacing w:val="0"/>
                <w:w w:val="100"/>
                <w:position w:val="0"/>
                <w:shd w:val="clear" w:color="auto" w:fill="auto"/>
                <w:lang w:val="pt-PT" w:eastAsia="pt-PT" w:bidi="pt-PT"/>
              </w:rPr>
              <w:t>ESPECIFICAÇÃO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ARRECADADA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PREVISÃO</w:t>
            </w:r>
          </w:p>
        </w:tc>
      </w:tr>
      <w:tr>
        <w:trPr>
          <w:trHeight w:val="240" w:hRule="exact"/>
        </w:trPr>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r>
      <w:tr>
        <w:trPr>
          <w:trHeight w:val="250"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780" w:firstLine="0"/>
              <w:jc w:val="right"/>
            </w:pPr>
            <w:r>
              <w:rPr>
                <w:rFonts w:ascii="Arial" w:eastAsia="Arial" w:hAnsi="Arial" w:cs="Arial"/>
                <w:color w:val="000000"/>
                <w:spacing w:val="0"/>
                <w:w w:val="100"/>
                <w:position w:val="0"/>
                <w:shd w:val="clear" w:color="auto" w:fill="auto"/>
                <w:lang w:val="pt-PT" w:eastAsia="pt-PT" w:bidi="pt-PT"/>
              </w:rPr>
              <w:t>Contrib. do Serv.Ativo Civil P/ o RPPS</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4.594.963,37</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5.102.454,44</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3.493.216,23</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4.650.410,96</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4.836.427,40</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5.020.211,64</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Contr.do Serv. Ativo p/ RPPS - Principal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4.594.963,37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5.102.454,44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3.493.216,23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4.650.410,96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4.836.427,40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5.020.211,64</w:t>
            </w:r>
          </w:p>
        </w:tc>
      </w:tr>
      <w:tr>
        <w:trPr>
          <w:trHeight w:val="25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40" w:right="0" w:firstLine="20"/>
              <w:jc w:val="left"/>
            </w:pPr>
            <w:r>
              <w:rPr>
                <w:rFonts w:ascii="Arial" w:eastAsia="Arial" w:hAnsi="Arial" w:cs="Arial"/>
                <w:color w:val="000000"/>
                <w:spacing w:val="0"/>
                <w:w w:val="100"/>
                <w:position w:val="0"/>
                <w:shd w:val="clear" w:color="auto" w:fill="auto"/>
                <w:lang w:val="pt-PT" w:eastAsia="pt-PT" w:bidi="pt-PT"/>
              </w:rPr>
              <w:t xml:space="preserve">CONTRIBUIÇÕES </w:t>
            </w:r>
            <w:r>
              <w:rPr>
                <w:rFonts w:ascii="Arial" w:eastAsia="Arial" w:hAnsi="Arial" w:cs="Arial"/>
                <w:color w:val="000000"/>
                <w:spacing w:val="0"/>
                <w:w w:val="100"/>
                <w:position w:val="0"/>
                <w:shd w:val="clear" w:color="auto" w:fill="auto"/>
                <w:lang w:val="pt-BR" w:eastAsia="pt-BR" w:bidi="pt-BR"/>
              </w:rPr>
              <w:t>ECONÔMICAS</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2.091.959,38</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2.548.711,07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00" w:right="0" w:firstLine="20"/>
              <w:jc w:val="left"/>
            </w:pPr>
            <w:r>
              <w:rPr>
                <w:rFonts w:ascii="Arial" w:eastAsia="Arial" w:hAnsi="Arial" w:cs="Arial"/>
                <w:color w:val="000000"/>
                <w:spacing w:val="0"/>
                <w:w w:val="100"/>
                <w:position w:val="0"/>
                <w:shd w:val="clear" w:color="auto" w:fill="auto"/>
                <w:lang w:val="pt-PT" w:eastAsia="pt-PT" w:bidi="pt-PT"/>
              </w:rPr>
              <w:t xml:space="preserve">Contribuições </w:t>
            </w:r>
            <w:r>
              <w:rPr>
                <w:rFonts w:ascii="Arial" w:eastAsia="Arial" w:hAnsi="Arial" w:cs="Arial"/>
                <w:color w:val="000000"/>
                <w:spacing w:val="0"/>
                <w:w w:val="100"/>
                <w:position w:val="0"/>
                <w:shd w:val="clear" w:color="auto" w:fill="auto"/>
                <w:lang w:val="pt-BR" w:eastAsia="pt-BR" w:bidi="pt-BR"/>
              </w:rPr>
              <w:t>Econômicas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2.091.959,38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2.548.711,07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0"/>
              <w:jc w:val="left"/>
            </w:pPr>
            <w:r>
              <w:rPr>
                <w:rFonts w:ascii="Arial" w:eastAsia="Arial" w:hAnsi="Arial" w:cs="Arial"/>
                <w:color w:val="000000"/>
                <w:spacing w:val="0"/>
                <w:w w:val="100"/>
                <w:position w:val="0"/>
                <w:shd w:val="clear" w:color="auto" w:fill="auto"/>
                <w:lang w:val="pt-PT" w:eastAsia="pt-PT" w:bidi="pt-PT"/>
              </w:rPr>
              <w:t xml:space="preserve">Outras Contribuições </w:t>
            </w:r>
            <w:r>
              <w:rPr>
                <w:rFonts w:ascii="Arial" w:eastAsia="Arial" w:hAnsi="Arial" w:cs="Arial"/>
                <w:color w:val="000000"/>
                <w:spacing w:val="0"/>
                <w:w w:val="100"/>
                <w:position w:val="0"/>
                <w:shd w:val="clear" w:color="auto" w:fill="auto"/>
                <w:lang w:val="pt-BR" w:eastAsia="pt-BR" w:bidi="pt-BR"/>
              </w:rPr>
              <w:t>Econômicas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2.091.959,38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2.548.711,07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80" w:right="0" w:firstLine="20"/>
              <w:jc w:val="left"/>
            </w:pPr>
            <w:r>
              <w:rPr>
                <w:rFonts w:ascii="Arial" w:eastAsia="Arial" w:hAnsi="Arial" w:cs="Arial"/>
                <w:color w:val="000000"/>
                <w:spacing w:val="0"/>
                <w:w w:val="100"/>
                <w:position w:val="0"/>
                <w:shd w:val="clear" w:color="auto" w:fill="auto"/>
                <w:lang w:val="pt-PT" w:eastAsia="pt-PT" w:bidi="pt-PT"/>
              </w:rPr>
              <w:t xml:space="preserve">Outras Contribuições </w:t>
            </w:r>
            <w:r>
              <w:rPr>
                <w:rFonts w:ascii="Arial" w:eastAsia="Arial" w:hAnsi="Arial" w:cs="Arial"/>
                <w:color w:val="000000"/>
                <w:spacing w:val="0"/>
                <w:w w:val="100"/>
                <w:position w:val="0"/>
                <w:shd w:val="clear" w:color="auto" w:fill="auto"/>
                <w:lang w:val="pt-BR" w:eastAsia="pt-BR" w:bidi="pt-BR"/>
              </w:rPr>
              <w:t xml:space="preserve">Econômicas </w:t>
            </w:r>
            <w:r>
              <w:rPr>
                <w:rFonts w:ascii="Arial" w:eastAsia="Arial" w:hAnsi="Arial" w:cs="Arial"/>
                <w:color w:val="000000"/>
                <w:spacing w:val="0"/>
                <w:w w:val="100"/>
                <w:position w:val="0"/>
                <w:shd w:val="clear" w:color="auto" w:fill="auto"/>
                <w:lang w:val="pt-PT" w:eastAsia="pt-PT" w:bidi="pt-PT"/>
              </w:rPr>
              <w:t>- Não Arrecadadas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2.091.959,38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2.548.711,07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 xml:space="preserve">Outras Contribuições </w:t>
            </w:r>
            <w:r>
              <w:rPr>
                <w:rFonts w:ascii="Arial" w:eastAsia="Arial" w:hAnsi="Arial" w:cs="Arial"/>
                <w:color w:val="000000"/>
                <w:spacing w:val="0"/>
                <w:w w:val="100"/>
                <w:position w:val="0"/>
                <w:shd w:val="clear" w:color="auto" w:fill="auto"/>
                <w:lang w:val="pt-BR" w:eastAsia="pt-BR" w:bidi="pt-BR"/>
              </w:rPr>
              <w:t>Econômicas</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2.091.959,38</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2.548.711,07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RECEITA PATRIMONIAL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4.549.674,57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2.936.283,46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2.031.307,80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3.122.716,65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3.247.625,32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3.371.035,08</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40" w:right="0" w:firstLine="20"/>
              <w:jc w:val="left"/>
            </w:pPr>
            <w:r>
              <w:rPr>
                <w:rFonts w:ascii="Arial" w:eastAsia="Arial" w:hAnsi="Arial" w:cs="Arial"/>
                <w:color w:val="000000"/>
                <w:spacing w:val="0"/>
                <w:w w:val="100"/>
                <w:position w:val="0"/>
                <w:shd w:val="clear" w:color="auto" w:fill="auto"/>
                <w:lang w:val="pt-PT" w:eastAsia="pt-PT" w:bidi="pt-PT"/>
              </w:rPr>
              <w:t xml:space="preserve">EXPLOR.DO </w:t>
            </w:r>
            <w:r>
              <w:rPr>
                <w:rFonts w:ascii="Arial" w:eastAsia="Arial" w:hAnsi="Arial" w:cs="Arial"/>
                <w:color w:val="000000"/>
                <w:spacing w:val="0"/>
                <w:w w:val="100"/>
                <w:position w:val="0"/>
                <w:shd w:val="clear" w:color="auto" w:fill="auto"/>
                <w:lang w:val="pt-BR" w:eastAsia="pt-BR" w:bidi="pt-BR"/>
              </w:rPr>
              <w:t xml:space="preserve">PATRIMÔNIO </w:t>
            </w:r>
            <w:r>
              <w:rPr>
                <w:rFonts w:ascii="Arial" w:eastAsia="Arial" w:hAnsi="Arial" w:cs="Arial"/>
                <w:color w:val="000000"/>
                <w:spacing w:val="0"/>
                <w:w w:val="100"/>
                <w:position w:val="0"/>
                <w:shd w:val="clear" w:color="auto" w:fill="auto"/>
                <w:lang w:val="pt-PT" w:eastAsia="pt-PT" w:bidi="pt-PT"/>
              </w:rPr>
              <w:t>IMOB.DO ESTADO</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8.001,23</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7.370,35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00" w:right="0" w:firstLine="20"/>
              <w:jc w:val="left"/>
            </w:pPr>
            <w:r>
              <w:rPr>
                <w:rFonts w:ascii="Arial" w:eastAsia="Arial" w:hAnsi="Arial" w:cs="Arial"/>
                <w:color w:val="000000"/>
                <w:spacing w:val="0"/>
                <w:w w:val="100"/>
                <w:position w:val="0"/>
                <w:shd w:val="clear" w:color="auto" w:fill="auto"/>
                <w:lang w:val="pt-PT" w:eastAsia="pt-PT" w:bidi="pt-PT"/>
              </w:rPr>
              <w:t xml:space="preserve">Exploração do </w:t>
            </w:r>
            <w:r>
              <w:rPr>
                <w:rFonts w:ascii="Arial" w:eastAsia="Arial" w:hAnsi="Arial" w:cs="Arial"/>
                <w:color w:val="000000"/>
                <w:spacing w:val="0"/>
                <w:w w:val="100"/>
                <w:position w:val="0"/>
                <w:shd w:val="clear" w:color="auto" w:fill="auto"/>
                <w:lang w:val="pt-BR" w:eastAsia="pt-BR" w:bidi="pt-BR"/>
              </w:rPr>
              <w:t xml:space="preserve">Patrimônio </w:t>
            </w:r>
            <w:r>
              <w:rPr>
                <w:rFonts w:ascii="Arial" w:eastAsia="Arial" w:hAnsi="Arial" w:cs="Arial"/>
                <w:color w:val="000000"/>
                <w:spacing w:val="0"/>
                <w:w w:val="100"/>
                <w:position w:val="0"/>
                <w:shd w:val="clear" w:color="auto" w:fill="auto"/>
                <w:lang w:val="pt-PT" w:eastAsia="pt-PT" w:bidi="pt-PT"/>
              </w:rPr>
              <w:t>Imobiliário do Estado</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8.001,23</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7.370,35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00" w:right="0" w:firstLine="20"/>
              <w:jc w:val="left"/>
            </w:pPr>
            <w:r>
              <w:rPr>
                <w:rFonts w:ascii="Arial" w:eastAsia="Arial" w:hAnsi="Arial" w:cs="Arial"/>
                <w:color w:val="000000"/>
                <w:spacing w:val="0"/>
                <w:w w:val="100"/>
                <w:position w:val="0"/>
                <w:shd w:val="clear" w:color="auto" w:fill="auto"/>
                <w:lang w:val="pt-PT" w:eastAsia="pt-PT" w:bidi="pt-PT"/>
              </w:rPr>
              <w:t>Aluguéis, Arrendamentos, Foros, Laudêmios, Tarifas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8.001,23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7.370,35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80" w:right="0" w:firstLine="20"/>
              <w:jc w:val="left"/>
            </w:pPr>
            <w:r>
              <w:rPr>
                <w:rFonts w:ascii="Arial" w:eastAsia="Arial" w:hAnsi="Arial" w:cs="Arial"/>
                <w:color w:val="000000"/>
                <w:spacing w:val="0"/>
                <w:w w:val="100"/>
                <w:position w:val="0"/>
                <w:shd w:val="clear" w:color="auto" w:fill="auto"/>
                <w:lang w:val="pt-PT" w:eastAsia="pt-PT" w:bidi="pt-PT"/>
              </w:rPr>
              <w:t>Aluguéis e Arrendamentos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8.001,23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7.370,35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Aluguéis e Arrendamentos Principal</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8.001,23</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7.370,35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20"/>
              <w:jc w:val="left"/>
            </w:pPr>
            <w:r>
              <w:rPr>
                <w:rFonts w:ascii="Arial" w:eastAsia="Arial" w:hAnsi="Arial" w:cs="Arial"/>
                <w:color w:val="000000"/>
                <w:spacing w:val="0"/>
                <w:w w:val="100"/>
                <w:position w:val="0"/>
                <w:shd w:val="clear" w:color="auto" w:fill="auto"/>
                <w:lang w:val="pt-PT" w:eastAsia="pt-PT" w:bidi="pt-PT"/>
              </w:rPr>
              <w:t>VALORES MOBILIÁRIOS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4.541.673,34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2.928.913,11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2.031.307,80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3.122.716,65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3.247.625,32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3.371.035,08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20"/>
              <w:jc w:val="left"/>
            </w:pPr>
            <w:r>
              <w:rPr>
                <w:rFonts w:ascii="Arial" w:eastAsia="Arial" w:hAnsi="Arial" w:cs="Arial"/>
                <w:color w:val="000000"/>
                <w:spacing w:val="0"/>
                <w:w w:val="100"/>
                <w:position w:val="0"/>
                <w:shd w:val="clear" w:color="auto" w:fill="auto"/>
                <w:lang w:val="pt-PT" w:eastAsia="pt-PT" w:bidi="pt-PT"/>
              </w:rPr>
              <w:t>Juros e Corrreções Monetérias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4.541.673,34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2.928.913,11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2.031.307,80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3.122.716,65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3.247.625,32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3.371.035,08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780" w:firstLine="0"/>
              <w:jc w:val="right"/>
            </w:pPr>
            <w:r>
              <w:rPr>
                <w:rFonts w:ascii="Arial" w:eastAsia="Arial" w:hAnsi="Arial" w:cs="Arial"/>
                <w:color w:val="000000"/>
                <w:spacing w:val="0"/>
                <w:w w:val="100"/>
                <w:position w:val="0"/>
                <w:shd w:val="clear" w:color="auto" w:fill="auto"/>
                <w:lang w:val="pt-PT" w:eastAsia="pt-PT" w:bidi="pt-PT"/>
              </w:rPr>
              <w:t>Remuneração de Depósitos Bancários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2.151.862,96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1.676.129,88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1.685.378,63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1.761.220,67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1.831.669,50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1.901.272,94</w:t>
            </w:r>
          </w:p>
        </w:tc>
      </w:tr>
      <w:tr>
        <w:trPr>
          <w:trHeight w:val="26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Remuneração de Depósitos Banc. - Principal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2.151.862,96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1.676.129,88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1.685.378,63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1.761.220,67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1.831.669,50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1.901.272,94</w:t>
            </w:r>
          </w:p>
        </w:tc>
      </w:tr>
      <w:tr>
        <w:trPr>
          <w:trHeight w:val="25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80" w:right="0" w:firstLine="20"/>
              <w:jc w:val="left"/>
            </w:pPr>
            <w:r>
              <w:rPr>
                <w:rFonts w:ascii="Arial" w:eastAsia="Arial" w:hAnsi="Arial" w:cs="Arial"/>
                <w:color w:val="000000"/>
                <w:spacing w:val="0"/>
                <w:w w:val="100"/>
                <w:position w:val="0"/>
                <w:shd w:val="clear" w:color="auto" w:fill="auto"/>
                <w:lang w:val="pt-PT" w:eastAsia="pt-PT" w:bidi="pt-PT"/>
              </w:rPr>
              <w:t>Remuneração. dos Recursos do RPPS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2.389.810,38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1.252.783,23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345.929,17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1.361.495,98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1.415.955,82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1.469.762,14</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Remuneração. dos Recursos do RPPS - Principal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2.389.810,38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1.252.783,23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345.929,17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1.361.495,98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1.415.955,82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1.469.762,14</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RECEITA DE SERVIÇOS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2.593.102,09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2.819.297,51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3.057.384,00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3.194.966,28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3.322.764,93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3.449.030,00</w:t>
            </w:r>
          </w:p>
        </w:tc>
      </w:tr>
      <w:tr>
        <w:trPr>
          <w:trHeight w:val="25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Servi. Administrativos e Comerciais Gerais-Princ</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2.593.102,09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2.819.297,51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3.057.384,00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3.194.966,28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3.322.764,93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3.449.030,00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TRANSFERÊNCIAS CORRENTES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268.434.211,02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310.934.893,43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200.979.959,19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273.024.057,35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283.945.019,65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294.734.930,41</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20"/>
              <w:jc w:val="left"/>
            </w:pPr>
            <w:r>
              <w:rPr>
                <w:rFonts w:ascii="Arial" w:eastAsia="Arial" w:hAnsi="Arial" w:cs="Arial"/>
                <w:color w:val="000000"/>
                <w:spacing w:val="0"/>
                <w:w w:val="100"/>
                <w:position w:val="0"/>
                <w:shd w:val="clear" w:color="auto" w:fill="auto"/>
                <w:lang w:val="pt-PT" w:eastAsia="pt-PT" w:bidi="pt-PT"/>
              </w:rPr>
              <w:t>Transferências da União e suas Entidades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157.455.622,65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178.612.015,71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107.804.877,41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167.656.096,89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174.362.340,78</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180.988.109,74</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20"/>
              <w:jc w:val="left"/>
            </w:pPr>
            <w:r>
              <w:rPr>
                <w:rFonts w:ascii="Arial" w:eastAsia="Arial" w:hAnsi="Arial" w:cs="Arial"/>
                <w:color w:val="000000"/>
                <w:spacing w:val="0"/>
                <w:w w:val="100"/>
                <w:position w:val="0"/>
                <w:shd w:val="clear" w:color="auto" w:fill="auto"/>
                <w:lang w:val="pt-PT" w:eastAsia="pt-PT" w:bidi="pt-PT"/>
              </w:rPr>
              <w:t xml:space="preserve">Transferências Decorrentes de Participação na </w:t>
            </w:r>
            <w:r>
              <w:rPr>
                <w:rFonts w:ascii="Arial" w:eastAsia="Arial" w:hAnsi="Arial" w:cs="Arial"/>
                <w:color w:val="000000"/>
                <w:spacing w:val="0"/>
                <w:w w:val="100"/>
                <w:position w:val="0"/>
                <w:shd w:val="clear" w:color="auto" w:fill="auto"/>
                <w:lang w:val="pt-BR" w:eastAsia="pt-BR" w:bidi="pt-BR"/>
              </w:rPr>
              <w:t>Receit</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50.020.239,35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52.307.744,28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43.045.331,30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52.982.371,21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55.101.666,07</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57.195.529,38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0"/>
              <w:jc w:val="left"/>
            </w:pPr>
            <w:r>
              <w:rPr>
                <w:rFonts w:ascii="Arial" w:eastAsia="Arial" w:hAnsi="Arial" w:cs="Arial"/>
                <w:color w:val="000000"/>
                <w:spacing w:val="0"/>
                <w:w w:val="100"/>
                <w:position w:val="0"/>
                <w:shd w:val="clear" w:color="auto" w:fill="auto"/>
                <w:lang w:val="pt-PT" w:eastAsia="pt-PT" w:bidi="pt-PT"/>
              </w:rPr>
              <w:t>Cota-Parte do Fundo de Participação dos Municípios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48.917.181,91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52.301.575,36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43.034.558,45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52.971.113,58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55.089.958,13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57.183.376,54</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80" w:right="0" w:firstLine="20"/>
              <w:jc w:val="left"/>
            </w:pPr>
            <w:r>
              <w:rPr>
                <w:rFonts w:ascii="Arial" w:eastAsia="Arial" w:hAnsi="Arial" w:cs="Arial"/>
                <w:color w:val="000000"/>
                <w:spacing w:val="0"/>
                <w:w w:val="100"/>
                <w:position w:val="0"/>
                <w:shd w:val="clear" w:color="auto" w:fill="auto"/>
                <w:lang w:val="pt-PT" w:eastAsia="pt-PT" w:bidi="pt-PT"/>
              </w:rPr>
              <w:t>Cota-Parte do Fundo de Participação dos Municípios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45.117.641,32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47.472.671,05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40.614.854,48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48.442.522,93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50.380.223,85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52.294.672,36</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Cota Parte do FPM Principal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45.117.641,32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47.472.671,05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40.614.854,48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48.442.522,93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50.380.223,85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52.294.672,36</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80" w:right="0" w:firstLine="20"/>
              <w:jc w:val="left"/>
            </w:pPr>
            <w:r>
              <w:rPr>
                <w:rFonts w:ascii="Arial" w:eastAsia="Arial" w:hAnsi="Arial" w:cs="Arial"/>
                <w:color w:val="000000"/>
                <w:spacing w:val="0"/>
                <w:w w:val="100"/>
                <w:position w:val="0"/>
                <w:shd w:val="clear" w:color="auto" w:fill="auto"/>
                <w:lang w:val="pt-PT" w:eastAsia="pt-PT" w:bidi="pt-PT"/>
              </w:rPr>
              <w:t>Cota-Parte do Fundo de Participação do Municípios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3.799.540,59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4.828.904,31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2.419.703,97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4.528.590,65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4.709.734,28</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4.888.704,18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Cota Parte do FPM - Cotas Extraordinárias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3.799.540,59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4.828.904,31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2.419.703,97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4.528.590,65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4.709.734,28</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4.888.704,18</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0"/>
              <w:jc w:val="left"/>
            </w:pPr>
            <w:r>
              <w:rPr>
                <w:rFonts w:ascii="Arial" w:eastAsia="Arial" w:hAnsi="Arial" w:cs="Arial"/>
                <w:color w:val="000000"/>
                <w:spacing w:val="0"/>
                <w:w w:val="100"/>
                <w:position w:val="0"/>
                <w:shd w:val="clear" w:color="auto" w:fill="auto"/>
                <w:lang w:val="pt-PT" w:eastAsia="pt-PT" w:bidi="pt-PT"/>
              </w:rPr>
              <w:t>Cota-Parte do Imposto Sobre a Propriedade Territori</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14.655,33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6.168,92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10.772,85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11.257,63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11.707,94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12.152,84</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Cota Parte do ITR</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14.655,33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6.168,92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10.772,85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11.257,63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11.707,94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12.152,84</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40" w:right="0" w:firstLine="0"/>
              <w:jc w:val="left"/>
            </w:pPr>
            <w:r>
              <w:rPr>
                <w:rFonts w:ascii="Arial" w:eastAsia="Arial" w:hAnsi="Arial" w:cs="Arial"/>
                <w:color w:val="000000"/>
                <w:spacing w:val="0"/>
                <w:w w:val="100"/>
                <w:position w:val="0"/>
                <w:shd w:val="clear" w:color="auto" w:fill="auto"/>
                <w:lang w:val="pt-PT" w:eastAsia="pt-PT" w:bidi="pt-PT"/>
              </w:rPr>
              <w:t>Transferências Decorrentes de Participação em Outra</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1.088.402,11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93" w:hRule="exact"/>
        </w:trPr>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Transferências Decorrentes de Participação em Ou</w:t>
            </w:r>
          </w:p>
        </w:tc>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1.088.402,11</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bl>
    <w:p>
      <w:pPr>
        <w:widowControl w:val="0"/>
        <w:spacing w:line="1" w:lineRule="exact"/>
      </w:pPr>
      <w:r>
        <w:br w:type="page"/>
      </w:r>
    </w:p>
    <w:p>
      <w:pPr>
        <w:pStyle w:val="Style33"/>
        <w:keepNext w:val="0"/>
        <w:keepLines w:val="0"/>
        <w:widowControl w:val="0"/>
        <w:shd w:val="clear" w:color="auto" w:fill="auto"/>
        <w:bidi w:val="0"/>
        <w:spacing w:before="0" w:after="0" w:line="233" w:lineRule="auto"/>
        <w:ind w:left="2376" w:right="0" w:firstLine="0"/>
        <w:jc w:val="left"/>
        <w:rPr>
          <w:sz w:val="18"/>
          <w:szCs w:val="18"/>
        </w:rPr>
      </w:pPr>
      <w:r>
        <w:rPr>
          <w:color w:val="000000"/>
          <w:spacing w:val="0"/>
          <w:w w:val="100"/>
          <w:position w:val="0"/>
          <w:sz w:val="18"/>
          <w:szCs w:val="18"/>
          <w:shd w:val="clear" w:color="auto" w:fill="auto"/>
          <w:lang w:val="pt-PT" w:eastAsia="pt-PT" w:bidi="pt-PT"/>
        </w:rPr>
        <w:t>Art. 4°, §2°, inciso II da LRF</w:t>
      </w:r>
    </w:p>
    <w:tbl>
      <w:tblPr>
        <w:tblOverlap w:val="never"/>
        <w:jc w:val="center"/>
        <w:tblLayout w:type="fixed"/>
      </w:tblPr>
      <w:tblGrid>
        <w:gridCol w:w="5174"/>
        <w:gridCol w:w="1560"/>
        <w:gridCol w:w="1560"/>
        <w:gridCol w:w="1560"/>
        <w:gridCol w:w="1560"/>
        <w:gridCol w:w="1560"/>
        <w:gridCol w:w="1560"/>
      </w:tblGrid>
      <w:tr>
        <w:trPr>
          <w:trHeight w:val="254"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ESPECIFICAÇÃO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ARRECADADA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PREVISÃO</w:t>
            </w:r>
          </w:p>
        </w:tc>
      </w:tr>
      <w:tr>
        <w:trPr>
          <w:trHeight w:val="240" w:hRule="exact"/>
        </w:trPr>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r>
      <w:tr>
        <w:trPr>
          <w:trHeight w:val="250"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Transferências das Compensações Financeiras pela Exp</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942.619,71</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944.809,30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861.568,92</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900.339,52</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936.353,10</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971.934,52</w:t>
            </w:r>
          </w:p>
        </w:tc>
      </w:tr>
      <w:tr>
        <w:trPr>
          <w:trHeight w:val="26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40" w:right="0" w:firstLine="0"/>
              <w:jc w:val="left"/>
            </w:pPr>
            <w:r>
              <w:rPr>
                <w:rFonts w:ascii="Arial" w:eastAsia="Arial" w:hAnsi="Arial" w:cs="Arial"/>
                <w:color w:val="000000"/>
                <w:spacing w:val="0"/>
                <w:w w:val="100"/>
                <w:position w:val="0"/>
                <w:shd w:val="clear" w:color="auto" w:fill="auto"/>
                <w:lang w:val="pt-PT" w:eastAsia="pt-PT" w:bidi="pt-PT"/>
              </w:rPr>
              <w:t>Cota-parte da Compensação Financeira pela Exploraçã</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186,16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40"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Cota Parte de Recursos Minerais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186,16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6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Cota-parte da Compensação Financeira pela Produção</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942.619,71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944.623,14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861.568,92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900.339,52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936.353,10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971.934,52</w:t>
            </w:r>
          </w:p>
        </w:tc>
      </w:tr>
      <w:tr>
        <w:trPr>
          <w:trHeight w:val="24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80" w:right="0" w:firstLine="0"/>
              <w:jc w:val="left"/>
            </w:pPr>
            <w:r>
              <w:rPr>
                <w:rFonts w:ascii="Arial" w:eastAsia="Arial" w:hAnsi="Arial" w:cs="Arial"/>
                <w:color w:val="000000"/>
                <w:spacing w:val="0"/>
                <w:w w:val="100"/>
                <w:position w:val="0"/>
                <w:shd w:val="clear" w:color="auto" w:fill="auto"/>
                <w:lang w:val="pt-PT" w:eastAsia="pt-PT" w:bidi="pt-PT"/>
              </w:rPr>
              <w:t>Cota-Parte do Fundo Especial do Petróleo - FEP</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942.619,71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944.623,14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861.568,92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900.339,52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936.353,10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971.934,52</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Cota Parte do FEP</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942.619,71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944.623,14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861.568,92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900.339,52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936.353,10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971.934,52</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Transferências de Recursos do Sistema Único de Saúde</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32.898.084,22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62.212.704,69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34.339.390,49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54.884.663,06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57.080.049,59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59.249.091,48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0"/>
              <w:jc w:val="left"/>
            </w:pPr>
            <w:r>
              <w:rPr>
                <w:rFonts w:ascii="Arial" w:eastAsia="Arial" w:hAnsi="Arial" w:cs="Arial"/>
                <w:color w:val="000000"/>
                <w:spacing w:val="0"/>
                <w:w w:val="100"/>
                <w:position w:val="0"/>
                <w:shd w:val="clear" w:color="auto" w:fill="auto"/>
                <w:lang w:val="pt-PT" w:eastAsia="pt-PT" w:bidi="pt-PT"/>
              </w:rPr>
              <w:t>Transferências de Recursos do Sistema Único de Saúd</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32.898.084,22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62.212.704,69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34.339.390,49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54.884.663,06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57.080.049,59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59.249.091,48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Transferências de Recursos do Bloco de Manutenção</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18.139.350,40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38.196.651,29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17.926.653,15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32.733.352,54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34.042.686,64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35.336.308,73</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 xml:space="preserve">Transf. Rec. Bloco </w:t>
            </w:r>
            <w:r>
              <w:rPr>
                <w:rFonts w:ascii="Arial" w:eastAsia="Arial" w:hAnsi="Arial" w:cs="Arial"/>
                <w:color w:val="000000"/>
                <w:spacing w:val="0"/>
                <w:w w:val="100"/>
                <w:position w:val="0"/>
                <w:shd w:val="clear" w:color="auto" w:fill="auto"/>
                <w:lang w:val="pt-BR" w:eastAsia="pt-BR" w:bidi="pt-BR"/>
              </w:rPr>
              <w:t xml:space="preserve">Manut </w:t>
            </w:r>
            <w:r>
              <w:rPr>
                <w:rFonts w:ascii="Arial" w:eastAsia="Arial" w:hAnsi="Arial" w:cs="Arial"/>
                <w:color w:val="000000"/>
                <w:spacing w:val="0"/>
                <w:w w:val="100"/>
                <w:position w:val="0"/>
                <w:shd w:val="clear" w:color="auto" w:fill="auto"/>
                <w:lang w:val="pt-PT" w:eastAsia="pt-PT" w:bidi="pt-PT"/>
              </w:rPr>
              <w:t>das ASPS - Atenção Prim</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18.139.350,40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38.196.651,29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17.926.653,15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32.733.352,54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34.042.686,64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35.336.308,73</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Transferências de Recursos do Bloco de Manutenção</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10.126.894,75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15.530.887,06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9.764.075,04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14.203.458,42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14.771.596,76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15.332.917,44</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Transf. Rec. Bloco Manut das ASPS - Atenção Espe</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10.126.894,75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15.530.887,06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9.764.075,04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14.203.458,42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14.771.596,76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15.332.917,44</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Transferências de Recursos do Bloco de Manutenção</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1.216.888,38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1.783.604,60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683.136,76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1.713.877,91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1.782.433,03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1.850.165,49</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Transf. Rec. Bloco Manut das ASPS - Vigilancia e</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1.216.888,38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1.783.604,60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683.136,76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1.713.877,91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1.782.433,03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1.850.165,49</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Transferências de Recursos do Bloco de Manutenção</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383.430,00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651.298,45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459.109,82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479.769,76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498.960,55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517.921,05</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 Rec. Bloco Manut das ASPS - Assist. Farm</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383.430,00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651.298,45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459.109,82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479.769,76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498.960,55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517.921,05</w:t>
            </w:r>
          </w:p>
        </w:tc>
      </w:tr>
      <w:tr>
        <w:trPr>
          <w:trHeight w:val="25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Transferências de Recursos do Bloco de Manutenção</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3.031.520,69</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6.050.263,29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Transf. Rec. Bloco Manut das ASPS - Gestão do SU</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3.031.520,69</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6.050.263,29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Transferências de Recursos do Bloco de Manutenção</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5.506.415,72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5.754.204,43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5.984.372,61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6.211.778,77</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 Rec. Bloco Manut das ASPS - Outros Progr</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5.506.415,72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5.754.204,43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5.984.372,61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6.211.778,77</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Transferências de Recursos do Fundo Nacional do Dese</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7.386.082,19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9.233.144,60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4.301.120,48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6.494.670,90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6.754.457,74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7.011.127,14</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0"/>
              <w:jc w:val="left"/>
            </w:pPr>
            <w:r>
              <w:rPr>
                <w:rFonts w:ascii="Arial" w:eastAsia="Arial" w:hAnsi="Arial" w:cs="Arial"/>
                <w:color w:val="000000"/>
                <w:spacing w:val="0"/>
                <w:w w:val="100"/>
                <w:position w:val="0"/>
                <w:shd w:val="clear" w:color="auto" w:fill="auto"/>
                <w:lang w:val="pt-PT" w:eastAsia="pt-PT" w:bidi="pt-PT"/>
              </w:rPr>
              <w:t>Transferências do Salário-Educação</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2.022.995,59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5.625.070,24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1.702.660,83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3.779.280,57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3.930.451,79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4.079.808,96</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Transferências do Salário Educação QSE</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2.022.995,59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5.625.070,24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1.702.660,83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3.779.280,57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3.930.451,79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4.079.808,96</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0"/>
              <w:jc w:val="left"/>
            </w:pPr>
            <w:r>
              <w:rPr>
                <w:rFonts w:ascii="Arial" w:eastAsia="Arial" w:hAnsi="Arial" w:cs="Arial"/>
                <w:color w:val="000000"/>
                <w:spacing w:val="0"/>
                <w:w w:val="100"/>
                <w:position w:val="0"/>
                <w:shd w:val="clear" w:color="auto" w:fill="auto"/>
                <w:lang w:val="pt-PT" w:eastAsia="pt-PT" w:bidi="pt-PT"/>
              </w:rPr>
              <w:t>Transferências Diretas do FNDE referentes ao Progra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40.920,00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46.980,00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61.061,20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63.808,95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66.361,31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68.883,04</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 xml:space="preserve">Transferências do </w:t>
            </w:r>
            <w:r>
              <w:rPr>
                <w:rFonts w:ascii="Arial" w:eastAsia="Arial" w:hAnsi="Arial" w:cs="Arial"/>
                <w:color w:val="000000"/>
                <w:spacing w:val="0"/>
                <w:w w:val="100"/>
                <w:position w:val="0"/>
                <w:shd w:val="clear" w:color="auto" w:fill="auto"/>
                <w:lang w:val="pt-BR" w:eastAsia="pt-BR" w:bidi="pt-BR"/>
              </w:rPr>
              <w:t>PDDE</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40.920,00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46.980,00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61.061,20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63.808,95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66.361,31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68.883,04</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Transferências referentes ao Programa Nacional de 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1.460.762,40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1.505.960,00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1.415.017,41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1.478.693,19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1.537.840,92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1.596.278,88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PNAE - Principal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1.460.762,40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1.505.960,00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1.415.017,41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1.478.693,19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1.537.840,92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1.596.278,88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Transferências referentes ao Programa Nacional de 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1.155.960,35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700.556,36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1.122.381,04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1.172.888,19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1.219.803,72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1.266.156,26</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Transporte Escolar - PNATE</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1.155.960,35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700.556,36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1.122.381,04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1.172.888,19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1.219.803,72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1.266.156,26</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40" w:right="0" w:firstLine="0"/>
              <w:jc w:val="left"/>
            </w:pPr>
            <w:r>
              <w:rPr>
                <w:rFonts w:ascii="Arial" w:eastAsia="Arial" w:hAnsi="Arial" w:cs="Arial"/>
                <w:color w:val="000000"/>
                <w:spacing w:val="0"/>
                <w:w w:val="100"/>
                <w:position w:val="0"/>
                <w:shd w:val="clear" w:color="auto" w:fill="auto"/>
                <w:lang w:val="pt-PT" w:eastAsia="pt-PT" w:bidi="pt-PT"/>
              </w:rPr>
              <w:t>Outras Transferências Diretas do Fundo Nacional do</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2.705.443,85</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1.354.578,00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Outras Transferências Diretas do FNDE</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2.705.443,85</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1.354.578,00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center"/>
            </w:pPr>
            <w:r>
              <w:rPr>
                <w:rFonts w:ascii="Arial" w:eastAsia="Arial" w:hAnsi="Arial" w:cs="Arial"/>
                <w:color w:val="000000"/>
                <w:spacing w:val="0"/>
                <w:w w:val="100"/>
                <w:position w:val="0"/>
                <w:shd w:val="clear" w:color="auto" w:fill="auto"/>
                <w:lang w:val="pt-PT" w:eastAsia="pt-PT" w:bidi="pt-PT"/>
              </w:rPr>
              <w:t>Transferências de Recursos de Complementação da Uniã</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33.863.879,78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49.138.151,12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20.403.142,52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47.321.283,94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49.214.135,30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51.084.272,44</w:t>
            </w:r>
          </w:p>
        </w:tc>
      </w:tr>
      <w:tr>
        <w:trPr>
          <w:trHeight w:val="293" w:hRule="exact"/>
        </w:trPr>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240" w:right="0" w:firstLine="0"/>
              <w:jc w:val="left"/>
            </w:pPr>
            <w:r>
              <w:rPr>
                <w:rFonts w:ascii="Arial" w:eastAsia="Arial" w:hAnsi="Arial" w:cs="Arial"/>
                <w:color w:val="000000"/>
                <w:spacing w:val="0"/>
                <w:w w:val="100"/>
                <w:position w:val="0"/>
                <w:shd w:val="clear" w:color="auto" w:fill="auto"/>
                <w:lang w:val="pt-PT" w:eastAsia="pt-PT" w:bidi="pt-PT"/>
              </w:rPr>
              <w:t>Transferências de Recursos da Complementação da Uni</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33.863.879,78</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49.138.151,12</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20.403.142,52</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47.321.283,94</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49.214.135,30</w:t>
            </w:r>
          </w:p>
        </w:tc>
        <w:tc>
          <w:tcPr>
            <w:tcBorders>
              <w:left w:val="single" w:sz="4"/>
              <w:bottom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51.084.272,44</w:t>
            </w:r>
          </w:p>
        </w:tc>
      </w:tr>
    </w:tbl>
    <w:p>
      <w:pPr>
        <w:widowControl w:val="0"/>
        <w:spacing w:line="1" w:lineRule="exact"/>
      </w:pPr>
      <w:r>
        <w:br w:type="page"/>
      </w:r>
    </w:p>
    <w:p>
      <w:pPr>
        <w:pStyle w:val="Style33"/>
        <w:keepNext w:val="0"/>
        <w:keepLines w:val="0"/>
        <w:widowControl w:val="0"/>
        <w:shd w:val="clear" w:color="auto" w:fill="auto"/>
        <w:bidi w:val="0"/>
        <w:spacing w:before="0" w:after="0" w:line="233" w:lineRule="auto"/>
        <w:ind w:left="2376" w:right="0" w:firstLine="0"/>
        <w:jc w:val="left"/>
        <w:rPr>
          <w:sz w:val="18"/>
          <w:szCs w:val="18"/>
        </w:rPr>
      </w:pPr>
      <w:r>
        <w:rPr>
          <w:color w:val="000000"/>
          <w:spacing w:val="0"/>
          <w:w w:val="100"/>
          <w:position w:val="0"/>
          <w:sz w:val="18"/>
          <w:szCs w:val="18"/>
          <w:shd w:val="clear" w:color="auto" w:fill="auto"/>
          <w:lang w:val="pt-PT" w:eastAsia="pt-PT" w:bidi="pt-PT"/>
        </w:rPr>
        <w:t>Art. 4°, §2°, inciso II da LRF</w:t>
      </w:r>
    </w:p>
    <w:tbl>
      <w:tblPr>
        <w:tblOverlap w:val="never"/>
        <w:jc w:val="center"/>
        <w:tblLayout w:type="fixed"/>
      </w:tblPr>
      <w:tblGrid>
        <w:gridCol w:w="5174"/>
        <w:gridCol w:w="1560"/>
        <w:gridCol w:w="1560"/>
        <w:gridCol w:w="1560"/>
        <w:gridCol w:w="1560"/>
        <w:gridCol w:w="1560"/>
        <w:gridCol w:w="1560"/>
      </w:tblGrid>
      <w:tr>
        <w:trPr>
          <w:trHeight w:val="254"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ESPECIFICAÇÃO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ARRECADADA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PREVISÃO</w:t>
            </w:r>
          </w:p>
        </w:tc>
      </w:tr>
      <w:tr>
        <w:trPr>
          <w:trHeight w:val="240" w:hRule="exact"/>
        </w:trPr>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r>
      <w:tr>
        <w:trPr>
          <w:trHeight w:val="250"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Transferências de Recursos de Complementação da Un</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17.289.415,03</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25.101.441,17</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3.538.248,81</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23.697.470,01</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24.645.368,81</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25.581.892,82</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Transf. Recursos Complementação do FUNDEB - VAAT</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17.289.415,03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25.101.441,17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3.538.248,81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23.697.470,01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24.645.368,81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25.581.892,82</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Transferências de Recursos de Complementação da Un</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15.308.251,50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21.777.009,22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14.264.893,71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20.906.813,93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21.743.086,49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22.569.323,78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Transf. Recursos Complementação do FUNDEB - VAAF</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15.308.251,50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21.777.009,22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14.264.893,71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20.906.813,93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21.743.086,49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22.569.323,78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Transferências de Recursos de Complementação da Un</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1.266.213,25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2.259.700,73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2.600.000,00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2.717.000,00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2.825.680,00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2.933.055,84</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Transf. Recursos Complementação do FUNDEB - VAAR</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1.266.213,25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2.259.700,73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2.600.000,00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2.717.000,00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2.825.680,00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2.933.055,84</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left"/>
            </w:pPr>
            <w:r>
              <w:rPr>
                <w:rFonts w:ascii="Arial" w:eastAsia="Arial" w:hAnsi="Arial" w:cs="Arial"/>
                <w:color w:val="000000"/>
                <w:spacing w:val="0"/>
                <w:w w:val="100"/>
                <w:position w:val="0"/>
                <w:shd w:val="clear" w:color="auto" w:fill="auto"/>
                <w:lang w:val="pt-PT" w:eastAsia="pt-PT" w:bidi="pt-PT"/>
              </w:rPr>
              <w:t>Transferências de Recursos do Fundo Nacional de Assi</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10.916.727,16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1.734.814,09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1.518.311,60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1.586.635,62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1.650.101,04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1.712.804,88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Transferências de Recursos do Fundo Nacional de Ass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10.916.727,16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1.734.814,09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1.518.311,60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1.586.635,62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1.650.101,04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1.712.804,88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Transferências de Recursos do FNAS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10.916.727,16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1.734.814,09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1.518.311,60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1.586.635,62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1.650.101,04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1.712.804,88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left"/>
            </w:pPr>
            <w:r>
              <w:rPr>
                <w:rFonts w:ascii="Arial" w:eastAsia="Arial" w:hAnsi="Arial" w:cs="Arial"/>
                <w:color w:val="000000"/>
                <w:spacing w:val="0"/>
                <w:w w:val="100"/>
                <w:position w:val="0"/>
                <w:shd w:val="clear" w:color="auto" w:fill="auto"/>
                <w:lang w:val="pt-PT" w:eastAsia="pt-PT" w:bidi="pt-PT"/>
              </w:rPr>
              <w:t xml:space="preserve">Transferências de </w:t>
            </w:r>
            <w:r>
              <w:rPr>
                <w:rFonts w:ascii="Arial" w:eastAsia="Arial" w:hAnsi="Arial" w:cs="Arial"/>
                <w:color w:val="000000"/>
                <w:spacing w:val="0"/>
                <w:w w:val="100"/>
                <w:position w:val="0"/>
                <w:shd w:val="clear" w:color="auto" w:fill="auto"/>
                <w:lang w:val="pt-BR" w:eastAsia="pt-BR" w:bidi="pt-BR"/>
              </w:rPr>
              <w:t xml:space="preserve">Convênios </w:t>
            </w:r>
            <w:r>
              <w:rPr>
                <w:rFonts w:ascii="Arial" w:eastAsia="Arial" w:hAnsi="Arial" w:cs="Arial"/>
                <w:color w:val="000000"/>
                <w:spacing w:val="0"/>
                <w:w w:val="100"/>
                <w:position w:val="0"/>
                <w:shd w:val="clear" w:color="auto" w:fill="auto"/>
                <w:lang w:val="pt-PT" w:eastAsia="pt-PT" w:bidi="pt-PT"/>
              </w:rPr>
              <w:t>da União e de Suas Entid</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1.853.495,00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983.555,09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1.027.815,07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1.068.927,67</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1.109.546,92</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 xml:space="preserve">Transferências de </w:t>
            </w:r>
            <w:r>
              <w:rPr>
                <w:rFonts w:ascii="Arial" w:eastAsia="Arial" w:hAnsi="Arial" w:cs="Arial"/>
                <w:color w:val="000000"/>
                <w:spacing w:val="0"/>
                <w:w w:val="100"/>
                <w:position w:val="0"/>
                <w:shd w:val="clear" w:color="auto" w:fill="auto"/>
                <w:lang w:val="pt-BR" w:eastAsia="pt-BR" w:bidi="pt-BR"/>
              </w:rPr>
              <w:t xml:space="preserve">Convênios </w:t>
            </w:r>
            <w:r>
              <w:rPr>
                <w:rFonts w:ascii="Arial" w:eastAsia="Arial" w:hAnsi="Arial" w:cs="Arial"/>
                <w:color w:val="000000"/>
                <w:spacing w:val="0"/>
                <w:w w:val="100"/>
                <w:position w:val="0"/>
                <w:shd w:val="clear" w:color="auto" w:fill="auto"/>
                <w:lang w:val="pt-PT" w:eastAsia="pt-PT" w:bidi="pt-PT"/>
              </w:rPr>
              <w:t>da União para o Sistema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983.555,09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1.027.815,07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1.068.927,67</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1.109.546,92</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Transferências da Atenção Básica à Saúde</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983.555,09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1.027.815,07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1.068.927,67</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1.109.546,92</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 xml:space="preserve">Outras Transferências de </w:t>
            </w:r>
            <w:r>
              <w:rPr>
                <w:rFonts w:ascii="Arial" w:eastAsia="Arial" w:hAnsi="Arial" w:cs="Arial"/>
                <w:color w:val="000000"/>
                <w:spacing w:val="0"/>
                <w:w w:val="100"/>
                <w:position w:val="0"/>
                <w:shd w:val="clear" w:color="auto" w:fill="auto"/>
                <w:lang w:val="pt-BR" w:eastAsia="pt-BR" w:bidi="pt-BR"/>
              </w:rPr>
              <w:t xml:space="preserve">Convênios </w:t>
            </w:r>
            <w:r>
              <w:rPr>
                <w:rFonts w:ascii="Arial" w:eastAsia="Arial" w:hAnsi="Arial" w:cs="Arial"/>
                <w:color w:val="000000"/>
                <w:spacing w:val="0"/>
                <w:w w:val="100"/>
                <w:position w:val="0"/>
                <w:shd w:val="clear" w:color="auto" w:fill="auto"/>
                <w:lang w:val="pt-PT" w:eastAsia="pt-PT" w:bidi="pt-PT"/>
              </w:rPr>
              <w:t>da União e de Su</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1.853.495,00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 xml:space="preserve">Outras Transferências de </w:t>
            </w:r>
            <w:r>
              <w:rPr>
                <w:rFonts w:ascii="Arial" w:eastAsia="Arial" w:hAnsi="Arial" w:cs="Arial"/>
                <w:color w:val="000000"/>
                <w:spacing w:val="0"/>
                <w:w w:val="100"/>
                <w:position w:val="0"/>
                <w:shd w:val="clear" w:color="auto" w:fill="auto"/>
                <w:lang w:val="pt-BR" w:eastAsia="pt-BR" w:bidi="pt-BR"/>
              </w:rPr>
              <w:t xml:space="preserve">Convênios </w:t>
            </w:r>
            <w:r>
              <w:rPr>
                <w:rFonts w:ascii="Arial" w:eastAsia="Arial" w:hAnsi="Arial" w:cs="Arial"/>
                <w:color w:val="000000"/>
                <w:spacing w:val="0"/>
                <w:w w:val="100"/>
                <w:position w:val="0"/>
                <w:shd w:val="clear" w:color="auto" w:fill="auto"/>
                <w:lang w:val="pt-PT" w:eastAsia="pt-PT" w:bidi="pt-PT"/>
              </w:rPr>
              <w:t>da União e de</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1.853.495,00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left"/>
            </w:pPr>
            <w:r>
              <w:rPr>
                <w:rFonts w:ascii="Arial" w:eastAsia="Arial" w:hAnsi="Arial" w:cs="Arial"/>
                <w:color w:val="000000"/>
                <w:spacing w:val="0"/>
                <w:w w:val="100"/>
                <w:position w:val="0"/>
                <w:shd w:val="clear" w:color="auto" w:fill="auto"/>
                <w:lang w:val="pt-PT" w:eastAsia="pt-PT" w:bidi="pt-PT"/>
              </w:rPr>
              <w:t>Outras Transferências de Recursos da União</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19.574.495,24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3.040.647,63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2.352.457,01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2.458.317,57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2.556.650,27</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2.653.802,98</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Transferência Especial da União</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18.698.467,00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600.000,00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Transferência Especial da União - Principal</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18.698.467,00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600.000,00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Transferências da Política Nacional Aldir Blanc de</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435.569,43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455.170,05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473.376,85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491.365,17</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Transferências da Política Nacional Aldir Blanc</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435.569,43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455.170,05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473.376,85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491.365,17</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Outras Transferências de Recursos da União e de sua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876.028,24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2.440.647,63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1.916.887,58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2.003.147,52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2.083.273,42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2.162.437,81</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Outras Transferências de Recursos da União e de</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876.028,24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2.440.647,63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1.916.887,58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2.003.147,52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2.083.273,42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2.162.437,81</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720" w:firstLine="0"/>
              <w:jc w:val="right"/>
            </w:pPr>
            <w:r>
              <w:rPr>
                <w:rFonts w:ascii="Arial" w:eastAsia="Arial" w:hAnsi="Arial" w:cs="Arial"/>
                <w:color w:val="000000"/>
                <w:spacing w:val="0"/>
                <w:w w:val="100"/>
                <w:position w:val="0"/>
                <w:shd w:val="clear" w:color="auto" w:fill="auto"/>
                <w:lang w:val="pt-PT" w:eastAsia="pt-PT" w:bidi="pt-PT"/>
              </w:rPr>
              <w:t>TRANSF. DOS ESTADOS, DIST. FED. E SUAS ENT.</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56.804.644,68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70.956.974,46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43.448.612,69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45.403.800,26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47.219.952,26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49.014.310,45</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left"/>
            </w:pPr>
            <w:r>
              <w:rPr>
                <w:rFonts w:ascii="Arial" w:eastAsia="Arial" w:hAnsi="Arial" w:cs="Arial"/>
                <w:color w:val="000000"/>
                <w:spacing w:val="0"/>
                <w:w w:val="100"/>
                <w:position w:val="0"/>
                <w:shd w:val="clear" w:color="auto" w:fill="auto"/>
                <w:lang w:val="pt-PT" w:eastAsia="pt-PT" w:bidi="pt-PT"/>
              </w:rPr>
              <w:t>Participação na Receita dos Estados e Distrito Feder</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40.381.359,62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44.265.206,81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42.038.283,96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43.930.006,74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45.687.207,01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47.423.320,88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Cota-Parte do ICMS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39.828.092,65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43.395.402,33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41.603.422,39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43.475.576,40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45.214.599,46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46.932.754,24</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Cota Parte do ICMS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39.828.092,65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43.395.402,33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41.603.422,39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43.475.576,40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45.214.599,46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46.932.754,24</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Cota-Parte do IPVA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469.007,03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695.283,10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260.434,19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272.153,73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283.039,88</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293.795,40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Cota Parte do IPVA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469.007,03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695.283,10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260.434,19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272.153,73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283.039,88</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293.795,40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 xml:space="preserve">Cota-Parte do </w:t>
            </w:r>
            <w:r>
              <w:rPr>
                <w:rFonts w:ascii="Arial" w:eastAsia="Arial" w:hAnsi="Arial" w:cs="Arial"/>
                <w:color w:val="000000"/>
                <w:spacing w:val="0"/>
                <w:w w:val="100"/>
                <w:position w:val="0"/>
                <w:shd w:val="clear" w:color="auto" w:fill="auto"/>
                <w:lang w:val="pt-BR" w:eastAsia="pt-BR" w:bidi="pt-BR"/>
              </w:rPr>
              <w:t xml:space="preserve">IPI </w:t>
            </w:r>
            <w:r>
              <w:rPr>
                <w:rFonts w:ascii="Arial" w:eastAsia="Arial" w:hAnsi="Arial" w:cs="Arial"/>
                <w:color w:val="000000"/>
                <w:spacing w:val="0"/>
                <w:w w:val="100"/>
                <w:position w:val="0"/>
                <w:shd w:val="clear" w:color="auto" w:fill="auto"/>
                <w:lang w:val="pt-PT" w:eastAsia="pt-PT" w:bidi="pt-PT"/>
              </w:rPr>
              <w:t>- Municípios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73.970,84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119.482,33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152.872,99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159.752,27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166.142,36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172.455,77</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Cota Parte do IPI</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73.970,84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119.482,33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152.872,99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159.752,27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166.142,36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172.455,77</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Cota-Parte da Contribuição de Intervenção no Domíni</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10.289,10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55.039,05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21.554,39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22.524,34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23.425,31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24.315,47</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Cota Parte do CIDE</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10.289,10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55.039,05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21.554,39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22.524,34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23.425,31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24.315,47</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left"/>
            </w:pPr>
            <w:r>
              <w:rPr>
                <w:rFonts w:ascii="Arial" w:eastAsia="Arial" w:hAnsi="Arial" w:cs="Arial"/>
                <w:color w:val="000000"/>
                <w:spacing w:val="0"/>
                <w:w w:val="100"/>
                <w:position w:val="0"/>
                <w:shd w:val="clear" w:color="auto" w:fill="auto"/>
                <w:lang w:val="pt-PT" w:eastAsia="pt-PT" w:bidi="pt-PT"/>
              </w:rPr>
              <w:t>Transferências das Compensações Financeiras pela Exp</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424.007,26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395.831,27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524.938,32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548.560,54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570.502,96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592.182,07</w:t>
            </w:r>
          </w:p>
        </w:tc>
      </w:tr>
      <w:tr>
        <w:trPr>
          <w:trHeight w:val="293" w:hRule="exact"/>
        </w:trPr>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Cota Parte do Royalties</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424.007,26</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395.831,27</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524.938,32</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548.560,54</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570.502,96</w:t>
            </w:r>
          </w:p>
        </w:tc>
        <w:tc>
          <w:tcPr>
            <w:tcBorders>
              <w:left w:val="single" w:sz="4"/>
              <w:bottom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592.182,07</w:t>
            </w:r>
          </w:p>
        </w:tc>
      </w:tr>
    </w:tbl>
    <w:p>
      <w:pPr>
        <w:widowControl w:val="0"/>
        <w:spacing w:line="1" w:lineRule="exact"/>
      </w:pPr>
      <w:r>
        <w:br w:type="page"/>
      </w:r>
    </w:p>
    <w:p>
      <w:pPr>
        <w:pStyle w:val="Style33"/>
        <w:keepNext w:val="0"/>
        <w:keepLines w:val="0"/>
        <w:widowControl w:val="0"/>
        <w:shd w:val="clear" w:color="auto" w:fill="auto"/>
        <w:bidi w:val="0"/>
        <w:spacing w:before="0" w:after="0" w:line="233" w:lineRule="auto"/>
        <w:ind w:left="2376" w:right="0" w:firstLine="0"/>
        <w:jc w:val="left"/>
        <w:rPr>
          <w:sz w:val="18"/>
          <w:szCs w:val="18"/>
        </w:rPr>
      </w:pPr>
      <w:r>
        <w:rPr>
          <w:color w:val="000000"/>
          <w:spacing w:val="0"/>
          <w:w w:val="100"/>
          <w:position w:val="0"/>
          <w:sz w:val="18"/>
          <w:szCs w:val="18"/>
          <w:shd w:val="clear" w:color="auto" w:fill="auto"/>
          <w:lang w:val="pt-PT" w:eastAsia="pt-PT" w:bidi="pt-PT"/>
        </w:rPr>
        <w:t>Art. 4°, §2°, inciso II da LRF</w:t>
      </w:r>
    </w:p>
    <w:tbl>
      <w:tblPr>
        <w:tblOverlap w:val="never"/>
        <w:jc w:val="center"/>
        <w:tblLayout w:type="fixed"/>
      </w:tblPr>
      <w:tblGrid>
        <w:gridCol w:w="5174"/>
        <w:gridCol w:w="1560"/>
        <w:gridCol w:w="1560"/>
        <w:gridCol w:w="1560"/>
        <w:gridCol w:w="1560"/>
        <w:gridCol w:w="1560"/>
        <w:gridCol w:w="1560"/>
      </w:tblGrid>
      <w:tr>
        <w:trPr>
          <w:trHeight w:val="254"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ESPECIFICAÇÃO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ARRECADADA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PREVISÃO</w:t>
            </w:r>
          </w:p>
        </w:tc>
      </w:tr>
      <w:tr>
        <w:trPr>
          <w:trHeight w:val="240" w:hRule="exact"/>
        </w:trPr>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r>
      <w:tr>
        <w:trPr>
          <w:trHeight w:val="250"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Transferências de Recursos do Sistema Único de Saúde</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600.000,00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91.325,92</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95.435,59</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99.253,01</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103.024,62</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Transferências de Recursos do Sistema Único de Saúd</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600.000,00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91.325,92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95.435,59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99.253,01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103.024,62</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Transf. de Recursos do Sistema Único de Saúde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600.000,00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91.325,92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95.435,59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99.253,01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103.024,62</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 xml:space="preserve">Transferências de </w:t>
            </w:r>
            <w:r>
              <w:rPr>
                <w:rFonts w:ascii="Arial" w:eastAsia="Arial" w:hAnsi="Arial" w:cs="Arial"/>
                <w:color w:val="000000"/>
                <w:spacing w:val="0"/>
                <w:w w:val="100"/>
                <w:position w:val="0"/>
                <w:shd w:val="clear" w:color="auto" w:fill="auto"/>
                <w:lang w:val="pt-BR" w:eastAsia="pt-BR" w:bidi="pt-BR"/>
              </w:rPr>
              <w:t xml:space="preserve">Convênios </w:t>
            </w:r>
            <w:r>
              <w:rPr>
                <w:rFonts w:ascii="Arial" w:eastAsia="Arial" w:hAnsi="Arial" w:cs="Arial"/>
                <w:color w:val="000000"/>
                <w:spacing w:val="0"/>
                <w:w w:val="100"/>
                <w:position w:val="0"/>
                <w:shd w:val="clear" w:color="auto" w:fill="auto"/>
                <w:lang w:val="pt-PT" w:eastAsia="pt-PT" w:bidi="pt-PT"/>
              </w:rPr>
              <w:t>dos Estados e DF e de Su</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3.806.120,85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275.211,32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256.853,20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268.411,59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279.148,05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289.755,68</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 xml:space="preserve">Transferências de </w:t>
            </w:r>
            <w:r>
              <w:rPr>
                <w:rFonts w:ascii="Arial" w:eastAsia="Arial" w:hAnsi="Arial" w:cs="Arial"/>
                <w:color w:val="000000"/>
                <w:spacing w:val="0"/>
                <w:w w:val="100"/>
                <w:position w:val="0"/>
                <w:shd w:val="clear" w:color="auto" w:fill="auto"/>
                <w:lang w:val="pt-BR" w:eastAsia="pt-BR" w:bidi="pt-BR"/>
              </w:rPr>
              <w:t xml:space="preserve">Convênios </w:t>
            </w:r>
            <w:r>
              <w:rPr>
                <w:rFonts w:ascii="Arial" w:eastAsia="Arial" w:hAnsi="Arial" w:cs="Arial"/>
                <w:color w:val="000000"/>
                <w:spacing w:val="0"/>
                <w:w w:val="100"/>
                <w:position w:val="0"/>
                <w:shd w:val="clear" w:color="auto" w:fill="auto"/>
                <w:lang w:val="pt-PT" w:eastAsia="pt-PT" w:bidi="pt-PT"/>
              </w:rPr>
              <w:t>dos Estados e DF para o</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2.306.120,85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 xml:space="preserve">Transf. </w:t>
            </w:r>
            <w:r>
              <w:rPr>
                <w:rFonts w:ascii="Arial" w:eastAsia="Arial" w:hAnsi="Arial" w:cs="Arial"/>
                <w:color w:val="000000"/>
                <w:spacing w:val="0"/>
                <w:w w:val="100"/>
                <w:position w:val="0"/>
                <w:shd w:val="clear" w:color="auto" w:fill="auto"/>
                <w:lang w:val="pt-BR" w:eastAsia="pt-BR" w:bidi="pt-BR"/>
              </w:rPr>
              <w:t xml:space="preserve">Convênios </w:t>
            </w:r>
            <w:r>
              <w:rPr>
                <w:rFonts w:ascii="Arial" w:eastAsia="Arial" w:hAnsi="Arial" w:cs="Arial"/>
                <w:color w:val="000000"/>
                <w:spacing w:val="0"/>
                <w:w w:val="100"/>
                <w:position w:val="0"/>
                <w:shd w:val="clear" w:color="auto" w:fill="auto"/>
                <w:lang w:val="pt-PT" w:eastAsia="pt-PT" w:bidi="pt-PT"/>
              </w:rPr>
              <w:t>dos Estados e DF para o SUS</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2.306.120,85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 xml:space="preserve">Outras Transferências de </w:t>
            </w:r>
            <w:r>
              <w:rPr>
                <w:rFonts w:ascii="Arial" w:eastAsia="Arial" w:hAnsi="Arial" w:cs="Arial"/>
                <w:color w:val="000000"/>
                <w:spacing w:val="0"/>
                <w:w w:val="100"/>
                <w:position w:val="0"/>
                <w:shd w:val="clear" w:color="auto" w:fill="auto"/>
                <w:lang w:val="pt-BR" w:eastAsia="pt-BR" w:bidi="pt-BR"/>
              </w:rPr>
              <w:t xml:space="preserve">Convênios </w:t>
            </w:r>
            <w:r>
              <w:rPr>
                <w:rFonts w:ascii="Arial" w:eastAsia="Arial" w:hAnsi="Arial" w:cs="Arial"/>
                <w:color w:val="000000"/>
                <w:spacing w:val="0"/>
                <w:w w:val="100"/>
                <w:position w:val="0"/>
                <w:shd w:val="clear" w:color="auto" w:fill="auto"/>
                <w:lang w:val="pt-PT" w:eastAsia="pt-PT" w:bidi="pt-PT"/>
              </w:rPr>
              <w:t>dos Estados e DF</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1.500.000,00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275.211,32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256.853,20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268.411,59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279.148,05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289.755,68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 xml:space="preserve">Outras Transferências de </w:t>
            </w:r>
            <w:r>
              <w:rPr>
                <w:rFonts w:ascii="Arial" w:eastAsia="Arial" w:hAnsi="Arial" w:cs="Arial"/>
                <w:color w:val="000000"/>
                <w:spacing w:val="0"/>
                <w:w w:val="100"/>
                <w:position w:val="0"/>
                <w:shd w:val="clear" w:color="auto" w:fill="auto"/>
                <w:lang w:val="pt-BR" w:eastAsia="pt-BR" w:bidi="pt-BR"/>
              </w:rPr>
              <w:t xml:space="preserve">Convênios </w:t>
            </w:r>
            <w:r>
              <w:rPr>
                <w:rFonts w:ascii="Arial" w:eastAsia="Arial" w:hAnsi="Arial" w:cs="Arial"/>
                <w:color w:val="000000"/>
                <w:spacing w:val="0"/>
                <w:w w:val="100"/>
                <w:position w:val="0"/>
                <w:shd w:val="clear" w:color="auto" w:fill="auto"/>
                <w:lang w:val="pt-PT" w:eastAsia="pt-PT" w:bidi="pt-PT"/>
              </w:rPr>
              <w:t>dos Estados e</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1.500.000,00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275.211,32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256.853,20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268.411,59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279.148,05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289.755,68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00" w:right="0" w:firstLine="40"/>
              <w:jc w:val="left"/>
            </w:pPr>
            <w:r>
              <w:rPr>
                <w:rFonts w:ascii="Arial" w:eastAsia="Arial" w:hAnsi="Arial" w:cs="Arial"/>
                <w:color w:val="000000"/>
                <w:spacing w:val="0"/>
                <w:w w:val="100"/>
                <w:position w:val="0"/>
                <w:shd w:val="clear" w:color="auto" w:fill="auto"/>
                <w:lang w:val="pt-PT" w:eastAsia="pt-PT" w:bidi="pt-PT"/>
              </w:rPr>
              <w:t>Outras Transferências dos Estados e Distrito Federal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12.193.156,95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25.420.725,06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537.211,29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561.385,80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583.841,23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606.027,20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00" w:right="0" w:firstLine="40"/>
              <w:jc w:val="left"/>
            </w:pPr>
            <w:r>
              <w:rPr>
                <w:rFonts w:ascii="Arial" w:eastAsia="Arial" w:hAnsi="Arial" w:cs="Arial"/>
                <w:color w:val="000000"/>
                <w:spacing w:val="0"/>
                <w:w w:val="100"/>
                <w:position w:val="0"/>
                <w:shd w:val="clear" w:color="auto" w:fill="auto"/>
                <w:lang w:val="pt-PT" w:eastAsia="pt-PT" w:bidi="pt-PT"/>
              </w:rPr>
              <w:t>Transferências de Estados destinadas à Assistência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2.040.481,50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4.535.685,00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537.211,29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561.385,80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583.841,23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606.027,20</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Transferências de Estados destin. à Assistência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2.040.481,50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4.535.685,00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537.211,29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561.385,80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583.841,23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606.027,20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00" w:right="0" w:firstLine="40"/>
              <w:jc w:val="left"/>
            </w:pPr>
            <w:r>
              <w:rPr>
                <w:rFonts w:ascii="Arial" w:eastAsia="Arial" w:hAnsi="Arial" w:cs="Arial"/>
                <w:color w:val="000000"/>
                <w:spacing w:val="0"/>
                <w:w w:val="100"/>
                <w:position w:val="0"/>
                <w:shd w:val="clear" w:color="auto" w:fill="auto"/>
                <w:lang w:val="pt-PT" w:eastAsia="pt-PT" w:bidi="pt-PT"/>
              </w:rPr>
              <w:t>Cota-Parte da Transferência da Compensação Financei</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286.011,43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 xml:space="preserve">Cota-Parte Transf. Compens. Financ. </w:t>
            </w:r>
            <w:r>
              <w:rPr>
                <w:rFonts w:ascii="Arial" w:eastAsia="Arial" w:hAnsi="Arial" w:cs="Arial"/>
                <w:color w:val="000000"/>
                <w:spacing w:val="0"/>
                <w:w w:val="100"/>
                <w:position w:val="0"/>
                <w:shd w:val="clear" w:color="auto" w:fill="auto"/>
                <w:lang w:val="pt-BR" w:eastAsia="pt-BR" w:bidi="pt-BR"/>
              </w:rPr>
              <w:t xml:space="preserve">Perdas </w:t>
            </w:r>
            <w:r>
              <w:rPr>
                <w:rFonts w:ascii="Arial" w:eastAsia="Arial" w:hAnsi="Arial" w:cs="Arial"/>
                <w:color w:val="000000"/>
                <w:spacing w:val="0"/>
                <w:w w:val="100"/>
                <w:position w:val="0"/>
                <w:shd w:val="clear" w:color="auto" w:fill="auto"/>
                <w:lang w:val="pt-PT" w:eastAsia="pt-PT" w:bidi="pt-PT"/>
              </w:rPr>
              <w:t>com A</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286.011,43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00" w:right="0" w:firstLine="40"/>
              <w:jc w:val="left"/>
            </w:pPr>
            <w:r>
              <w:rPr>
                <w:rFonts w:ascii="Arial" w:eastAsia="Arial" w:hAnsi="Arial" w:cs="Arial"/>
                <w:color w:val="000000"/>
                <w:spacing w:val="0"/>
                <w:w w:val="100"/>
                <w:position w:val="0"/>
                <w:shd w:val="clear" w:color="auto" w:fill="auto"/>
                <w:lang w:val="pt-PT" w:eastAsia="pt-PT" w:bidi="pt-PT"/>
              </w:rPr>
              <w:t>Outras Transferências dos Estados e DF</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9.866.664,02</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20.885.040,06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Outras Transferências dos Estados e DF</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9.866.664,02</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20.885.040,06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40"/>
              <w:jc w:val="left"/>
            </w:pPr>
            <w:r>
              <w:rPr>
                <w:rFonts w:ascii="Arial" w:eastAsia="Arial" w:hAnsi="Arial" w:cs="Arial"/>
                <w:color w:val="000000"/>
                <w:spacing w:val="0"/>
                <w:w w:val="100"/>
                <w:position w:val="0"/>
                <w:shd w:val="clear" w:color="auto" w:fill="auto"/>
                <w:lang w:val="pt-PT" w:eastAsia="pt-PT" w:bidi="pt-PT"/>
              </w:rPr>
              <w:t>Transferências de Instituições Privadas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310.118,78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644.653,55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673.662,96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700.609,48</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727.232,64</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Outras Transferências de Instituições Privadas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310.118,78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644.653,55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673.662,96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700.609,48</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727.232,64</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Transferências de Recursos do Fundo de Manutenção e</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53.863.824,91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61.365.903,26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49.081.815,54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59.290.497,24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61.662.117,13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64.005.277,58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00" w:right="0" w:firstLine="40"/>
              <w:jc w:val="left"/>
            </w:pPr>
            <w:r>
              <w:rPr>
                <w:rFonts w:ascii="Arial" w:eastAsia="Arial" w:hAnsi="Arial" w:cs="Arial"/>
                <w:color w:val="000000"/>
                <w:spacing w:val="0"/>
                <w:w w:val="100"/>
                <w:position w:val="0"/>
                <w:shd w:val="clear" w:color="auto" w:fill="auto"/>
                <w:lang w:val="pt-PT" w:eastAsia="pt-PT" w:bidi="pt-PT"/>
              </w:rPr>
              <w:t>Transferências de Recursos do Fundo de Manutenção e</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53.863.824,91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61.365.903,26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49.081.815,54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59.290.497,24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61.662.117,13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64.005.277,58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Transferências de Recursos do FUNDEB</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53.863.824,91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61.365.903,26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49.081.815,54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59.290.497,24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61.662.117,13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64.005.277,58</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OUTRAS RECEITAS CORRENTES</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186.609,56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r>
      <w:tr>
        <w:trPr>
          <w:trHeight w:val="26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40" w:right="0" w:firstLine="4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E RESSARCIMENTOS</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186.609,56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00" w:right="0" w:firstLine="40"/>
              <w:jc w:val="left"/>
            </w:pPr>
            <w:r>
              <w:rPr>
                <w:rFonts w:ascii="Arial" w:eastAsia="Arial" w:hAnsi="Arial" w:cs="Arial"/>
                <w:color w:val="000000"/>
                <w:spacing w:val="0"/>
                <w:w w:val="100"/>
                <w:position w:val="0"/>
                <w:shd w:val="clear" w:color="auto" w:fill="auto"/>
                <w:lang w:val="pt-PT" w:eastAsia="pt-PT" w:bidi="pt-PT"/>
              </w:rPr>
              <w:t>Restituições</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186.609,56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Outras Restituições - Principal</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186.609,56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RECEITAS DE CAPITAL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51.757.227,02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17.018.209,62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17.784.029,05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18.495.390,22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19.198.215,05</w:t>
            </w:r>
          </w:p>
        </w:tc>
      </w:tr>
      <w:tr>
        <w:trPr>
          <w:trHeight w:val="254" w:hRule="exact"/>
        </w:trPr>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OPERAÇÕES DE CRÉDITO</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19.750.000,00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r>
      <w:tr>
        <w:trPr>
          <w:trHeight w:val="250"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40" w:right="0" w:firstLine="40"/>
              <w:jc w:val="left"/>
            </w:pPr>
            <w:r>
              <w:rPr>
                <w:rFonts w:ascii="Arial" w:eastAsia="Arial" w:hAnsi="Arial" w:cs="Arial"/>
                <w:color w:val="000000"/>
                <w:spacing w:val="0"/>
                <w:w w:val="100"/>
                <w:position w:val="0"/>
                <w:shd w:val="clear" w:color="auto" w:fill="auto"/>
                <w:lang w:val="pt-PT" w:eastAsia="pt-PT" w:bidi="pt-PT"/>
              </w:rPr>
              <w:t>OPERAÇÕES DE CRÉDITO - MERCADO INTERNO</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19.750.000,00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Operações de Crédito Contratuais - Merc.Interno</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19.750.000,00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ALIENAÇÃO DE BENS</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236.400,00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r>
      <w:tr>
        <w:trPr>
          <w:trHeight w:val="250" w:hRule="exact"/>
        </w:trPr>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40"/>
              <w:jc w:val="left"/>
            </w:pPr>
            <w:r>
              <w:rPr>
                <w:rFonts w:ascii="Arial" w:eastAsia="Arial" w:hAnsi="Arial" w:cs="Arial"/>
                <w:color w:val="000000"/>
                <w:spacing w:val="0"/>
                <w:w w:val="100"/>
                <w:position w:val="0"/>
                <w:shd w:val="clear" w:color="auto" w:fill="auto"/>
                <w:lang w:val="pt-PT" w:eastAsia="pt-PT" w:bidi="pt-PT"/>
              </w:rPr>
              <w:t>ALIENAÇÃO DE BENS IMÓVEIS</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236.400,00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00" w:right="0" w:firstLine="40"/>
              <w:jc w:val="left"/>
            </w:pPr>
            <w:r>
              <w:rPr>
                <w:rFonts w:ascii="Arial" w:eastAsia="Arial" w:hAnsi="Arial" w:cs="Arial"/>
                <w:color w:val="000000"/>
                <w:spacing w:val="0"/>
                <w:w w:val="100"/>
                <w:position w:val="0"/>
                <w:shd w:val="clear" w:color="auto" w:fill="auto"/>
                <w:lang w:val="pt-PT" w:eastAsia="pt-PT" w:bidi="pt-PT"/>
              </w:rPr>
              <w:t>Alienação de Bens Imóveis</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236.400,00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20"/>
              <w:jc w:val="left"/>
            </w:pPr>
            <w:r>
              <w:rPr>
                <w:rFonts w:ascii="Arial" w:eastAsia="Arial" w:hAnsi="Arial" w:cs="Arial"/>
                <w:color w:val="000000"/>
                <w:spacing w:val="0"/>
                <w:w w:val="100"/>
                <w:position w:val="0"/>
                <w:shd w:val="clear" w:color="auto" w:fill="auto"/>
                <w:lang w:val="pt-PT" w:eastAsia="pt-PT" w:bidi="pt-PT"/>
              </w:rPr>
              <w:t>Alienação de Bens Imóveis</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236.400,00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88" w:hRule="exact"/>
        </w:trPr>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TRANSFERÊNCIAS DE CAPITAL</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31.770.827,02</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17.018.209,62</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17.784.029,05</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18.495.390,22</w:t>
            </w:r>
          </w:p>
        </w:tc>
        <w:tc>
          <w:tcPr>
            <w:tcBorders>
              <w:left w:val="single" w:sz="4"/>
              <w:bottom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19.198.215,05</w:t>
            </w:r>
          </w:p>
        </w:tc>
      </w:tr>
    </w:tbl>
    <w:p>
      <w:pPr>
        <w:widowControl w:val="0"/>
        <w:spacing w:line="1" w:lineRule="exact"/>
      </w:pPr>
      <w:r>
        <w:br w:type="page"/>
      </w:r>
    </w:p>
    <w:p>
      <w:pPr>
        <w:pStyle w:val="Style33"/>
        <w:keepNext w:val="0"/>
        <w:keepLines w:val="0"/>
        <w:widowControl w:val="0"/>
        <w:shd w:val="clear" w:color="auto" w:fill="auto"/>
        <w:bidi w:val="0"/>
        <w:spacing w:before="0" w:after="0" w:line="233" w:lineRule="auto"/>
        <w:ind w:left="2376" w:right="0" w:firstLine="0"/>
        <w:jc w:val="left"/>
        <w:rPr>
          <w:sz w:val="18"/>
          <w:szCs w:val="18"/>
        </w:rPr>
      </w:pPr>
      <w:r>
        <w:rPr>
          <w:color w:val="000000"/>
          <w:spacing w:val="0"/>
          <w:w w:val="100"/>
          <w:position w:val="0"/>
          <w:sz w:val="18"/>
          <w:szCs w:val="18"/>
          <w:shd w:val="clear" w:color="auto" w:fill="auto"/>
          <w:lang w:val="pt-PT" w:eastAsia="pt-PT" w:bidi="pt-PT"/>
        </w:rPr>
        <w:t>Art. 4°, §2°, inciso II da LRF</w:t>
      </w:r>
    </w:p>
    <w:tbl>
      <w:tblPr>
        <w:tblOverlap w:val="never"/>
        <w:jc w:val="center"/>
        <w:tblLayout w:type="fixed"/>
      </w:tblPr>
      <w:tblGrid>
        <w:gridCol w:w="5174"/>
        <w:gridCol w:w="1560"/>
        <w:gridCol w:w="1560"/>
        <w:gridCol w:w="1560"/>
        <w:gridCol w:w="1560"/>
        <w:gridCol w:w="1560"/>
        <w:gridCol w:w="1560"/>
      </w:tblGrid>
      <w:tr>
        <w:trPr>
          <w:trHeight w:val="254"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ESPECIFICAÇÃO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ARRECADADA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PREVISÃO</w:t>
            </w:r>
          </w:p>
        </w:tc>
      </w:tr>
      <w:tr>
        <w:trPr>
          <w:trHeight w:val="240" w:hRule="exact"/>
        </w:trPr>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r>
      <w:tr>
        <w:trPr>
          <w:trHeight w:val="250"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620" w:firstLine="0"/>
              <w:jc w:val="right"/>
            </w:pPr>
            <w:r>
              <w:rPr>
                <w:rFonts w:ascii="Arial" w:eastAsia="Arial" w:hAnsi="Arial" w:cs="Arial"/>
                <w:color w:val="000000"/>
                <w:spacing w:val="0"/>
                <w:w w:val="100"/>
                <w:position w:val="0"/>
                <w:shd w:val="clear" w:color="auto" w:fill="auto"/>
                <w:lang w:val="pt-PT" w:eastAsia="pt-PT" w:bidi="pt-PT"/>
              </w:rPr>
              <w:t>TRANSFERÊNCIAS DA UNIÃO E SUAS ENTIDADES</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25.139.374,09</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17.018.209,62</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17.784.029,05</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18.495.390,22</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19.198.215,05</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Transferências de Recursos do Sistema Único de Saúd</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2.169.702,00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2.686.056,45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2.806.928,99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2.919.206,15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3.030.135,98</w:t>
            </w:r>
          </w:p>
        </w:tc>
      </w:tr>
      <w:tr>
        <w:trPr>
          <w:trHeight w:val="25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620" w:firstLine="0"/>
              <w:jc w:val="right"/>
            </w:pPr>
            <w:r>
              <w:rPr>
                <w:rFonts w:ascii="Arial" w:eastAsia="Arial" w:hAnsi="Arial" w:cs="Arial"/>
                <w:color w:val="000000"/>
                <w:spacing w:val="0"/>
                <w:w w:val="100"/>
                <w:position w:val="0"/>
                <w:shd w:val="clear" w:color="auto" w:fill="auto"/>
                <w:lang w:val="pt-PT" w:eastAsia="pt-PT" w:bidi="pt-PT"/>
              </w:rPr>
              <w:t>Transferências de Recursos do Bloco de Estruturaçã</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2.169.702,00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pPr>
            <w:r>
              <w:rPr>
                <w:rFonts w:ascii="Arial" w:eastAsia="Arial" w:hAnsi="Arial" w:cs="Arial"/>
                <w:color w:val="000000"/>
                <w:spacing w:val="0"/>
                <w:w w:val="100"/>
                <w:position w:val="0"/>
                <w:shd w:val="clear" w:color="auto" w:fill="auto"/>
                <w:lang w:val="pt-PT" w:eastAsia="pt-PT" w:bidi="pt-PT"/>
              </w:rPr>
              <w:t>Transf. Rec. Bloco Estrut.Rede Serv.Saude - Aten</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2.169.702,00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 w:right="0" w:firstLine="0"/>
              <w:jc w:val="center"/>
            </w:pPr>
            <w:r>
              <w:rPr>
                <w:rFonts w:ascii="Arial" w:eastAsia="Arial" w:hAnsi="Arial" w:cs="Arial"/>
                <w:color w:val="000000"/>
                <w:spacing w:val="0"/>
                <w:w w:val="100"/>
                <w:position w:val="0"/>
                <w:shd w:val="clear" w:color="auto" w:fill="auto"/>
                <w:lang w:val="pt-PT" w:eastAsia="pt-PT" w:bidi="pt-PT"/>
              </w:rPr>
              <w:t>Transferências de Recursos do Bloco de Estruturaçã</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2.686.056,45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2.806.928,99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2.919.206,15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3.030.135,98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0"/>
              <w:jc w:val="left"/>
            </w:pPr>
            <w:r>
              <w:rPr>
                <w:rFonts w:ascii="Arial" w:eastAsia="Arial" w:hAnsi="Arial" w:cs="Arial"/>
                <w:color w:val="000000"/>
                <w:spacing w:val="0"/>
                <w:w w:val="100"/>
                <w:position w:val="0"/>
                <w:shd w:val="clear" w:color="auto" w:fill="auto"/>
                <w:lang w:val="pt-PT" w:eastAsia="pt-PT" w:bidi="pt-PT"/>
              </w:rPr>
              <w:t xml:space="preserve">Transf. Rec. Bloco Estrut.Rede Serv. </w:t>
            </w:r>
            <w:r>
              <w:rPr>
                <w:rFonts w:ascii="Arial" w:eastAsia="Arial" w:hAnsi="Arial" w:cs="Arial"/>
                <w:color w:val="000000"/>
                <w:spacing w:val="0"/>
                <w:w w:val="100"/>
                <w:position w:val="0"/>
                <w:shd w:val="clear" w:color="auto" w:fill="auto"/>
                <w:lang w:val="pt-BR" w:eastAsia="pt-BR" w:bidi="pt-BR"/>
              </w:rPr>
              <w:t xml:space="preserve">Saude </w:t>
            </w:r>
            <w:r>
              <w:rPr>
                <w:rFonts w:ascii="Arial" w:eastAsia="Arial" w:hAnsi="Arial" w:cs="Arial"/>
                <w:color w:val="000000"/>
                <w:spacing w:val="0"/>
                <w:w w:val="100"/>
                <w:position w:val="0"/>
                <w:shd w:val="clear" w:color="auto" w:fill="auto"/>
                <w:lang w:val="pt-PT" w:eastAsia="pt-PT" w:bidi="pt-PT"/>
              </w:rPr>
              <w:t>- Out</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2.686.056,45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2.806.928,99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2.919.206,15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3.030.135,98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Transferências de Recursos do Fundo Nacional do Dese</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834.396,96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2.632.335,32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2.750.790,41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2.860.822,03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2.969.533,27</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Transferências de Recursos Destinados a Programas d</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834.396,96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2.632.335,32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2.750.790,41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2.860.822,03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2.969.533,27</w:t>
            </w:r>
          </w:p>
        </w:tc>
      </w:tr>
      <w:tr>
        <w:trPr>
          <w:trHeight w:val="26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 w:right="0" w:firstLine="0"/>
              <w:jc w:val="center"/>
            </w:pPr>
            <w:r>
              <w:rPr>
                <w:rFonts w:ascii="Arial" w:eastAsia="Arial" w:hAnsi="Arial" w:cs="Arial"/>
                <w:color w:val="000000"/>
                <w:spacing w:val="0"/>
                <w:w w:val="100"/>
                <w:position w:val="0"/>
                <w:shd w:val="clear" w:color="auto" w:fill="auto"/>
                <w:lang w:val="pt-PT" w:eastAsia="pt-PT" w:bidi="pt-PT"/>
              </w:rPr>
              <w:t>Transferências para o Programa de Apoio ao Transpo</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2.632.335,32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2.750.790,41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2.860.822,03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2.969.533,27</w:t>
            </w:r>
          </w:p>
        </w:tc>
      </w:tr>
      <w:tr>
        <w:trPr>
          <w:trHeight w:val="25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 w:right="0" w:firstLine="0"/>
              <w:jc w:val="center"/>
            </w:pPr>
            <w:r>
              <w:rPr>
                <w:rFonts w:ascii="Arial" w:eastAsia="Arial" w:hAnsi="Arial" w:cs="Arial"/>
                <w:color w:val="000000"/>
                <w:spacing w:val="0"/>
                <w:w w:val="100"/>
                <w:position w:val="0"/>
                <w:shd w:val="clear" w:color="auto" w:fill="auto"/>
                <w:lang w:val="pt-PT" w:eastAsia="pt-PT" w:bidi="pt-PT"/>
              </w:rPr>
              <w:t>Transferências para o Programa de Apoio ao Trans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2.632.335,32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2.750.790,41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2.860.822,03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2.969.533,27</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pPr>
            <w:r>
              <w:rPr>
                <w:rFonts w:ascii="Arial" w:eastAsia="Arial" w:hAnsi="Arial" w:cs="Arial"/>
                <w:color w:val="000000"/>
                <w:spacing w:val="0"/>
                <w:w w:val="100"/>
                <w:position w:val="0"/>
                <w:shd w:val="clear" w:color="auto" w:fill="auto"/>
                <w:lang w:val="pt-PT" w:eastAsia="pt-PT" w:bidi="pt-PT"/>
              </w:rPr>
              <w:t>Transferências para o Programa Nacional de Reestru</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383.951,55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620" w:firstLine="0"/>
              <w:jc w:val="right"/>
            </w:pPr>
            <w:r>
              <w:rPr>
                <w:rFonts w:ascii="Arial" w:eastAsia="Arial" w:hAnsi="Arial" w:cs="Arial"/>
                <w:color w:val="000000"/>
                <w:spacing w:val="0"/>
                <w:w w:val="100"/>
                <w:position w:val="0"/>
                <w:shd w:val="clear" w:color="auto" w:fill="auto"/>
                <w:lang w:val="pt-PT" w:eastAsia="pt-PT" w:bidi="pt-PT"/>
              </w:rPr>
              <w:t>Transferências para o Programa Nacional de Reest</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383.951,55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pPr>
            <w:r>
              <w:rPr>
                <w:rFonts w:ascii="Arial" w:eastAsia="Arial" w:hAnsi="Arial" w:cs="Arial"/>
                <w:color w:val="000000"/>
                <w:spacing w:val="0"/>
                <w:w w:val="100"/>
                <w:position w:val="0"/>
                <w:shd w:val="clear" w:color="auto" w:fill="auto"/>
                <w:lang w:val="pt-PT" w:eastAsia="pt-PT" w:bidi="pt-PT"/>
              </w:rPr>
              <w:t>Outras transferências destinadas a Programas de Ed</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450.445,41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pPr>
            <w:r>
              <w:rPr>
                <w:rFonts w:ascii="Arial" w:eastAsia="Arial" w:hAnsi="Arial" w:cs="Arial"/>
                <w:color w:val="000000"/>
                <w:spacing w:val="0"/>
                <w:w w:val="100"/>
                <w:position w:val="0"/>
                <w:shd w:val="clear" w:color="auto" w:fill="auto"/>
                <w:lang w:val="pt-PT" w:eastAsia="pt-PT" w:bidi="pt-PT"/>
              </w:rPr>
              <w:t>Outras transferências destin. a Programas de Edu</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450.445,41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Transferências de Recursos do Fundo Nacional de Assi</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2.885.000,00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Transferências de Recursos do Fundo Nacional de Ass</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2.885.000,00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Transferências de Recursos do Fundo Nacional de</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2.885.000,00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 xml:space="preserve">Transferências de </w:t>
            </w:r>
            <w:r>
              <w:rPr>
                <w:rFonts w:ascii="Arial" w:eastAsia="Arial" w:hAnsi="Arial" w:cs="Arial"/>
                <w:color w:val="000000"/>
                <w:spacing w:val="0"/>
                <w:w w:val="100"/>
                <w:position w:val="0"/>
                <w:shd w:val="clear" w:color="auto" w:fill="auto"/>
                <w:lang w:val="pt-BR" w:eastAsia="pt-BR" w:bidi="pt-BR"/>
              </w:rPr>
              <w:t xml:space="preserve">Convênios </w:t>
            </w:r>
            <w:r>
              <w:rPr>
                <w:rFonts w:ascii="Arial" w:eastAsia="Arial" w:hAnsi="Arial" w:cs="Arial"/>
                <w:color w:val="000000"/>
                <w:spacing w:val="0"/>
                <w:w w:val="100"/>
                <w:position w:val="0"/>
                <w:shd w:val="clear" w:color="auto" w:fill="auto"/>
                <w:lang w:val="pt-PT" w:eastAsia="pt-PT" w:bidi="pt-PT"/>
              </w:rPr>
              <w:t>da União e de suas Entid</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10.092.955,63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 xml:space="preserve">Transferências de </w:t>
            </w:r>
            <w:r>
              <w:rPr>
                <w:rFonts w:ascii="Arial" w:eastAsia="Arial" w:hAnsi="Arial" w:cs="Arial"/>
                <w:color w:val="000000"/>
                <w:spacing w:val="0"/>
                <w:w w:val="100"/>
                <w:position w:val="0"/>
                <w:shd w:val="clear" w:color="auto" w:fill="auto"/>
                <w:lang w:val="pt-BR" w:eastAsia="pt-BR" w:bidi="pt-BR"/>
              </w:rPr>
              <w:t xml:space="preserve">Convênios </w:t>
            </w:r>
            <w:r>
              <w:rPr>
                <w:rFonts w:ascii="Arial" w:eastAsia="Arial" w:hAnsi="Arial" w:cs="Arial"/>
                <w:color w:val="000000"/>
                <w:spacing w:val="0"/>
                <w:w w:val="100"/>
                <w:position w:val="0"/>
                <w:shd w:val="clear" w:color="auto" w:fill="auto"/>
                <w:lang w:val="pt-PT" w:eastAsia="pt-PT" w:bidi="pt-PT"/>
              </w:rPr>
              <w:t>da União destinadas a P</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9.879.267,21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0"/>
              <w:jc w:val="left"/>
            </w:pPr>
            <w:r>
              <w:rPr>
                <w:rFonts w:ascii="Arial" w:eastAsia="Arial" w:hAnsi="Arial" w:cs="Arial"/>
                <w:color w:val="000000"/>
                <w:spacing w:val="0"/>
                <w:w w:val="100"/>
                <w:position w:val="0"/>
                <w:shd w:val="clear" w:color="auto" w:fill="auto"/>
                <w:lang w:val="pt-PT" w:eastAsia="pt-PT" w:bidi="pt-PT"/>
              </w:rPr>
              <w:t>Transf. Conv. União destin. Prog. Infraestrutura</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9.879.267,21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 xml:space="preserve">Outras Transferências de </w:t>
            </w:r>
            <w:r>
              <w:rPr>
                <w:rFonts w:ascii="Arial" w:eastAsia="Arial" w:hAnsi="Arial" w:cs="Arial"/>
                <w:color w:val="000000"/>
                <w:spacing w:val="0"/>
                <w:w w:val="100"/>
                <w:position w:val="0"/>
                <w:shd w:val="clear" w:color="auto" w:fill="auto"/>
                <w:lang w:val="pt-BR" w:eastAsia="pt-BR" w:bidi="pt-BR"/>
              </w:rPr>
              <w:t xml:space="preserve">Convênios </w:t>
            </w:r>
            <w:r>
              <w:rPr>
                <w:rFonts w:ascii="Arial" w:eastAsia="Arial" w:hAnsi="Arial" w:cs="Arial"/>
                <w:color w:val="000000"/>
                <w:spacing w:val="0"/>
                <w:w w:val="100"/>
                <w:position w:val="0"/>
                <w:shd w:val="clear" w:color="auto" w:fill="auto"/>
                <w:lang w:val="pt-PT" w:eastAsia="pt-PT" w:bidi="pt-PT"/>
              </w:rPr>
              <w:t>da União e de Su</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213.688,42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620" w:firstLine="0"/>
              <w:jc w:val="right"/>
            </w:pPr>
            <w:r>
              <w:rPr>
                <w:rFonts w:ascii="Arial" w:eastAsia="Arial" w:hAnsi="Arial" w:cs="Arial"/>
                <w:color w:val="000000"/>
                <w:spacing w:val="0"/>
                <w:w w:val="100"/>
                <w:position w:val="0"/>
                <w:shd w:val="clear" w:color="auto" w:fill="auto"/>
                <w:lang w:val="pt-PT" w:eastAsia="pt-PT" w:bidi="pt-PT"/>
              </w:rPr>
              <w:t xml:space="preserve">Outras Transferências de </w:t>
            </w:r>
            <w:r>
              <w:rPr>
                <w:rFonts w:ascii="Arial" w:eastAsia="Arial" w:hAnsi="Arial" w:cs="Arial"/>
                <w:color w:val="000000"/>
                <w:spacing w:val="0"/>
                <w:w w:val="100"/>
                <w:position w:val="0"/>
                <w:shd w:val="clear" w:color="auto" w:fill="auto"/>
                <w:lang w:val="pt-BR" w:eastAsia="pt-BR" w:bidi="pt-BR"/>
              </w:rPr>
              <w:t xml:space="preserve">Convênios </w:t>
            </w:r>
            <w:r>
              <w:rPr>
                <w:rFonts w:ascii="Arial" w:eastAsia="Arial" w:hAnsi="Arial" w:cs="Arial"/>
                <w:color w:val="000000"/>
                <w:spacing w:val="0"/>
                <w:w w:val="100"/>
                <w:position w:val="0"/>
                <w:shd w:val="clear" w:color="auto" w:fill="auto"/>
                <w:lang w:val="pt-PT" w:eastAsia="pt-PT" w:bidi="pt-PT"/>
              </w:rPr>
              <w:t>da União e de</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213.688,42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40" w:right="0" w:firstLine="20"/>
              <w:jc w:val="left"/>
            </w:pPr>
            <w:r>
              <w:rPr>
                <w:rFonts w:ascii="Arial" w:eastAsia="Arial" w:hAnsi="Arial" w:cs="Arial"/>
                <w:color w:val="000000"/>
                <w:spacing w:val="0"/>
                <w:w w:val="100"/>
                <w:position w:val="0"/>
                <w:shd w:val="clear" w:color="auto" w:fill="auto"/>
                <w:lang w:val="pt-PT" w:eastAsia="pt-PT" w:bidi="pt-PT"/>
              </w:rPr>
              <w:t>Transferência Especial da União</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9.157.319,50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0"/>
              <w:jc w:val="left"/>
            </w:pPr>
            <w:r>
              <w:rPr>
                <w:rFonts w:ascii="Arial" w:eastAsia="Arial" w:hAnsi="Arial" w:cs="Arial"/>
                <w:color w:val="000000"/>
                <w:spacing w:val="0"/>
                <w:w w:val="100"/>
                <w:position w:val="0"/>
                <w:shd w:val="clear" w:color="auto" w:fill="auto"/>
                <w:lang w:val="pt-PT" w:eastAsia="pt-PT" w:bidi="pt-PT"/>
              </w:rPr>
              <w:t>Transferência Especial da União - Principal</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9.157.319,50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Outras Transferências De Recursos da União e de sua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11.699.817,85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12.226.309,65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12.715.362,04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13.198.545,80</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Outras Transferências De Recursos da União e de</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11.699.817,85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12.226.309,65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12.715.362,04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13.198.545,80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TRANSF.DOS ESTADOS DO DIST. FED.E SUAS ENT.</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6.631.452,93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 xml:space="preserve">Transferências de </w:t>
            </w:r>
            <w:r>
              <w:rPr>
                <w:rFonts w:ascii="Arial" w:eastAsia="Arial" w:hAnsi="Arial" w:cs="Arial"/>
                <w:color w:val="000000"/>
                <w:spacing w:val="0"/>
                <w:w w:val="100"/>
                <w:position w:val="0"/>
                <w:shd w:val="clear" w:color="auto" w:fill="auto"/>
                <w:lang w:val="pt-BR" w:eastAsia="pt-BR" w:bidi="pt-BR"/>
              </w:rPr>
              <w:t xml:space="preserve">Convênios </w:t>
            </w:r>
            <w:r>
              <w:rPr>
                <w:rFonts w:ascii="Arial" w:eastAsia="Arial" w:hAnsi="Arial" w:cs="Arial"/>
                <w:color w:val="000000"/>
                <w:spacing w:val="0"/>
                <w:w w:val="100"/>
                <w:position w:val="0"/>
                <w:shd w:val="clear" w:color="auto" w:fill="auto"/>
                <w:lang w:val="pt-PT" w:eastAsia="pt-PT" w:bidi="pt-PT"/>
              </w:rPr>
              <w:t>dos Estados e DF e de Su</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6.631.452,93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620" w:firstLine="0"/>
              <w:jc w:val="right"/>
            </w:pPr>
            <w:r>
              <w:rPr>
                <w:rFonts w:ascii="Arial" w:eastAsia="Arial" w:hAnsi="Arial" w:cs="Arial"/>
                <w:color w:val="000000"/>
                <w:spacing w:val="0"/>
                <w:w w:val="100"/>
                <w:position w:val="0"/>
                <w:shd w:val="clear" w:color="auto" w:fill="auto"/>
                <w:lang w:val="pt-PT" w:eastAsia="pt-PT" w:bidi="pt-PT"/>
              </w:rPr>
              <w:t xml:space="preserve">Transferências de </w:t>
            </w:r>
            <w:r>
              <w:rPr>
                <w:rFonts w:ascii="Arial" w:eastAsia="Arial" w:hAnsi="Arial" w:cs="Arial"/>
                <w:color w:val="000000"/>
                <w:spacing w:val="0"/>
                <w:w w:val="100"/>
                <w:position w:val="0"/>
                <w:shd w:val="clear" w:color="auto" w:fill="auto"/>
                <w:lang w:val="pt-BR" w:eastAsia="pt-BR" w:bidi="pt-BR"/>
              </w:rPr>
              <w:t xml:space="preserve">Convênios </w:t>
            </w:r>
            <w:r>
              <w:rPr>
                <w:rFonts w:ascii="Arial" w:eastAsia="Arial" w:hAnsi="Arial" w:cs="Arial"/>
                <w:color w:val="000000"/>
                <w:spacing w:val="0"/>
                <w:w w:val="100"/>
                <w:position w:val="0"/>
                <w:shd w:val="clear" w:color="auto" w:fill="auto"/>
                <w:lang w:val="pt-PT" w:eastAsia="pt-PT" w:bidi="pt-PT"/>
              </w:rPr>
              <w:t>dos Estados destinadas</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398.735,86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9"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0"/>
              <w:jc w:val="left"/>
            </w:pPr>
            <w:r>
              <w:rPr>
                <w:rFonts w:ascii="Arial" w:eastAsia="Arial" w:hAnsi="Arial" w:cs="Arial"/>
                <w:color w:val="000000"/>
                <w:spacing w:val="0"/>
                <w:w w:val="100"/>
                <w:position w:val="0"/>
                <w:shd w:val="clear" w:color="auto" w:fill="auto"/>
                <w:lang w:val="pt-PT" w:eastAsia="pt-PT" w:bidi="pt-PT"/>
              </w:rPr>
              <w:t>Transf. Conv. Estados destin. Prog, de Educação</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398.735,86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620" w:firstLine="0"/>
              <w:jc w:val="right"/>
            </w:pPr>
            <w:r>
              <w:rPr>
                <w:rFonts w:ascii="Arial" w:eastAsia="Arial" w:hAnsi="Arial" w:cs="Arial"/>
                <w:color w:val="000000"/>
                <w:spacing w:val="0"/>
                <w:w w:val="100"/>
                <w:position w:val="0"/>
                <w:shd w:val="clear" w:color="auto" w:fill="auto"/>
                <w:lang w:val="pt-PT" w:eastAsia="pt-PT" w:bidi="pt-PT"/>
              </w:rPr>
              <w:t xml:space="preserve">Transferências de </w:t>
            </w:r>
            <w:r>
              <w:rPr>
                <w:rFonts w:ascii="Arial" w:eastAsia="Arial" w:hAnsi="Arial" w:cs="Arial"/>
                <w:color w:val="000000"/>
                <w:spacing w:val="0"/>
                <w:w w:val="100"/>
                <w:position w:val="0"/>
                <w:shd w:val="clear" w:color="auto" w:fill="auto"/>
                <w:lang w:val="pt-BR" w:eastAsia="pt-BR" w:bidi="pt-BR"/>
              </w:rPr>
              <w:t xml:space="preserve">Convênios </w:t>
            </w:r>
            <w:r>
              <w:rPr>
                <w:rFonts w:ascii="Arial" w:eastAsia="Arial" w:hAnsi="Arial" w:cs="Arial"/>
                <w:color w:val="000000"/>
                <w:spacing w:val="0"/>
                <w:w w:val="100"/>
                <w:position w:val="0"/>
                <w:shd w:val="clear" w:color="auto" w:fill="auto"/>
                <w:lang w:val="pt-PT" w:eastAsia="pt-PT" w:bidi="pt-PT"/>
              </w:rPr>
              <w:t>dos Estados destinadas</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916.800,00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80" w:right="0" w:firstLine="0"/>
              <w:jc w:val="left"/>
            </w:pPr>
            <w:r>
              <w:rPr>
                <w:rFonts w:ascii="Arial" w:eastAsia="Arial" w:hAnsi="Arial" w:cs="Arial"/>
                <w:color w:val="000000"/>
                <w:spacing w:val="0"/>
                <w:w w:val="100"/>
                <w:position w:val="0"/>
                <w:shd w:val="clear" w:color="auto" w:fill="auto"/>
                <w:lang w:val="pt-PT" w:eastAsia="pt-PT" w:bidi="pt-PT"/>
              </w:rPr>
              <w:t>Transf. Conv.Estados destin.Prog. Infraestrutura</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916.800,00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93" w:hRule="exact"/>
        </w:trPr>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80" w:right="0" w:firstLine="0"/>
              <w:jc w:val="center"/>
            </w:pPr>
            <w:r>
              <w:rPr>
                <w:rFonts w:ascii="Arial" w:eastAsia="Arial" w:hAnsi="Arial" w:cs="Arial"/>
                <w:color w:val="000000"/>
                <w:spacing w:val="0"/>
                <w:w w:val="100"/>
                <w:position w:val="0"/>
                <w:shd w:val="clear" w:color="auto" w:fill="auto"/>
                <w:lang w:val="pt-PT" w:eastAsia="pt-PT" w:bidi="pt-PT"/>
              </w:rPr>
              <w:t xml:space="preserve">Outras Transferências de </w:t>
            </w:r>
            <w:r>
              <w:rPr>
                <w:rFonts w:ascii="Arial" w:eastAsia="Arial" w:hAnsi="Arial" w:cs="Arial"/>
                <w:color w:val="000000"/>
                <w:spacing w:val="0"/>
                <w:w w:val="100"/>
                <w:position w:val="0"/>
                <w:shd w:val="clear" w:color="auto" w:fill="auto"/>
                <w:lang w:val="pt-BR" w:eastAsia="pt-BR" w:bidi="pt-BR"/>
              </w:rPr>
              <w:t xml:space="preserve">Convênios </w:t>
            </w:r>
            <w:r>
              <w:rPr>
                <w:rFonts w:ascii="Arial" w:eastAsia="Arial" w:hAnsi="Arial" w:cs="Arial"/>
                <w:color w:val="000000"/>
                <w:spacing w:val="0"/>
                <w:w w:val="100"/>
                <w:position w:val="0"/>
                <w:shd w:val="clear" w:color="auto" w:fill="auto"/>
                <w:lang w:val="pt-PT" w:eastAsia="pt-PT" w:bidi="pt-PT"/>
              </w:rPr>
              <w:t>dos Estados e DF</w:t>
            </w:r>
          </w:p>
        </w:tc>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5.315.917,07</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bl>
    <w:p>
      <w:pPr>
        <w:widowControl w:val="0"/>
        <w:spacing w:line="1" w:lineRule="exact"/>
      </w:pPr>
      <w:r>
        <w:br w:type="page"/>
      </w:r>
    </w:p>
    <w:p>
      <w:pPr>
        <w:pStyle w:val="Style33"/>
        <w:keepNext w:val="0"/>
        <w:keepLines w:val="0"/>
        <w:widowControl w:val="0"/>
        <w:shd w:val="clear" w:color="auto" w:fill="auto"/>
        <w:bidi w:val="0"/>
        <w:spacing w:before="0" w:after="0" w:line="233" w:lineRule="auto"/>
        <w:ind w:left="2376" w:right="0" w:firstLine="0"/>
        <w:jc w:val="left"/>
        <w:rPr>
          <w:sz w:val="18"/>
          <w:szCs w:val="18"/>
        </w:rPr>
      </w:pPr>
      <w:r>
        <w:rPr>
          <w:color w:val="000000"/>
          <w:spacing w:val="0"/>
          <w:w w:val="100"/>
          <w:position w:val="0"/>
          <w:sz w:val="18"/>
          <w:szCs w:val="18"/>
          <w:shd w:val="clear" w:color="auto" w:fill="auto"/>
          <w:lang w:val="pt-PT" w:eastAsia="pt-PT" w:bidi="pt-PT"/>
        </w:rPr>
        <w:t>Art. 4°, §2°, inciso II da LRF</w:t>
      </w:r>
    </w:p>
    <w:tbl>
      <w:tblPr>
        <w:tblOverlap w:val="never"/>
        <w:jc w:val="center"/>
        <w:tblLayout w:type="fixed"/>
      </w:tblPr>
      <w:tblGrid>
        <w:gridCol w:w="5174"/>
        <w:gridCol w:w="1560"/>
        <w:gridCol w:w="1560"/>
        <w:gridCol w:w="1560"/>
        <w:gridCol w:w="1560"/>
        <w:gridCol w:w="1560"/>
        <w:gridCol w:w="1560"/>
      </w:tblGrid>
      <w:tr>
        <w:trPr>
          <w:trHeight w:val="254"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ESPECIFICAÇÃO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ARRECADADA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PREVISÃO</w:t>
            </w:r>
          </w:p>
        </w:tc>
      </w:tr>
      <w:tr>
        <w:trPr>
          <w:trHeight w:val="240" w:hRule="exact"/>
        </w:trPr>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r>
      <w:tr>
        <w:trPr>
          <w:trHeight w:val="250"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400" w:right="0" w:firstLine="0"/>
              <w:jc w:val="left"/>
            </w:pPr>
            <w:r>
              <w:rPr>
                <w:rFonts w:ascii="Arial" w:eastAsia="Arial" w:hAnsi="Arial" w:cs="Arial"/>
                <w:color w:val="000000"/>
                <w:spacing w:val="0"/>
                <w:w w:val="100"/>
                <w:position w:val="0"/>
                <w:shd w:val="clear" w:color="auto" w:fill="auto"/>
                <w:lang w:val="pt-PT" w:eastAsia="pt-PT" w:bidi="pt-PT"/>
              </w:rPr>
              <w:t xml:space="preserve">Outras Transferências de </w:t>
            </w:r>
            <w:r>
              <w:rPr>
                <w:rFonts w:ascii="Arial" w:eastAsia="Arial" w:hAnsi="Arial" w:cs="Arial"/>
                <w:color w:val="000000"/>
                <w:spacing w:val="0"/>
                <w:w w:val="100"/>
                <w:position w:val="0"/>
                <w:shd w:val="clear" w:color="auto" w:fill="auto"/>
                <w:lang w:val="pt-BR" w:eastAsia="pt-BR" w:bidi="pt-BR"/>
              </w:rPr>
              <w:t xml:space="preserve">Convênios </w:t>
            </w:r>
            <w:r>
              <w:rPr>
                <w:rFonts w:ascii="Arial" w:eastAsia="Arial" w:hAnsi="Arial" w:cs="Arial"/>
                <w:color w:val="000000"/>
                <w:spacing w:val="0"/>
                <w:w w:val="100"/>
                <w:position w:val="0"/>
                <w:shd w:val="clear" w:color="auto" w:fill="auto"/>
                <w:lang w:val="pt-PT" w:eastAsia="pt-PT" w:bidi="pt-PT"/>
              </w:rPr>
              <w:t>dos Estados e</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5.315.917,07</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RECEITAS CORRENTES INTRA-ORÇAMENTÁRIAS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5.022.521,43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7.308.836,91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7.637.734,57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7.943.243,95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8.245.087,22</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RECEITAS DE CONTRIBUIÇÕES INTRA-ORÇAMENTÁRIAS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5.022.521,43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7.308.836,91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7.637.734,57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7.943.243,95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8.245.087,22</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CONTRIBUIÇÕES SOCIAIS - INTRA-ORÇAMENTÁRIAS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5.022.521,43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7.308.836,91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7.637.734,57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7.943.243,95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8.245.087,22</w:t>
            </w:r>
          </w:p>
        </w:tc>
      </w:tr>
      <w:tr>
        <w:trPr>
          <w:trHeight w:val="25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0"/>
              <w:jc w:val="left"/>
            </w:pPr>
            <w:r>
              <w:rPr>
                <w:rFonts w:ascii="Arial" w:eastAsia="Arial" w:hAnsi="Arial" w:cs="Arial"/>
                <w:color w:val="000000"/>
                <w:spacing w:val="0"/>
                <w:w w:val="100"/>
                <w:position w:val="0"/>
                <w:shd w:val="clear" w:color="auto" w:fill="auto"/>
                <w:lang w:val="pt-PT" w:eastAsia="pt-PT" w:bidi="pt-PT"/>
              </w:rPr>
              <w:t>Contrib.Previd.Regime Próprio/Oper.Intra-orçam.</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5.022.521,43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7.308.836,91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7.637.734,57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7.943.243,95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8.245.087,22</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400" w:right="0" w:firstLine="0"/>
              <w:jc w:val="left"/>
            </w:pPr>
            <w:r>
              <w:rPr>
                <w:rFonts w:ascii="Arial" w:eastAsia="Arial" w:hAnsi="Arial" w:cs="Arial"/>
                <w:color w:val="000000"/>
                <w:spacing w:val="0"/>
                <w:w w:val="100"/>
                <w:position w:val="0"/>
                <w:shd w:val="clear" w:color="auto" w:fill="auto"/>
                <w:lang w:val="pt-PT" w:eastAsia="pt-PT" w:bidi="pt-PT"/>
              </w:rPr>
              <w:t>Contr.Serv. Ativo Civil P/RPPS - Principal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5.022.521,43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7.308.836,91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7.637.734,57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7.943.243,95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8.245.087,22</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DEDUÇÕES DA RECEITA DE TRANSF. CORRENTES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-17.156.504,28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-18.335.737,30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-16.527.612,96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-18.472.252,60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-19.211.142,70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-19.941.166,12</w:t>
            </w:r>
          </w:p>
        </w:tc>
      </w:tr>
      <w:tr>
        <w:trPr>
          <w:trHeight w:val="25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 xml:space="preserve">DECUÇÃO DAS </w:t>
            </w:r>
            <w:r>
              <w:rPr>
                <w:rFonts w:ascii="Arial" w:eastAsia="Arial" w:hAnsi="Arial" w:cs="Arial"/>
                <w:color w:val="000000"/>
                <w:spacing w:val="0"/>
                <w:w w:val="100"/>
                <w:position w:val="0"/>
                <w:shd w:val="clear" w:color="auto" w:fill="auto"/>
                <w:lang w:val="pt-BR" w:eastAsia="pt-BR" w:bidi="pt-BR"/>
              </w:rPr>
              <w:t xml:space="preserve">TRANSF.S </w:t>
            </w:r>
            <w:r>
              <w:rPr>
                <w:rFonts w:ascii="Arial" w:eastAsia="Arial" w:hAnsi="Arial" w:cs="Arial"/>
                <w:color w:val="000000"/>
                <w:spacing w:val="0"/>
                <w:w w:val="100"/>
                <w:position w:val="0"/>
                <w:shd w:val="clear" w:color="auto" w:fill="auto"/>
                <w:lang w:val="pt-PT" w:eastAsia="pt-PT" w:bidi="pt-PT"/>
              </w:rPr>
              <w:t>DA UNIÃO E S/ NTIDADES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-9.023.692,79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-9.493.762,49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-8.124.265,34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-9.690.756,12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-10.078.386,36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-10.461.365,04</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0"/>
              <w:jc w:val="left"/>
            </w:pPr>
            <w:r>
              <w:rPr>
                <w:rFonts w:ascii="Arial" w:eastAsia="Arial" w:hAnsi="Arial" w:cs="Arial"/>
                <w:color w:val="000000"/>
                <w:spacing w:val="0"/>
                <w:w w:val="100"/>
                <w:position w:val="0"/>
                <w:shd w:val="clear" w:color="auto" w:fill="auto"/>
                <w:lang w:val="pt-PT" w:eastAsia="pt-PT" w:bidi="pt-PT"/>
              </w:rPr>
              <w:t>Dedução da Participação na Receita da União</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-9.023.692,79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-9.493.762,49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-8.124.265,34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-9.690.756,12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-10.078.386,36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-10.461.365,04</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400" w:right="0" w:firstLine="0"/>
              <w:jc w:val="left"/>
            </w:pPr>
            <w:r>
              <w:rPr>
                <w:rFonts w:ascii="Arial" w:eastAsia="Arial" w:hAnsi="Arial" w:cs="Arial"/>
                <w:color w:val="000000"/>
                <w:spacing w:val="0"/>
                <w:w w:val="100"/>
                <w:position w:val="0"/>
                <w:shd w:val="clear" w:color="auto" w:fill="auto"/>
                <w:lang w:val="pt-PT" w:eastAsia="pt-PT" w:bidi="pt-PT"/>
              </w:rPr>
              <w:t>Dedução da Cota-Parte do FPM - Principal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-9.020.761,77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-9.492.530,18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-8.122.970,89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-9.688.504,59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-10.076.044,77</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-10.458.934,47</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400" w:right="0" w:firstLine="0"/>
              <w:jc w:val="left"/>
            </w:pPr>
            <w:r>
              <w:rPr>
                <w:rFonts w:ascii="Arial" w:eastAsia="Arial" w:hAnsi="Arial" w:cs="Arial"/>
                <w:color w:val="000000"/>
                <w:spacing w:val="0"/>
                <w:w w:val="100"/>
                <w:position w:val="0"/>
                <w:shd w:val="clear" w:color="auto" w:fill="auto"/>
                <w:lang w:val="pt-PT" w:eastAsia="pt-PT" w:bidi="pt-PT"/>
              </w:rPr>
              <w:t>Dedução da Cota-Parte do ITR - Principal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-2.931,02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-1.232,31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-1.294,45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-2.251,53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-2.341,59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-2.430,57</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 xml:space="preserve">DEDUÇÃO DAS TRANSF.DOS </w:t>
            </w:r>
            <w:r>
              <w:rPr>
                <w:rFonts w:ascii="Arial" w:eastAsia="Arial" w:hAnsi="Arial" w:cs="Arial"/>
                <w:color w:val="000000"/>
                <w:spacing w:val="0"/>
                <w:w w:val="100"/>
                <w:position w:val="0"/>
                <w:shd w:val="clear" w:color="auto" w:fill="auto"/>
                <w:lang w:val="pt-BR" w:eastAsia="pt-BR" w:bidi="pt-BR"/>
              </w:rPr>
              <w:t xml:space="preserve">EST.E </w:t>
            </w:r>
            <w:r>
              <w:rPr>
                <w:rFonts w:ascii="Arial" w:eastAsia="Arial" w:hAnsi="Arial" w:cs="Arial"/>
                <w:color w:val="000000"/>
                <w:spacing w:val="0"/>
                <w:w w:val="100"/>
                <w:position w:val="0"/>
                <w:shd w:val="clear" w:color="auto" w:fill="auto"/>
                <w:lang w:val="pt-PT" w:eastAsia="pt-PT" w:bidi="pt-PT"/>
              </w:rPr>
              <w:t>DIST. FED.E S/ENT.</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-8.132.811,49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-8.841.974,81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-8.403.347,62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-8.781.496,48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-9.132.756,34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-9.479.801,08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00" w:right="0" w:firstLine="0"/>
              <w:jc w:val="left"/>
            </w:pPr>
            <w:r>
              <w:rPr>
                <w:rFonts w:ascii="Arial" w:eastAsia="Arial" w:hAnsi="Arial" w:cs="Arial"/>
                <w:color w:val="000000"/>
                <w:spacing w:val="0"/>
                <w:w w:val="100"/>
                <w:position w:val="0"/>
                <w:shd w:val="clear" w:color="auto" w:fill="auto"/>
                <w:lang w:val="pt-PT" w:eastAsia="pt-PT" w:bidi="pt-PT"/>
              </w:rPr>
              <w:t>Dedução das Transferências dos Estados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-8.132.811,49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-8.841.974,81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-8.403.347,62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-8.781.496,48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-9.132.756,34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-9.479.801,08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40" w:right="0" w:firstLine="0"/>
              <w:jc w:val="left"/>
            </w:pPr>
            <w:r>
              <w:rPr>
                <w:rFonts w:ascii="Arial" w:eastAsia="Arial" w:hAnsi="Arial" w:cs="Arial"/>
                <w:color w:val="000000"/>
                <w:spacing w:val="0"/>
                <w:w w:val="100"/>
                <w:position w:val="0"/>
                <w:shd w:val="clear" w:color="auto" w:fill="auto"/>
                <w:lang w:val="pt-PT" w:eastAsia="pt-PT" w:bidi="pt-PT"/>
              </w:rPr>
              <w:t>Dedução da Participação na Receita dos Estados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-8.132.811,49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-8.841.974,81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-8.403.347,62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-8.781.496,48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-9.132.756,34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-9.479.801,08</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400" w:right="0" w:firstLine="0"/>
              <w:jc w:val="left"/>
            </w:pPr>
            <w:r>
              <w:rPr>
                <w:rFonts w:ascii="Arial" w:eastAsia="Arial" w:hAnsi="Arial" w:cs="Arial"/>
                <w:color w:val="000000"/>
                <w:spacing w:val="0"/>
                <w:w w:val="100"/>
                <w:position w:val="0"/>
                <w:shd w:val="clear" w:color="auto" w:fill="auto"/>
                <w:lang w:val="pt-PT" w:eastAsia="pt-PT" w:bidi="pt-PT"/>
              </w:rPr>
              <w:t>Dedução da Cota-Parte do iCMS - Principal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-8.022.820,83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-8.679.022,54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-8.320.684,48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-8.695.115,28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-9.042.919,89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-9.386.550,85</w:t>
            </w:r>
          </w:p>
        </w:tc>
      </w:tr>
      <w:tr>
        <w:trPr>
          <w:trHeight w:val="254"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400" w:right="0" w:firstLine="0"/>
              <w:jc w:val="left"/>
            </w:pPr>
            <w:r>
              <w:rPr>
                <w:rFonts w:ascii="Arial" w:eastAsia="Arial" w:hAnsi="Arial" w:cs="Arial"/>
                <w:color w:val="000000"/>
                <w:spacing w:val="0"/>
                <w:w w:val="100"/>
                <w:position w:val="0"/>
                <w:shd w:val="clear" w:color="auto" w:fill="auto"/>
                <w:lang w:val="pt-PT" w:eastAsia="pt-PT" w:bidi="pt-PT"/>
              </w:rPr>
              <w:t>Dedução da Cota-Parte do IPVA - Principal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-95.196,52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-139.055,80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-52.087,41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-54.430,75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-56.607,98</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-58.759,08</w:t>
            </w:r>
          </w:p>
        </w:tc>
      </w:tr>
      <w:tr>
        <w:trPr>
          <w:trHeight w:val="283"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400" w:right="0" w:firstLine="0"/>
              <w:jc w:val="left"/>
            </w:pPr>
            <w:r>
              <w:rPr>
                <w:rFonts w:ascii="Arial" w:eastAsia="Arial" w:hAnsi="Arial" w:cs="Arial"/>
                <w:color w:val="000000"/>
                <w:spacing w:val="0"/>
                <w:w w:val="100"/>
                <w:position w:val="0"/>
                <w:shd w:val="clear" w:color="auto" w:fill="auto"/>
                <w:lang w:val="pt-PT" w:eastAsia="pt-PT" w:bidi="pt-PT"/>
              </w:rPr>
              <w:t xml:space="preserve">Dedução da Cota-Parte do </w:t>
            </w:r>
            <w:r>
              <w:rPr>
                <w:rFonts w:ascii="Arial" w:eastAsia="Arial" w:hAnsi="Arial" w:cs="Arial"/>
                <w:color w:val="000000"/>
                <w:spacing w:val="0"/>
                <w:w w:val="100"/>
                <w:position w:val="0"/>
                <w:shd w:val="clear" w:color="auto" w:fill="auto"/>
                <w:lang w:val="pt-BR" w:eastAsia="pt-BR" w:bidi="pt-BR"/>
              </w:rPr>
              <w:t xml:space="preserve">IPI </w:t>
            </w:r>
            <w:r>
              <w:rPr>
                <w:rFonts w:ascii="Arial" w:eastAsia="Arial" w:hAnsi="Arial" w:cs="Arial"/>
                <w:color w:val="000000"/>
                <w:spacing w:val="0"/>
                <w:w w:val="100"/>
                <w:position w:val="0"/>
                <w:shd w:val="clear" w:color="auto" w:fill="auto"/>
                <w:lang w:val="pt-PT" w:eastAsia="pt-PT" w:bidi="pt-PT"/>
              </w:rPr>
              <w:t>Municípios - Princi</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-14.794,14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-23.896,47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-30.575,73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-31.950,45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-33.228,47</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-34.491,15</w:t>
            </w:r>
          </w:p>
        </w:tc>
      </w:tr>
      <w:tr>
        <w:trPr>
          <w:trHeight w:val="307" w:hRule="exact"/>
        </w:trPr>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rPr>
                <w:sz w:val="20"/>
                <w:szCs w:val="20"/>
              </w:rPr>
            </w:pPr>
            <w:r>
              <w:rPr>
                <w:rFonts w:ascii="Arial" w:eastAsia="Arial" w:hAnsi="Arial" w:cs="Arial"/>
                <w:b/>
                <w:bCs/>
                <w:color w:val="000000"/>
                <w:spacing w:val="0"/>
                <w:w w:val="100"/>
                <w:position w:val="0"/>
                <w:sz w:val="20"/>
                <w:szCs w:val="20"/>
                <w:shd w:val="clear" w:color="auto" w:fill="auto"/>
                <w:lang w:val="pt-PT" w:eastAsia="pt-PT" w:bidi="pt-PT"/>
              </w:rPr>
              <w:t>Total</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334.512.755,43</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319.684.974,54</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226.953.058,52</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304.065.049,10</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316.227.651,08</w:t>
            </w:r>
          </w:p>
        </w:tc>
        <w:tc>
          <w:tcPr>
            <w:tcBorders>
              <w:top w:val="single" w:sz="4"/>
              <w:left w:val="single" w:sz="4"/>
              <w:bottom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328.244.301,83</w:t>
            </w:r>
          </w:p>
        </w:tc>
      </w:tr>
    </w:tbl>
    <w:p>
      <w:pPr>
        <w:widowControl w:val="0"/>
        <w:spacing w:after="859" w:line="1" w:lineRule="exact"/>
      </w:pPr>
    </w:p>
    <w:p>
      <w:pPr>
        <w:pStyle w:val="Style29"/>
        <w:keepNext w:val="0"/>
        <w:keepLines w:val="0"/>
        <w:widowControl w:val="0"/>
        <w:shd w:val="clear" w:color="auto" w:fill="auto"/>
        <w:bidi w:val="0"/>
        <w:spacing w:before="0" w:after="60" w:line="240" w:lineRule="auto"/>
        <w:ind w:left="960" w:right="0" w:firstLine="0"/>
        <w:jc w:val="left"/>
      </w:pPr>
      <w:r>
        <mc:AlternateContent>
          <mc:Choice Requires="wps">
            <w:drawing>
              <wp:anchor distT="0" distB="0" distL="114300" distR="114300" simplePos="0" relativeHeight="125829415" behindDoc="0" locked="0" layoutInCell="1" allowOverlap="1">
                <wp:simplePos x="0" y="0"/>
                <wp:positionH relativeFrom="page">
                  <wp:posOffset>4665980</wp:posOffset>
                </wp:positionH>
                <wp:positionV relativeFrom="paragraph">
                  <wp:posOffset>12700</wp:posOffset>
                </wp:positionV>
                <wp:extent cx="1374775" cy="320040"/>
                <wp:wrapSquare wrapText="left"/>
                <wp:docPr id="91" name="Shape 91"/>
                <a:graphic xmlns:a="http://schemas.openxmlformats.org/drawingml/2006/main">
                  <a:graphicData uri="http://schemas.microsoft.com/office/word/2010/wordprocessingShape">
                    <wps:wsp>
                      <wps:cNvSpPr txBox="1"/>
                      <wps:spPr>
                        <a:xfrm>
                          <a:ext cx="1374775" cy="320040"/>
                        </a:xfrm>
                        <a:prstGeom prst="rect"/>
                        <a:noFill/>
                      </wps:spPr>
                      <wps:txbx>
                        <w:txbxContent>
                          <w:p>
                            <w:pPr>
                              <w:pStyle w:val="Style29"/>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Dilson Marcos Kovalski</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wps:txbx>
                      <wps:bodyPr lIns="0" tIns="0" rIns="0" bIns="0">
                        <a:noAutoFit/>
                      </wps:bodyPr>
                    </wps:wsp>
                  </a:graphicData>
                </a:graphic>
              </wp:anchor>
            </w:drawing>
          </mc:Choice>
          <mc:Fallback>
            <w:pict>
              <v:shape id="_x0000_s1117" type="#_x0000_t202" style="position:absolute;margin-left:367.39999999999998pt;margin-top:1.pt;width:108.25pt;height:25.199999999999999pt;z-index:-125829338;mso-wrap-distance-left:9.pt;mso-wrap-distance-right:9.pt;mso-position-horizontal-relative:page" filled="f" stroked="f">
                <v:textbox inset="0,0,0,0">
                  <w:txbxContent>
                    <w:p>
                      <w:pPr>
                        <w:pStyle w:val="Style29"/>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Dilson Marcos Kovalski</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v:textbox>
                <w10:wrap type="square" side="left" anchorx="page"/>
              </v:shape>
            </w:pict>
          </mc:Fallback>
        </mc:AlternateContent>
      </w:r>
      <w:r>
        <w:rPr>
          <w:b/>
          <w:bCs/>
          <w:color w:val="000000"/>
          <w:spacing w:val="0"/>
          <w:w w:val="100"/>
          <w:position w:val="0"/>
          <w:shd w:val="clear" w:color="auto" w:fill="auto"/>
          <w:lang w:val="pt-PT" w:eastAsia="pt-PT" w:bidi="pt-PT"/>
        </w:rPr>
        <w:t>Macelly Cristina de Souza Veras</w:t>
      </w:r>
    </w:p>
    <w:p>
      <w:pPr>
        <w:pStyle w:val="Style16"/>
        <w:keepNext w:val="0"/>
        <w:keepLines w:val="0"/>
        <w:widowControl w:val="0"/>
        <w:shd w:val="clear" w:color="auto" w:fill="auto"/>
        <w:bidi w:val="0"/>
        <w:spacing w:before="0" w:after="0" w:line="240" w:lineRule="auto"/>
        <w:ind w:left="1740" w:right="0" w:firstLine="0"/>
        <w:jc w:val="left"/>
      </w:pPr>
      <w:r>
        <w:rPr>
          <w:color w:val="000000"/>
          <w:spacing w:val="0"/>
          <w:w w:val="100"/>
          <w:position w:val="0"/>
          <w:shd w:val="clear" w:color="auto" w:fill="auto"/>
          <w:lang w:val="pt-BR" w:eastAsia="pt-BR" w:bidi="pt-BR"/>
        </w:rPr>
        <w:t xml:space="preserve">Prefeita </w:t>
      </w:r>
      <w:r>
        <w:rPr>
          <w:color w:val="000000"/>
          <w:spacing w:val="0"/>
          <w:w w:val="100"/>
          <w:position w:val="0"/>
          <w:shd w:val="clear" w:color="auto" w:fill="auto"/>
          <w:lang w:val="pt-PT" w:eastAsia="pt-PT" w:bidi="pt-PT"/>
        </w:rPr>
        <w:t>Municipal</w:t>
      </w:r>
      <w:r>
        <w:br w:type="page"/>
      </w:r>
    </w:p>
    <w:p>
      <w:pPr>
        <w:pStyle w:val="Style33"/>
        <w:keepNext w:val="0"/>
        <w:keepLines w:val="0"/>
        <w:widowControl w:val="0"/>
        <w:shd w:val="clear" w:color="auto" w:fill="auto"/>
        <w:bidi w:val="0"/>
        <w:spacing w:before="0" w:after="0" w:line="233" w:lineRule="auto"/>
        <w:ind w:left="2376" w:right="0" w:firstLine="0"/>
        <w:jc w:val="left"/>
        <w:rPr>
          <w:sz w:val="18"/>
          <w:szCs w:val="18"/>
        </w:rPr>
      </w:pPr>
      <w:r>
        <w:rPr>
          <w:color w:val="000000"/>
          <w:spacing w:val="0"/>
          <w:w w:val="100"/>
          <w:position w:val="0"/>
          <w:sz w:val="18"/>
          <w:szCs w:val="18"/>
          <w:shd w:val="clear" w:color="auto" w:fill="auto"/>
          <w:lang w:val="pt-PT" w:eastAsia="pt-PT" w:bidi="pt-PT"/>
        </w:rPr>
        <w:t>Art. 4°, §2°, inciso II da LRF</w:t>
      </w:r>
    </w:p>
    <w:tbl>
      <w:tblPr>
        <w:tblOverlap w:val="never"/>
        <w:jc w:val="center"/>
        <w:tblLayout w:type="fixed"/>
      </w:tblPr>
      <w:tblGrid>
        <w:gridCol w:w="5174"/>
        <w:gridCol w:w="1560"/>
        <w:gridCol w:w="1560"/>
        <w:gridCol w:w="1560"/>
        <w:gridCol w:w="1560"/>
        <w:gridCol w:w="1560"/>
        <w:gridCol w:w="1560"/>
      </w:tblGrid>
      <w:tr>
        <w:trPr>
          <w:trHeight w:val="240" w:hRule="exact"/>
        </w:trPr>
        <w:tc>
          <w:tcPr>
            <w:vMerge w:val="restart"/>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80" w:firstLine="0"/>
              <w:jc w:val="center"/>
            </w:pPr>
            <w:r>
              <w:rPr>
                <w:rFonts w:ascii="Arial" w:eastAsia="Arial" w:hAnsi="Arial" w:cs="Arial"/>
                <w:b/>
                <w:bCs/>
                <w:color w:val="000000"/>
                <w:spacing w:val="0"/>
                <w:w w:val="100"/>
                <w:position w:val="0"/>
                <w:shd w:val="clear" w:color="auto" w:fill="auto"/>
                <w:lang w:val="pt-PT" w:eastAsia="pt-PT" w:bidi="pt-PT"/>
              </w:rPr>
              <w:t xml:space="preserve">CATEGORIA </w:t>
            </w:r>
            <w:r>
              <w:rPr>
                <w:rFonts w:ascii="Arial" w:eastAsia="Arial" w:hAnsi="Arial" w:cs="Arial"/>
                <w:b/>
                <w:bCs/>
                <w:color w:val="000000"/>
                <w:spacing w:val="0"/>
                <w:w w:val="100"/>
                <w:position w:val="0"/>
                <w:shd w:val="clear" w:color="auto" w:fill="auto"/>
                <w:lang w:val="pt-BR" w:eastAsia="pt-BR" w:bidi="pt-BR"/>
              </w:rPr>
              <w:t xml:space="preserve">ECONÔMICA </w:t>
            </w:r>
            <w:r>
              <w:rPr>
                <w:rFonts w:ascii="Arial" w:eastAsia="Arial" w:hAnsi="Arial" w:cs="Arial"/>
                <w:b/>
                <w:bCs/>
                <w:color w:val="000000"/>
                <w:spacing w:val="0"/>
                <w:w w:val="100"/>
                <w:position w:val="0"/>
                <w:shd w:val="clear" w:color="auto" w:fill="auto"/>
                <w:lang w:val="pt-PT" w:eastAsia="pt-PT" w:bidi="pt-PT"/>
              </w:rPr>
              <w:t>E GRUPOS DE NATUREZA DE DESPESAS</w:t>
            </w:r>
          </w:p>
        </w:tc>
        <w:tc>
          <w:tcPr>
            <w:gridSpan w:val="2"/>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EXECUTADA</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ORÇADA</w:t>
            </w:r>
          </w:p>
        </w:tc>
        <w:tc>
          <w:tcPr>
            <w:gridSpan w:val="3"/>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PREVISÃO</w:t>
            </w:r>
          </w:p>
        </w:tc>
      </w:tr>
      <w:tr>
        <w:trPr>
          <w:trHeight w:val="269"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r>
      <w:tr>
        <w:trPr>
          <w:trHeight w:val="230"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DESPESAS CORRENTES</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269.325.721,79</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329.512.005,08</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180.849.536,96</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248.230.049,86</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250.773.423,73</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260.302.814,20</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60" w:right="0" w:firstLine="40"/>
              <w:jc w:val="left"/>
            </w:pPr>
            <w:r>
              <w:rPr>
                <w:rFonts w:ascii="Arial" w:eastAsia="Arial" w:hAnsi="Arial" w:cs="Arial"/>
                <w:b/>
                <w:bCs/>
                <w:color w:val="000000"/>
                <w:spacing w:val="0"/>
                <w:w w:val="100"/>
                <w:position w:val="0"/>
                <w:shd w:val="clear" w:color="auto" w:fill="auto"/>
                <w:lang w:val="pt-PT" w:eastAsia="pt-PT" w:bidi="pt-PT"/>
              </w:rPr>
              <w:t>PESSOAL E ENCARGOS SOCIAIS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118.223.723,95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142.051.622,02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92.917.146,06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138.335.609,23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137.629.033,69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142.858.937,09</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60" w:right="0" w:firstLine="40"/>
              <w:jc w:val="left"/>
            </w:pPr>
            <w:r>
              <w:rPr>
                <w:rFonts w:ascii="Arial" w:eastAsia="Arial" w:hAnsi="Arial" w:cs="Arial"/>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118.223.723,95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142.051.622,02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92.917.146,06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138.335.609,23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137.629.033,69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142.858.937,09</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Aposent.do RPPS, Reser.e Refor. Remun.Militares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7.937.107,65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8.729.977,83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3.621.283,13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6.805.556,21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7.077.778,46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7.346.734,04</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Pensões do RPPS e do Militar</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2.362.205,67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2.515.689,43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1.504.191,61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1.571.880,23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1.634.755,44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1.696.876,15</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32.776.102,80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41.938.822,32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29.472.418,63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54.798.677,50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56.990.624,62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59.156.268,35</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Outros Benefícios Previd.do Servidor ou Militar</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644.653,55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673.662,96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700.609,48</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727.232,64</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66.332.551,31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75.701.484,41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43.410.591,91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59.579.944,72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55.723.142,51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57.840.621,94</w:t>
            </w:r>
          </w:p>
        </w:tc>
      </w:tr>
      <w:tr>
        <w:trPr>
          <w:trHeight w:val="24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3.984.875,93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5.400.786,96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8.113.746,86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8.478.865,49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8.818.020,12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9.153.104,90</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Outras Despesas Variáveis - Pessoal Civil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170.428,50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178.097,78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185.221,69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192.260,11</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Sentenças Judiciais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15.961,07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354.328,44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546.376,60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570.963,55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593.802,09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616.366,56</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15.554,43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583.810,37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610.081,85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634.485,15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658.595,62</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Trabalhistas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219.727,05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775.237,71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271.652,70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283.877,08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295.232,18</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306.451,04</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4.592.972,53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6.619.740,49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4.577.992,20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4.784.001,86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4.975.361,95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5.164.425,74</w:t>
            </w:r>
          </w:p>
        </w:tc>
      </w:tr>
      <w:tr>
        <w:trPr>
          <w:trHeight w:val="240"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2.219,94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60" w:right="0" w:firstLine="40"/>
              <w:jc w:val="left"/>
            </w:pPr>
            <w:r>
              <w:rPr>
                <w:rFonts w:ascii="Arial" w:eastAsia="Arial" w:hAnsi="Arial" w:cs="Arial"/>
                <w:b/>
                <w:bCs/>
                <w:color w:val="000000"/>
                <w:spacing w:val="0"/>
                <w:w w:val="100"/>
                <w:position w:val="0"/>
                <w:shd w:val="clear" w:color="auto" w:fill="auto"/>
                <w:lang w:val="pt-PT" w:eastAsia="pt-PT" w:bidi="pt-PT"/>
              </w:rPr>
              <w:t>JUROS E ENCARGOS DA DÍVIDA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8.112,47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1.487,29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326.759,12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341.463,28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355.121,82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368.616,45</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60" w:right="0" w:firstLine="40"/>
              <w:jc w:val="left"/>
            </w:pPr>
            <w:r>
              <w:rPr>
                <w:rFonts w:ascii="Arial" w:eastAsia="Arial" w:hAnsi="Arial" w:cs="Arial"/>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8.112,47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1.487,29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326.759,12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341.463,28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355.121,82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368.616,45</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Juros sobre a Dívida por Contrato</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8.112,47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1.487,29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326.759,12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341.463,28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355.121,82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368.616,45</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60" w:right="0" w:firstLine="40"/>
              <w:jc w:val="left"/>
            </w:pPr>
            <w:r>
              <w:rPr>
                <w:rFonts w:ascii="Arial" w:eastAsia="Arial" w:hAnsi="Arial" w:cs="Arial"/>
                <w:b/>
                <w:bCs/>
                <w:color w:val="000000"/>
                <w:spacing w:val="0"/>
                <w:w w:val="100"/>
                <w:position w:val="0"/>
                <w:shd w:val="clear" w:color="auto" w:fill="auto"/>
                <w:lang w:val="pt-PT" w:eastAsia="pt-PT" w:bidi="pt-PT"/>
              </w:rPr>
              <w:t>OUTRAS DESPESAS CORRENTES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151.093.885,37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187.458.895,77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87.605.631,78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109.552.977,35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112.789.268,22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117.075.260,66</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60" w:right="0" w:firstLine="40"/>
              <w:jc w:val="left"/>
            </w:pPr>
            <w:r>
              <w:rPr>
                <w:rFonts w:ascii="Arial" w:eastAsia="Arial" w:hAnsi="Arial" w:cs="Arial"/>
                <w:color w:val="000000"/>
                <w:spacing w:val="0"/>
                <w:w w:val="100"/>
                <w:position w:val="0"/>
                <w:shd w:val="clear" w:color="auto" w:fill="auto"/>
                <w:lang w:val="pt-PT" w:eastAsia="pt-PT" w:bidi="pt-PT"/>
              </w:rPr>
              <w:t>Transf. a Instit.Privadas s/ Fins Lucrativos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360.000,00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214.703,43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464.133,14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485.019,14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504.419,91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523.587,87</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Subvenções Sociais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360.000,00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214.703,43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464.133,14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485.019,14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504.419,91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523.587,87</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60" w:right="0" w:firstLine="40"/>
              <w:jc w:val="left"/>
            </w:pPr>
            <w:r>
              <w:rPr>
                <w:rFonts w:ascii="Arial" w:eastAsia="Arial" w:hAnsi="Arial" w:cs="Arial"/>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150.733.885,37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187.244.192,34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87.141.498,64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109.067.958,21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112.284.848,31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116.551.672,79</w:t>
            </w:r>
          </w:p>
        </w:tc>
      </w:tr>
      <w:tr>
        <w:trPr>
          <w:trHeight w:val="24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531.022,40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554.918,41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577.115,16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599.045,54</w:t>
            </w:r>
          </w:p>
        </w:tc>
      </w:tr>
      <w:tr>
        <w:trPr>
          <w:trHeight w:val="23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Outros Benefícios Assistenciais Servidor</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105.802,56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83.847,65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476.494,88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459.360,00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2.259.086,58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2.360.745,49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2.455.175,33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2.548.472,01</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Auxílio Financeiro a Estudantes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51.645,00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53.969,03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56.127,79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58.260,65</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69.065.099,30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106.572.209,70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32.718.057,59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51.093.704,14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53.657.452,32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55.696.435,54</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Premiações Cult., Artíst.,Cient.,Desp.e Outras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289.257,50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84.367,97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569.969,50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595.618,13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619.442,85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642.981,68</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16.927.795,84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8.650.636,25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4.046.098,50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4.228.172,95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4.397.299,84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4.564.397,22</w:t>
            </w:r>
          </w:p>
        </w:tc>
      </w:tr>
      <w:tr>
        <w:trPr>
          <w:trHeight w:val="24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7.158.355,91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5.920.029,79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5.431.153,32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5.495.555,26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5.902.577,50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6.126.875,46</w:t>
            </w:r>
          </w:p>
        </w:tc>
      </w:tr>
      <w:tr>
        <w:trPr>
          <w:trHeight w:val="226"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 xml:space="preserve">Outras Desp. de Pes. </w:t>
            </w:r>
            <w:r>
              <w:rPr>
                <w:rFonts w:ascii="Arial" w:eastAsia="Arial" w:hAnsi="Arial" w:cs="Arial"/>
                <w:color w:val="000000"/>
                <w:spacing w:val="0"/>
                <w:w w:val="100"/>
                <w:position w:val="0"/>
                <w:shd w:val="clear" w:color="auto" w:fill="auto"/>
                <w:lang w:val="en-US" w:eastAsia="en-US" w:bidi="en-US"/>
              </w:rPr>
              <w:t>Decor.de</w:t>
            </w:r>
            <w:r>
              <w:rPr>
                <w:rFonts w:ascii="Arial" w:eastAsia="Arial" w:hAnsi="Arial" w:cs="Arial"/>
                <w:color w:val="000000"/>
                <w:spacing w:val="0"/>
                <w:w w:val="100"/>
                <w:position w:val="0"/>
                <w:shd w:val="clear" w:color="auto" w:fill="auto"/>
                <w:lang w:val="en-US" w:eastAsia="en-US" w:bidi="en-US"/>
              </w:rPr>
              <w:t xml:space="preserve"> </w:t>
            </w:r>
            <w:r>
              <w:rPr>
                <w:rFonts w:ascii="Arial" w:eastAsia="Arial" w:hAnsi="Arial" w:cs="Arial"/>
                <w:color w:val="000000"/>
                <w:spacing w:val="0"/>
                <w:w w:val="100"/>
                <w:position w:val="0"/>
                <w:shd w:val="clear" w:color="auto" w:fill="auto"/>
                <w:lang w:val="pt-PT" w:eastAsia="pt-PT" w:bidi="pt-PT"/>
              </w:rPr>
              <w:t>Contr. de Terceiriz.</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167.329,80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174.859,64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181.854,03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188.764,48</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Serviços de Consultoria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335.200,00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311.480,00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1.205.394,30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1.259.637,07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1.310.022,54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1.359.803,41</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1.259.056,93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982.769,96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13.376.410,79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13.468.349,28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14.017.483,24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14.550.147,65</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49.605.411,61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57.596.682,46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23.524.849,60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26.375.225,88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25.566.806,59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26.538.345,28</w:t>
            </w:r>
          </w:p>
        </w:tc>
      </w:tr>
      <w:tr>
        <w:trPr>
          <w:trHeight w:val="283" w:hRule="exact"/>
        </w:trPr>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260" w:right="0" w:firstLine="0"/>
              <w:jc w:val="left"/>
            </w:pPr>
            <w:r>
              <w:rPr>
                <w:rFonts w:ascii="Arial" w:eastAsia="Arial" w:hAnsi="Arial" w:cs="Arial"/>
                <w:color w:val="000000"/>
                <w:spacing w:val="0"/>
                <w:w w:val="100"/>
                <w:position w:val="0"/>
                <w:shd w:val="clear" w:color="auto" w:fill="auto"/>
                <w:lang w:val="pt-PT" w:eastAsia="pt-PT" w:bidi="pt-PT"/>
              </w:rPr>
              <w:t>Auxílio-Alimentação</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316.500,00</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409.028,40</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427.434,68</w:t>
            </w:r>
          </w:p>
        </w:tc>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444.532,07</w:t>
            </w:r>
          </w:p>
        </w:tc>
        <w:tc>
          <w:tcPr>
            <w:tcBorders>
              <w:left w:val="single" w:sz="4"/>
              <w:bottom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461.424,29</w:t>
            </w:r>
          </w:p>
        </w:tc>
      </w:tr>
    </w:tbl>
    <w:p>
      <w:pPr>
        <w:widowControl w:val="0"/>
        <w:spacing w:line="1" w:lineRule="exact"/>
      </w:pPr>
      <w:r>
        <w:br w:type="page"/>
      </w:r>
    </w:p>
    <w:p>
      <w:pPr>
        <w:pStyle w:val="Style33"/>
        <w:keepNext w:val="0"/>
        <w:keepLines w:val="0"/>
        <w:widowControl w:val="0"/>
        <w:shd w:val="clear" w:color="auto" w:fill="auto"/>
        <w:bidi w:val="0"/>
        <w:spacing w:before="0" w:after="0" w:line="233" w:lineRule="auto"/>
        <w:ind w:left="2376" w:right="0" w:firstLine="0"/>
        <w:jc w:val="left"/>
        <w:rPr>
          <w:sz w:val="18"/>
          <w:szCs w:val="18"/>
        </w:rPr>
      </w:pPr>
      <w:r>
        <w:rPr>
          <w:color w:val="000000"/>
          <w:spacing w:val="0"/>
          <w:w w:val="100"/>
          <w:position w:val="0"/>
          <w:sz w:val="18"/>
          <w:szCs w:val="18"/>
          <w:shd w:val="clear" w:color="auto" w:fill="auto"/>
          <w:lang w:val="pt-PT" w:eastAsia="pt-PT" w:bidi="pt-PT"/>
        </w:rPr>
        <w:t>Art. 4°, §2°, inciso II da LRF</w:t>
      </w:r>
    </w:p>
    <w:tbl>
      <w:tblPr>
        <w:tblOverlap w:val="never"/>
        <w:jc w:val="center"/>
        <w:tblLayout w:type="fixed"/>
      </w:tblPr>
      <w:tblGrid>
        <w:gridCol w:w="5174"/>
        <w:gridCol w:w="1560"/>
        <w:gridCol w:w="1560"/>
        <w:gridCol w:w="1560"/>
        <w:gridCol w:w="1560"/>
        <w:gridCol w:w="1560"/>
        <w:gridCol w:w="1560"/>
      </w:tblGrid>
      <w:tr>
        <w:trPr>
          <w:trHeight w:val="240" w:hRule="exact"/>
        </w:trPr>
        <w:tc>
          <w:tcPr>
            <w:vMerge w:val="restart"/>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80" w:firstLine="0"/>
              <w:jc w:val="center"/>
            </w:pPr>
            <w:r>
              <w:rPr>
                <w:rFonts w:ascii="Arial" w:eastAsia="Arial" w:hAnsi="Arial" w:cs="Arial"/>
                <w:b/>
                <w:bCs/>
                <w:color w:val="000000"/>
                <w:spacing w:val="0"/>
                <w:w w:val="100"/>
                <w:position w:val="0"/>
                <w:shd w:val="clear" w:color="auto" w:fill="auto"/>
                <w:lang w:val="pt-PT" w:eastAsia="pt-PT" w:bidi="pt-PT"/>
              </w:rPr>
              <w:t xml:space="preserve">CATEGORIA </w:t>
            </w:r>
            <w:r>
              <w:rPr>
                <w:rFonts w:ascii="Arial" w:eastAsia="Arial" w:hAnsi="Arial" w:cs="Arial"/>
                <w:b/>
                <w:bCs/>
                <w:color w:val="000000"/>
                <w:spacing w:val="0"/>
                <w:w w:val="100"/>
                <w:position w:val="0"/>
                <w:shd w:val="clear" w:color="auto" w:fill="auto"/>
                <w:lang w:val="pt-BR" w:eastAsia="pt-BR" w:bidi="pt-BR"/>
              </w:rPr>
              <w:t xml:space="preserve">ECONÔMICA </w:t>
            </w:r>
            <w:r>
              <w:rPr>
                <w:rFonts w:ascii="Arial" w:eastAsia="Arial" w:hAnsi="Arial" w:cs="Arial"/>
                <w:b/>
                <w:bCs/>
                <w:color w:val="000000"/>
                <w:spacing w:val="0"/>
                <w:w w:val="100"/>
                <w:position w:val="0"/>
                <w:shd w:val="clear" w:color="auto" w:fill="auto"/>
                <w:lang w:val="pt-PT" w:eastAsia="pt-PT" w:bidi="pt-PT"/>
              </w:rPr>
              <w:t>E GRUPOS DE NATUREZA DE DESPESAS</w:t>
            </w:r>
          </w:p>
        </w:tc>
        <w:tc>
          <w:tcPr>
            <w:gridSpan w:val="2"/>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EXECUTADA</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ORÇADA</w:t>
            </w:r>
          </w:p>
        </w:tc>
        <w:tc>
          <w:tcPr>
            <w:gridSpan w:val="3"/>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PREVISÃO</w:t>
            </w:r>
          </w:p>
        </w:tc>
      </w:tr>
      <w:tr>
        <w:trPr>
          <w:trHeight w:val="269"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r>
      <w:tr>
        <w:trPr>
          <w:trHeight w:val="230"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20"/>
              <w:jc w:val="left"/>
            </w:pPr>
            <w:r>
              <w:rPr>
                <w:rFonts w:ascii="Arial" w:eastAsia="Arial" w:hAnsi="Arial" w:cs="Arial"/>
                <w:color w:val="000000"/>
                <w:spacing w:val="0"/>
                <w:w w:val="100"/>
                <w:position w:val="0"/>
                <w:shd w:val="clear" w:color="auto" w:fill="auto"/>
                <w:lang w:val="pt-PT" w:eastAsia="pt-PT" w:bidi="pt-PT"/>
              </w:rPr>
              <w:t>Obrigações Tributárias e Contributivas</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2.035.108,50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2.402.459,60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739.556,40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772.836,45</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803.749,91</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834.292,40</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2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1.039.500,00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1.898.295,71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960.405,70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1.003.623,97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1.043.768,96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1.083.432,22</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20"/>
              <w:jc w:val="left"/>
            </w:pPr>
            <w:r>
              <w:rPr>
                <w:rFonts w:ascii="Arial" w:eastAsia="Arial" w:hAnsi="Arial" w:cs="Arial"/>
                <w:color w:val="000000"/>
                <w:spacing w:val="0"/>
                <w:w w:val="100"/>
                <w:position w:val="0"/>
                <w:shd w:val="clear" w:color="auto" w:fill="auto"/>
                <w:lang w:val="pt-PT" w:eastAsia="pt-PT" w:bidi="pt-PT"/>
              </w:rPr>
              <w:t>Sentenças Judiciais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446.806,70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216.936,50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226.698,64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235.766,59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244.725,72</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2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568.458,12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585.574,73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836.086,20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873.710,07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908.658,50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943.187,57</w:t>
            </w:r>
          </w:p>
        </w:tc>
      </w:tr>
      <w:tr>
        <w:trPr>
          <w:trHeight w:val="24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2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e Restituições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1.868.344,22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933.171,82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98.468,06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102.899,12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107.015,09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111.081,67</w:t>
            </w:r>
          </w:p>
        </w:tc>
      </w:tr>
      <w:tr>
        <w:trPr>
          <w:trHeight w:val="23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DESPESAS DE CAPITAL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34.468.565,85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34.090.324,33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40.501.347,70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48.288.042,03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46.059.563,71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47.809.827,14</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60" w:right="0" w:firstLine="20"/>
              <w:jc w:val="left"/>
            </w:pPr>
            <w:r>
              <w:rPr>
                <w:rFonts w:ascii="Arial" w:eastAsia="Arial" w:hAnsi="Arial" w:cs="Arial"/>
                <w:b/>
                <w:bCs/>
                <w:color w:val="000000"/>
                <w:spacing w:val="0"/>
                <w:w w:val="100"/>
                <w:position w:val="0"/>
                <w:shd w:val="clear" w:color="auto" w:fill="auto"/>
                <w:lang w:val="pt-PT" w:eastAsia="pt-PT" w:bidi="pt-PT"/>
              </w:rPr>
              <w:t>INVESTIMENTOS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31.544.931,23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26.314.213,52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38.609.447,64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42.311.006,47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44.003.446,74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45.675.577,73</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60" w:right="0" w:firstLine="20"/>
              <w:jc w:val="left"/>
            </w:pPr>
            <w:r>
              <w:rPr>
                <w:rFonts w:ascii="Arial" w:eastAsia="Arial" w:hAnsi="Arial" w:cs="Arial"/>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31.544.931,23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26.314.213,52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38.609.447,64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42.311.006,47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44.003.446,74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45.675.577,73</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20"/>
              <w:jc w:val="left"/>
            </w:pPr>
            <w:r>
              <w:rPr>
                <w:rFonts w:ascii="Arial" w:eastAsia="Arial" w:hAnsi="Arial" w:cs="Arial"/>
                <w:color w:val="000000"/>
                <w:spacing w:val="0"/>
                <w:w w:val="100"/>
                <w:position w:val="0"/>
                <w:shd w:val="clear" w:color="auto" w:fill="auto"/>
                <w:lang w:val="pt-PT" w:eastAsia="pt-PT" w:bidi="pt-PT"/>
              </w:rPr>
              <w:t>Obras e Instalações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19.401.027,41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17.697.790,85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26.567.938,41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27.763.495,69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28.874.035,52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29.971.248,85</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2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12.081.903,82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8.608.022,67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12.041.509,23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14.547.510,78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15.129.411,22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15.704.328,88</w:t>
            </w:r>
          </w:p>
        </w:tc>
      </w:tr>
      <w:tr>
        <w:trPr>
          <w:trHeight w:val="240"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60" w:right="0" w:firstLine="20"/>
              <w:jc w:val="left"/>
            </w:pPr>
            <w:r>
              <w:rPr>
                <w:rFonts w:ascii="Arial" w:eastAsia="Arial" w:hAnsi="Arial" w:cs="Arial"/>
                <w:color w:val="000000"/>
                <w:spacing w:val="0"/>
                <w:w w:val="100"/>
                <w:position w:val="0"/>
                <w:shd w:val="clear" w:color="auto" w:fill="auto"/>
                <w:lang w:val="pt-PT" w:eastAsia="pt-PT" w:bidi="pt-PT"/>
              </w:rPr>
              <w:t>Aquisição de Imóveis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62.000,00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40"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60" w:right="0" w:firstLine="2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8.400,00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60" w:right="0" w:firstLine="20"/>
              <w:jc w:val="left"/>
            </w:pPr>
            <w:r>
              <w:rPr>
                <w:rFonts w:ascii="Arial" w:eastAsia="Arial" w:hAnsi="Arial" w:cs="Arial"/>
                <w:b/>
                <w:bCs/>
                <w:color w:val="000000"/>
                <w:spacing w:val="0"/>
                <w:w w:val="100"/>
                <w:position w:val="0"/>
                <w:shd w:val="clear" w:color="auto" w:fill="auto"/>
                <w:lang w:val="pt-PT" w:eastAsia="pt-PT" w:bidi="pt-PT"/>
              </w:rPr>
              <w:t>INVERSÕES FINANCEIRAS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1.243.000,00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2.428.000,00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362.012,70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378.303,27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393.435,40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408.385,95</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60" w:right="0" w:firstLine="20"/>
              <w:jc w:val="left"/>
            </w:pPr>
            <w:r>
              <w:rPr>
                <w:rFonts w:ascii="Arial" w:eastAsia="Arial" w:hAnsi="Arial" w:cs="Arial"/>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1.243.000,00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2.428.000,00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362.012,70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378.303,27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393.435,40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408.385,95</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20"/>
              <w:jc w:val="left"/>
            </w:pPr>
            <w:r>
              <w:rPr>
                <w:rFonts w:ascii="Arial" w:eastAsia="Arial" w:hAnsi="Arial" w:cs="Arial"/>
                <w:color w:val="000000"/>
                <w:spacing w:val="0"/>
                <w:w w:val="100"/>
                <w:position w:val="0"/>
                <w:shd w:val="clear" w:color="auto" w:fill="auto"/>
                <w:lang w:val="en-US" w:eastAsia="en-US" w:bidi="en-US"/>
              </w:rPr>
              <w:t>Conces.de</w:t>
            </w:r>
            <w:r>
              <w:rPr>
                <w:rFonts w:ascii="Arial" w:eastAsia="Arial" w:hAnsi="Arial" w:cs="Arial"/>
                <w:color w:val="000000"/>
                <w:spacing w:val="0"/>
                <w:w w:val="100"/>
                <w:position w:val="0"/>
                <w:shd w:val="clear" w:color="auto" w:fill="auto"/>
                <w:lang w:val="en-US" w:eastAsia="en-US" w:bidi="en-US"/>
              </w:rPr>
              <w:t xml:space="preserve"> </w:t>
            </w:r>
            <w:r>
              <w:rPr>
                <w:rFonts w:ascii="Arial" w:eastAsia="Arial" w:hAnsi="Arial" w:cs="Arial"/>
                <w:color w:val="000000"/>
                <w:spacing w:val="0"/>
                <w:w w:val="100"/>
                <w:position w:val="0"/>
                <w:shd w:val="clear" w:color="auto" w:fill="auto"/>
                <w:lang w:val="pt-PT" w:eastAsia="pt-PT" w:bidi="pt-PT"/>
              </w:rPr>
              <w:t>Empréstimos e Financiamentos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1.243.000,00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2.428.000,00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362.012,70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378.303,27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393.435,40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408.385,95</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60" w:right="0" w:firstLine="20"/>
              <w:jc w:val="left"/>
            </w:pPr>
            <w:r>
              <w:rPr>
                <w:rFonts w:ascii="Arial" w:eastAsia="Arial" w:hAnsi="Arial" w:cs="Arial"/>
                <w:b/>
                <w:bCs/>
                <w:color w:val="000000"/>
                <w:spacing w:val="0"/>
                <w:w w:val="100"/>
                <w:position w:val="0"/>
                <w:shd w:val="clear" w:color="auto" w:fill="auto"/>
                <w:lang w:val="pt-PT" w:eastAsia="pt-PT" w:bidi="pt-PT"/>
              </w:rPr>
              <w:t>AMORTIZAÇÃO DA DÍVIDA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1.680.634,62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5.348.110,81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1.529.887,36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5.598.732,29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1.662.681,57</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1.725.863,46</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60" w:right="0" w:firstLine="20"/>
              <w:jc w:val="left"/>
            </w:pPr>
            <w:r>
              <w:rPr>
                <w:rFonts w:ascii="Arial" w:eastAsia="Arial" w:hAnsi="Arial" w:cs="Arial"/>
                <w:color w:val="000000"/>
                <w:spacing w:val="0"/>
                <w:w w:val="100"/>
                <w:position w:val="0"/>
                <w:shd w:val="clear" w:color="auto" w:fill="auto"/>
                <w:lang w:val="pt-PT" w:eastAsia="pt-PT" w:bidi="pt-PT"/>
              </w:rPr>
              <w:t>Aplicações Diretas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1.680.634,62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5.348.110,81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1.529.887,36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5.598.732,29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1.662.681,57</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1.725.863,46</w:t>
            </w:r>
          </w:p>
        </w:tc>
      </w:tr>
      <w:tr>
        <w:trPr>
          <w:trHeight w:val="24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60" w:right="0" w:firstLine="20"/>
              <w:jc w:val="left"/>
            </w:pPr>
            <w:r>
              <w:rPr>
                <w:rFonts w:ascii="Arial" w:eastAsia="Arial" w:hAnsi="Arial" w:cs="Arial"/>
                <w:color w:val="000000"/>
                <w:spacing w:val="0"/>
                <w:w w:val="100"/>
                <w:position w:val="0"/>
                <w:shd w:val="clear" w:color="auto" w:fill="auto"/>
                <w:lang w:val="pt-PT" w:eastAsia="pt-PT" w:bidi="pt-PT"/>
              </w:rPr>
              <w:t>Principal da Dívida Contratual Resgatado</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1.680.634,62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5.348.110,81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1.529.887,36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5.598.732,29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1.662.681,57</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1.725.863,46</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RESERVA DE CONTINGÊNCIA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5.602.173,86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7.546.957,21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7.848.835,50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8.147.091,25</w:t>
            </w:r>
          </w:p>
        </w:tc>
      </w:tr>
      <w:tr>
        <w:trPr>
          <w:trHeight w:val="235"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60" w:right="0" w:firstLine="20"/>
              <w:jc w:val="left"/>
            </w:pPr>
            <w:r>
              <w:rPr>
                <w:rFonts w:ascii="Arial" w:eastAsia="Arial" w:hAnsi="Arial" w:cs="Arial"/>
                <w:b/>
                <w:bCs/>
                <w:color w:val="000000"/>
                <w:spacing w:val="0"/>
                <w:w w:val="100"/>
                <w:position w:val="0"/>
                <w:shd w:val="clear" w:color="auto" w:fill="auto"/>
                <w:lang w:val="pt-PT" w:eastAsia="pt-PT" w:bidi="pt-PT"/>
              </w:rPr>
              <w:t>RESERVA DE CONTINGÊNCIA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5.602.173,86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7.546.957,21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7.848.835,50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8.147.091,25</w:t>
            </w:r>
          </w:p>
        </w:tc>
      </w:tr>
      <w:tr>
        <w:trPr>
          <w:trHeight w:val="259"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20" w:right="0" w:firstLine="0"/>
              <w:jc w:val="left"/>
            </w:pPr>
            <w:r>
              <w:rPr>
                <w:rFonts w:ascii="Arial" w:eastAsia="Arial" w:hAnsi="Arial" w:cs="Arial"/>
                <w:color w:val="000000"/>
                <w:spacing w:val="0"/>
                <w:w w:val="100"/>
                <w:position w:val="0"/>
                <w:shd w:val="clear" w:color="auto" w:fill="auto"/>
                <w:lang w:val="pt-PT" w:eastAsia="pt-PT" w:bidi="pt-PT"/>
              </w:rPr>
              <w:t>Reserva de Contingência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5.602.173,86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7.546.957,21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7.848.835,50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8.147.091,25</w:t>
            </w:r>
          </w:p>
        </w:tc>
      </w:tr>
      <w:tr>
        <w:trPr>
          <w:trHeight w:val="302" w:hRule="exact"/>
        </w:trPr>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b/>
                <w:bCs/>
                <w:color w:val="000000"/>
                <w:spacing w:val="0"/>
                <w:w w:val="100"/>
                <w:position w:val="0"/>
                <w:sz w:val="20"/>
                <w:szCs w:val="20"/>
                <w:shd w:val="clear" w:color="auto" w:fill="auto"/>
                <w:lang w:val="pt-PT" w:eastAsia="pt-PT" w:bidi="pt-PT"/>
              </w:rPr>
              <w:t>Total</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303.794.287,64</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363.602.329,41</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226.953.058,52</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304.065.049,10</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304.681.822,94</w:t>
            </w:r>
          </w:p>
        </w:tc>
        <w:tc>
          <w:tcPr>
            <w:tcBorders>
              <w:top w:val="single" w:sz="4"/>
              <w:left w:val="single" w:sz="4"/>
              <w:bottom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316.259.732,59</w:t>
            </w:r>
          </w:p>
        </w:tc>
      </w:tr>
    </w:tbl>
    <w:p>
      <w:pPr>
        <w:widowControl w:val="0"/>
        <w:spacing w:after="999" w:line="1" w:lineRule="exact"/>
      </w:pPr>
    </w:p>
    <w:p>
      <w:pPr>
        <w:pStyle w:val="Style2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Macelly Cristina de Souza Veras</w:t>
      </w:r>
    </w:p>
    <w:p>
      <w:pPr>
        <w:pStyle w:val="Style16"/>
        <w:keepNext w:val="0"/>
        <w:keepLines w:val="0"/>
        <w:widowControl w:val="0"/>
        <w:shd w:val="clear" w:color="auto" w:fill="auto"/>
        <w:bidi w:val="0"/>
        <w:spacing w:before="0" w:after="0" w:line="240" w:lineRule="auto"/>
        <w:ind w:left="0" w:right="0" w:firstLine="0"/>
        <w:jc w:val="center"/>
        <w:sectPr>
          <w:headerReference w:type="default" r:id="rId47"/>
          <w:footerReference w:type="default" r:id="rId48"/>
          <w:footnotePr>
            <w:pos w:val="pageBottom"/>
            <w:numFmt w:val="decimal"/>
            <w:numRestart w:val="continuous"/>
          </w:footnotePr>
          <w:pgSz w:w="16840" w:h="11900" w:orient="landscape"/>
          <w:pgMar w:top="2062" w:left="1204" w:right="1101" w:bottom="406" w:header="0" w:footer="3" w:gutter="0"/>
          <w:cols w:space="720"/>
          <w:noEndnote/>
          <w:rtlGutter w:val="0"/>
          <w:docGrid w:linePitch="360"/>
        </w:sectPr>
      </w:pPr>
      <w:r>
        <mc:AlternateContent>
          <mc:Choice Requires="wps">
            <w:drawing>
              <wp:anchor distT="0" distB="0" distL="114300" distR="114300" simplePos="0" relativeHeight="125829417" behindDoc="0" locked="0" layoutInCell="1" allowOverlap="1">
                <wp:simplePos x="0" y="0"/>
                <wp:positionH relativeFrom="page">
                  <wp:posOffset>5531485</wp:posOffset>
                </wp:positionH>
                <wp:positionV relativeFrom="margin">
                  <wp:posOffset>4295140</wp:posOffset>
                </wp:positionV>
                <wp:extent cx="1374775" cy="307975"/>
                <wp:wrapSquare wrapText="left"/>
                <wp:docPr id="97" name="Shape 97"/>
                <a:graphic xmlns:a="http://schemas.openxmlformats.org/drawingml/2006/main">
                  <a:graphicData uri="http://schemas.microsoft.com/office/word/2010/wordprocessingShape">
                    <wps:wsp>
                      <wps:cNvSpPr txBox="1"/>
                      <wps:spPr>
                        <a:xfrm>
                          <a:ext cx="1374775" cy="307975"/>
                        </a:xfrm>
                        <a:prstGeom prst="rect"/>
                        <a:noFill/>
                      </wps:spPr>
                      <wps:txbx>
                        <w:txbxContent>
                          <w:p>
                            <w:pPr>
                              <w:pStyle w:val="Style29"/>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Dilson Marcos Kovalski</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wps:txbx>
                      <wps:bodyPr lIns="0" tIns="0" rIns="0" bIns="0">
                        <a:noAutoFit/>
                      </wps:bodyPr>
                    </wps:wsp>
                  </a:graphicData>
                </a:graphic>
              </wp:anchor>
            </w:drawing>
          </mc:Choice>
          <mc:Fallback>
            <w:pict>
              <v:shape id="_x0000_s1123" type="#_x0000_t202" style="position:absolute;margin-left:435.55000000000001pt;margin-top:338.19999999999999pt;width:108.25pt;height:24.25pt;z-index:-125829336;mso-wrap-distance-left:9.pt;mso-wrap-distance-right:9.pt;mso-position-horizontal-relative:page;mso-position-vertical-relative:margin" filled="f" stroked="f">
                <v:textbox inset="0,0,0,0">
                  <w:txbxContent>
                    <w:p>
                      <w:pPr>
                        <w:pStyle w:val="Style29"/>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Dilson Marcos Kovalski</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v:textbox>
                <w10:wrap type="square" side="left" anchorx="page" anchory="margin"/>
              </v:shape>
            </w:pict>
          </mc:Fallback>
        </mc:AlternateContent>
      </w:r>
      <w:r>
        <w:rPr>
          <w:color w:val="000000"/>
          <w:spacing w:val="0"/>
          <w:w w:val="100"/>
          <w:position w:val="0"/>
          <w:shd w:val="clear" w:color="auto" w:fill="auto"/>
          <w:lang w:val="pt-BR" w:eastAsia="pt-BR" w:bidi="pt-BR"/>
        </w:rPr>
        <w:t xml:space="preserve">Prefeita </w:t>
      </w:r>
      <w:r>
        <w:rPr>
          <w:color w:val="000000"/>
          <w:spacing w:val="0"/>
          <w:w w:val="100"/>
          <w:position w:val="0"/>
          <w:shd w:val="clear" w:color="auto" w:fill="auto"/>
          <w:lang w:val="pt-PT" w:eastAsia="pt-PT" w:bidi="pt-PT"/>
        </w:rPr>
        <w:t>Municipal</w:t>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p>
      <w:pPr>
        <w:pStyle w:val="Style54"/>
        <w:keepNext/>
        <w:keepLines/>
        <w:widowControl w:val="0"/>
        <w:shd w:val="clear" w:color="auto" w:fill="auto"/>
        <w:bidi w:val="0"/>
        <w:spacing w:before="0" w:after="0" w:line="240" w:lineRule="auto"/>
        <w:ind w:left="860" w:right="0" w:firstLine="0"/>
        <w:jc w:val="left"/>
      </w:pPr>
      <w:bookmarkStart w:id="0" w:name="bookmark0"/>
      <w:r>
        <w:rPr>
          <w:color w:val="000000"/>
          <w:spacing w:val="0"/>
          <w:w w:val="100"/>
          <w:position w:val="0"/>
          <w:shd w:val="clear" w:color="auto" w:fill="auto"/>
          <w:lang w:val="pt-PT" w:eastAsia="pt-PT" w:bidi="pt-PT"/>
        </w:rPr>
        <w:t>01 PODER LEGISLATIVO</w:t>
      </w:r>
      <w:bookmarkEnd w:id="0"/>
    </w:p>
    <w:p>
      <w:pPr>
        <w:pStyle w:val="Style54"/>
        <w:keepNext/>
        <w:keepLines/>
        <w:widowControl w:val="0"/>
        <w:shd w:val="clear" w:color="auto" w:fill="auto"/>
        <w:bidi w:val="0"/>
        <w:spacing w:before="0" w:after="160" w:line="240" w:lineRule="auto"/>
        <w:ind w:left="460" w:right="0" w:firstLine="0"/>
        <w:jc w:val="left"/>
      </w:pPr>
      <w:bookmarkStart w:id="1" w:name="bookmark1"/>
      <w:r>
        <w:rPr>
          <w:color w:val="000000"/>
          <w:spacing w:val="0"/>
          <w:w w:val="100"/>
          <w:position w:val="0"/>
          <w:shd w:val="clear" w:color="auto" w:fill="auto"/>
          <w:lang w:val="pt-PT" w:eastAsia="pt-PT" w:bidi="pt-PT"/>
        </w:rPr>
        <w:t>01.001 CAMARA MUNICIPAL DE MAUES</w:t>
      </w:r>
      <w:bookmarkEnd w:id="1"/>
    </w:p>
    <w:tbl>
      <w:tblPr>
        <w:tblOverlap w:val="never"/>
        <w:jc w:val="center"/>
        <w:tblLayout w:type="fixed"/>
      </w:tblPr>
      <w:tblGrid>
        <w:gridCol w:w="1128"/>
        <w:gridCol w:w="4637"/>
        <w:gridCol w:w="1474"/>
        <w:gridCol w:w="1406"/>
        <w:gridCol w:w="1416"/>
        <w:gridCol w:w="1426"/>
        <w:gridCol w:w="1426"/>
        <w:gridCol w:w="1267"/>
      </w:tblGrid>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0001</w:t>
            </w:r>
          </w:p>
        </w:tc>
        <w:tc>
          <w:tcPr>
            <w:gridSpan w:val="7"/>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ATUACAO LEGISLATIVA</w:t>
            </w:r>
          </w:p>
        </w:tc>
      </w:tr>
      <w:tr>
        <w:trPr>
          <w:trHeight w:val="27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01.031.1.001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AMPLIACAO E REFORMA DO PREDIO DA CAMARA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02"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4.4.90.51.00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Obras e Instalações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30.791,79</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326"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30.791,79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278"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0001</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ATUACAO LEGISLATIVA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01.031.2.001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MANUTENCAO E FUNCIONAMENTO DA CAMARA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6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77.467,50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80.953,54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84.191,68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87.390,96</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2.722.516,37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2.662.951,67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4.061.156,22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4.243.908,25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4.413.664,58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4.581.383,83</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417.493,47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215.434,09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402.831,00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420.958,40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437.796,74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454.433,02</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3.1.90.94.00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Trabalhistas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83.453,04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213.832,05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150.588,98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164.785,76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161.907,08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168.383,36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174.781,93</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3.2.90.21.00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Juros sobre a Dívida por Contrato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1.165,22</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90.406,00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98.560,00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134.277,00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140.319,47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145.932,25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151.477,68</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1.338.038,63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1.586.276,93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645.541,84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674.591,22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701.574,87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728.234,72</w:t>
            </w:r>
          </w:p>
        </w:tc>
      </w:tr>
      <w:tr>
        <w:trPr>
          <w:trHeight w:val="22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33.220,00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31.524,00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34.956,39</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Serviços de Consultoria</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255.600,00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229.480,00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361.515,00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377.783,18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392.894,51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407.824,50</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17.850,00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41.316,00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43.175,22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44.902,23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46.608,51</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1.585.062,92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1.579.185,28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723.030,00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755.566,35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785.789,00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815.648,98</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3.3.90.46.00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Auxílio-Alimentação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316.500,00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409.028,40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427.434,68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444.532,07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461.424,29</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3.3.90.47.00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Obrigações Tributárias e Contributivas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3.399,47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11.652,13</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3.3.90.91.00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Sentenças Judiciais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3.495,64</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3.607,34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8.263,20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8.635,04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8.980,44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9.321,70</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215.631,42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17.353,10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25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4.6.90.71.00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Principal da Dívida Contratual Resgatado</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2.065,80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2.158,76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2.245,11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6.916.867,64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7.115.882,88</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7.175.329,06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7.498.218,89</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7.798.147,66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8.094.477,27</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6.947.659,43</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7.115.882,88</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7.278.619,06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7.606.156,94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7.910.403,23</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8.210.998,55</w:t>
            </w:r>
          </w:p>
        </w:tc>
      </w:tr>
      <w:tr>
        <w:trPr>
          <w:trHeight w:val="379" w:hRule="exact"/>
        </w:trPr>
        <w:tc>
          <w:tcPr>
            <w:tcBorders/>
            <w:shd w:val="clear" w:color="auto" w:fill="FFFFFF"/>
            <w:vAlign w:val="top"/>
          </w:tcPr>
          <w:p>
            <w:pPr>
              <w:widowControl w:val="0"/>
              <w:rPr>
                <w:sz w:val="10"/>
                <w:szCs w:val="10"/>
              </w:rPr>
            </w:pPr>
          </w:p>
        </w:tc>
        <w:tc>
          <w:tcPr>
            <w:tcBorders>
              <w:top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Órgão</w:t>
            </w:r>
          </w:p>
        </w:tc>
        <w:tc>
          <w:tcPr>
            <w:tcBorders>
              <w:top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6.947.659,43</w:t>
            </w:r>
          </w:p>
        </w:tc>
        <w:tc>
          <w:tcPr>
            <w:tcBorders>
              <w:top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7.115.882,88</w:t>
            </w:r>
          </w:p>
        </w:tc>
        <w:tc>
          <w:tcPr>
            <w:tcBorders>
              <w:top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7.278.619,06</w:t>
            </w:r>
          </w:p>
        </w:tc>
        <w:tc>
          <w:tcPr>
            <w:tcBorders>
              <w:top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7.606.156,94</w:t>
            </w:r>
          </w:p>
        </w:tc>
        <w:tc>
          <w:tcPr>
            <w:tcBorders>
              <w:top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7.910.403,23</w:t>
            </w:r>
          </w:p>
        </w:tc>
        <w:tc>
          <w:tcPr>
            <w:tcBorders>
              <w:top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8.210.998,55</w:t>
            </w:r>
          </w:p>
        </w:tc>
      </w:tr>
    </w:tbl>
    <w:p>
      <w:pPr>
        <w:widowControl w:val="0"/>
        <w:spacing w:line="1" w:lineRule="exact"/>
      </w:pP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p>
      <w:pPr>
        <w:pStyle w:val="Style54"/>
        <w:keepNext/>
        <w:keepLines/>
        <w:widowControl w:val="0"/>
        <w:shd w:val="clear" w:color="auto" w:fill="auto"/>
        <w:bidi w:val="0"/>
        <w:spacing w:before="0" w:after="0" w:line="240" w:lineRule="auto"/>
        <w:ind w:left="860" w:right="0" w:firstLine="0"/>
        <w:jc w:val="left"/>
      </w:pPr>
      <w:bookmarkStart w:id="2" w:name="bookmark2"/>
      <w:r>
        <w:rPr>
          <w:color w:val="000000"/>
          <w:spacing w:val="0"/>
          <w:w w:val="100"/>
          <w:position w:val="0"/>
          <w:shd w:val="clear" w:color="auto" w:fill="auto"/>
          <w:lang w:val="pt-PT" w:eastAsia="pt-PT" w:bidi="pt-PT"/>
        </w:rPr>
        <w:t>02 PODER EXECUTIVO</w:t>
      </w:r>
      <w:bookmarkEnd w:id="2"/>
    </w:p>
    <w:p>
      <w:pPr>
        <w:pStyle w:val="Style54"/>
        <w:keepNext/>
        <w:keepLines/>
        <w:widowControl w:val="0"/>
        <w:shd w:val="clear" w:color="auto" w:fill="auto"/>
        <w:bidi w:val="0"/>
        <w:spacing w:before="0" w:after="140" w:line="240" w:lineRule="auto"/>
        <w:ind w:left="460" w:right="0" w:firstLine="0"/>
        <w:jc w:val="left"/>
      </w:pPr>
      <w:bookmarkStart w:id="3" w:name="bookmark3"/>
      <w:r>
        <w:rPr>
          <w:color w:val="000000"/>
          <w:spacing w:val="0"/>
          <w:w w:val="100"/>
          <w:position w:val="0"/>
          <w:shd w:val="clear" w:color="auto" w:fill="auto"/>
          <w:lang w:val="pt-PT" w:eastAsia="pt-PT" w:bidi="pt-PT"/>
        </w:rPr>
        <w:t>02.001 SECRETARIA EXECUTIVA DE GOVERNO - SEGOV</w:t>
      </w:r>
      <w:bookmarkEnd w:id="3"/>
    </w:p>
    <w:p>
      <w:pPr>
        <w:pStyle w:val="Style29"/>
        <w:keepNext w:val="0"/>
        <w:keepLines w:val="0"/>
        <w:widowControl w:val="0"/>
        <w:shd w:val="clear" w:color="auto" w:fill="auto"/>
        <w:bidi w:val="0"/>
        <w:spacing w:before="0" w:after="0" w:line="240" w:lineRule="auto"/>
        <w:ind w:left="660" w:right="0" w:firstLine="0"/>
        <w:jc w:val="left"/>
      </w:pPr>
      <w:r>
        <w:rPr>
          <w:color w:val="000000"/>
          <w:spacing w:val="0"/>
          <w:w w:val="100"/>
          <w:position w:val="0"/>
          <w:shd w:val="clear" w:color="auto" w:fill="auto"/>
          <w:lang w:val="pt-PT" w:eastAsia="pt-PT" w:bidi="pt-PT"/>
        </w:rPr>
        <w:t>0011 APOIO ADMINISTRATIVO</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04.122.2.002 FUNCIONAMENTO DO ITERMAUES</w:t>
      </w:r>
    </w:p>
    <w:tbl>
      <w:tblPr>
        <w:tblOverlap w:val="never"/>
        <w:jc w:val="center"/>
        <w:tblLayout w:type="fixed"/>
      </w:tblPr>
      <w:tblGrid>
        <w:gridCol w:w="1138"/>
        <w:gridCol w:w="4603"/>
        <w:gridCol w:w="1502"/>
        <w:gridCol w:w="1469"/>
        <w:gridCol w:w="1416"/>
        <w:gridCol w:w="1426"/>
        <w:gridCol w:w="1426"/>
        <w:gridCol w:w="1186"/>
      </w:tblGrid>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175.593,00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183.494,69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190.834,48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198.086,19</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644.677,58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675.037,77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291.303,22</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4.050,59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11.652,13</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16.526,40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17.270,09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17.960,89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18.643,40</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6.245,15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1.920,00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6.197,40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6.476,28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6.735,33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6.991,27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99.436,47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175.229,93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72.303,00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75.556,64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78.578,91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81.564,91</w:t>
            </w:r>
          </w:p>
        </w:tc>
      </w:tr>
      <w:tr>
        <w:trPr>
          <w:trHeight w:val="22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11.652,13</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Serviços de Consultoria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36.151,50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37.778,32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39.289,45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40.782,45</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70.703,68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586.659,27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1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3.3.90.47.00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Obrigações Tributárias e Contributivas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174,21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16.526,40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17.270,09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17.960,89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18.643,40</w:t>
            </w:r>
          </w:p>
        </w:tc>
      </w:tr>
      <w:tr>
        <w:trPr>
          <w:trHeight w:val="326"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8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887.633,47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1.513.101,18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695.141,70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726.423,10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755.480,02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784.188,26</w:t>
            </w:r>
          </w:p>
        </w:tc>
      </w:tr>
      <w:tr>
        <w:trPr>
          <w:trHeight w:val="283"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0011 .</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APOIO ADMINISTRATIVO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04.122.2.003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MANUT. E FUNC. SEC. EXECUTIVA DE GOVERNO-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9"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165.264,00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172.700,88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179.608,92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186.434,06</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2.808.004,07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3.376.928,44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323.814,15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336.766,72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349.563,86</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42.407,53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3.1.90.94.00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Trabalhistas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10.371,80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24.983,20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3.327,77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43.166,66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30.520,00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41.316,00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43.175,22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44.902,23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46.608,51</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299.751,57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570.805,85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320.375,45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334.792,35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348.184,04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361.415,03</w:t>
            </w:r>
          </w:p>
        </w:tc>
      </w:tr>
      <w:tr>
        <w:trPr>
          <w:trHeight w:val="23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1.136.369,91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817.945,79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82.632,00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86.350,44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89.804,46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93.217,03</w:t>
            </w:r>
          </w:p>
        </w:tc>
      </w:tr>
      <w:tr>
        <w:trPr>
          <w:trHeight w:val="2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Serviços de Consultoria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180.757,50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188.891,59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196.447,25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203.912,25</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1.097.140,20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898.228,30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152.869,20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159.748,31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166.138,24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172.451,49</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1.100,62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3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36.151,50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37.778,32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39.289,45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40.782,45</w:t>
            </w:r>
          </w:p>
        </w:tc>
      </w:tr>
    </w:tbl>
    <w:p>
      <w:pPr>
        <w:sectPr>
          <w:headerReference w:type="default" r:id="rId49"/>
          <w:footerReference w:type="default" r:id="rId50"/>
          <w:footnotePr>
            <w:pos w:val="pageBottom"/>
            <w:numFmt w:val="decimal"/>
            <w:numRestart w:val="continuous"/>
          </w:footnotePr>
          <w:pgSz w:w="16840" w:h="11900" w:orient="landscape"/>
          <w:pgMar w:top="2062" w:left="1204" w:right="1101" w:bottom="406" w:header="0" w:footer="3" w:gutter="0"/>
          <w:pgNumType w:start="1"/>
          <w:cols w:space="720"/>
          <w:noEndnote/>
          <w:rtlGutter w:val="0"/>
          <w:docGrid w:linePitch="360"/>
        </w:sectPr>
      </w:pPr>
    </w:p>
    <w:tbl>
      <w:tblPr>
        <w:tblOverlap w:val="never"/>
        <w:jc w:val="left"/>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framePr w:w="14093" w:h="730" w:vSpace="427" w:wrap="none" w:hAnchor="page" w:x="1202" w:y="-137"/>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framePr w:w="14093" w:h="730" w:vSpace="427" w:wrap="none" w:hAnchor="page" w:x="1202" w:y="-137"/>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framePr w:w="14093" w:h="730" w:vSpace="427" w:wrap="none" w:hAnchor="page" w:x="1202" w:y="-137"/>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framePr w:w="14093" w:h="730" w:vSpace="427" w:wrap="none" w:hAnchor="page" w:x="1202" w:y="-137"/>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framePr w:w="14093" w:h="730" w:vSpace="427" w:wrap="none" w:hAnchor="page" w:x="1202" w:y="-137"/>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framePr w:w="14093" w:h="730" w:vSpace="427" w:wrap="none" w:hAnchor="page" w:x="1202" w:y="-137"/>
            </w:pPr>
          </w:p>
        </w:tc>
        <w:tc>
          <w:tcPr>
            <w:vMerge/>
            <w:tcBorders>
              <w:left w:val="single" w:sz="4"/>
              <w:bottom w:val="single" w:sz="4"/>
            </w:tcBorders>
            <w:shd w:val="clear" w:color="auto" w:fill="FFFFFF"/>
            <w:vAlign w:val="center"/>
          </w:tcPr>
          <w:p>
            <w:pPr>
              <w:framePr w:w="14093" w:h="730" w:vSpace="427" w:wrap="none" w:hAnchor="page" w:x="1202" w:y="-137"/>
            </w:pPr>
          </w:p>
        </w:tc>
        <w:tc>
          <w:tcPr>
            <w:tcBorders>
              <w:top w:val="single" w:sz="4"/>
              <w:left w:val="single" w:sz="4"/>
              <w:bottom w:val="single" w:sz="4"/>
            </w:tcBorders>
            <w:shd w:val="clear" w:color="auto" w:fill="FFFFFF"/>
            <w:vAlign w:val="center"/>
          </w:tcPr>
          <w:p>
            <w:pPr>
              <w:pStyle w:val="Style23"/>
              <w:keepNext w:val="0"/>
              <w:keepLines w:val="0"/>
              <w:framePr w:w="14093" w:h="730" w:vSpace="427" w:wrap="none" w:hAnchor="page" w:x="1202" w:y="-137"/>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framePr w:w="14093" w:h="730" w:vSpace="427" w:wrap="none" w:hAnchor="page" w:x="1202" w:y="-137"/>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framePr w:w="14093" w:h="730" w:vSpace="427" w:wrap="none" w:hAnchor="page" w:x="1202" w:y="-137"/>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framePr w:w="14093" w:h="730" w:vSpace="427" w:wrap="none" w:hAnchor="page" w:x="1202" w:y="-137"/>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framePr w:w="14093" w:h="730" w:vSpace="427" w:wrap="none" w:hAnchor="page" w:x="1202" w:y="-137"/>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framePr w:w="14093" w:h="730" w:vSpace="427" w:wrap="none" w:hAnchor="page" w:x="1202" w:y="-137"/>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framePr w:w="14093" w:h="730" w:vSpace="427" w:wrap="none" w:hAnchor="page" w:x="1202" w:y="-137"/>
        <w:widowControl w:val="0"/>
        <w:spacing w:line="1" w:lineRule="exact"/>
      </w:pPr>
    </w:p>
    <w:p>
      <w:pPr>
        <w:pStyle w:val="Style33"/>
        <w:keepNext w:val="0"/>
        <w:keepLines w:val="0"/>
        <w:framePr w:w="979" w:h="221" w:wrap="none" w:hAnchor="page" w:x="7202" w:y="7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5.461.640,13</w:t>
      </w:r>
    </w:p>
    <w:p>
      <w:pPr>
        <w:pStyle w:val="Style33"/>
        <w:keepNext w:val="0"/>
        <w:keepLines w:val="0"/>
        <w:framePr w:w="974" w:h="221" w:wrap="none" w:hAnchor="page" w:x="8613" w:y="7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5.719.439,58</w:t>
      </w:r>
    </w:p>
    <w:p>
      <w:pPr>
        <w:pStyle w:val="Style33"/>
        <w:keepNext w:val="0"/>
        <w:keepLines w:val="0"/>
        <w:framePr w:w="970" w:h="221" w:wrap="none" w:hAnchor="page" w:x="10029" w:y="7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1.490.651,15</w:t>
      </w:r>
    </w:p>
    <w:p>
      <w:pPr>
        <w:pStyle w:val="Style33"/>
        <w:keepNext w:val="0"/>
        <w:keepLines w:val="0"/>
        <w:framePr w:w="970" w:h="221" w:wrap="none" w:hAnchor="page" w:x="11455" w:y="7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1.557.730,46</w:t>
      </w:r>
    </w:p>
    <w:p>
      <w:pPr>
        <w:pStyle w:val="Style33"/>
        <w:keepNext w:val="0"/>
        <w:keepLines w:val="0"/>
        <w:framePr w:w="970" w:h="221" w:wrap="none" w:hAnchor="page" w:x="12880" w:y="7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1.620.039,68</w:t>
      </w:r>
    </w:p>
    <w:p>
      <w:pPr>
        <w:pStyle w:val="Style33"/>
        <w:keepNext w:val="0"/>
        <w:keepLines w:val="0"/>
        <w:framePr w:w="970" w:h="221" w:wrap="none" w:hAnchor="page" w:x="14306" w:y="7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1.681.601,20</w:t>
      </w:r>
    </w:p>
    <w:p>
      <w:pPr>
        <w:pStyle w:val="Style29"/>
        <w:keepNext w:val="0"/>
        <w:keepLines w:val="0"/>
        <w:framePr w:w="5424" w:h="816" w:wrap="none" w:hAnchor="page" w:x="1163" w:y="779"/>
        <w:widowControl w:val="0"/>
        <w:shd w:val="clear" w:color="auto" w:fill="auto"/>
        <w:bidi w:val="0"/>
        <w:spacing w:before="0" w:after="100" w:line="240" w:lineRule="auto"/>
        <w:ind w:left="0" w:right="0" w:firstLine="0"/>
        <w:jc w:val="right"/>
      </w:pPr>
      <w:r>
        <w:rPr>
          <w:color w:val="000000"/>
          <w:spacing w:val="0"/>
          <w:w w:val="100"/>
          <w:position w:val="0"/>
          <w:shd w:val="clear" w:color="auto" w:fill="auto"/>
          <w:lang w:val="pt-PT" w:eastAsia="pt-PT" w:bidi="pt-PT"/>
        </w:rPr>
        <w:t>Total do Projeto/Atividade</w:t>
      </w:r>
    </w:p>
    <w:p>
      <w:pPr>
        <w:pStyle w:val="Style29"/>
        <w:keepNext w:val="0"/>
        <w:keepLines w:val="0"/>
        <w:framePr w:w="5424" w:h="816" w:wrap="none" w:hAnchor="page" w:x="1163" w:y="779"/>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0022 DEFESA CIVIL</w:t>
      </w:r>
    </w:p>
    <w:p>
      <w:pPr>
        <w:pStyle w:val="Style29"/>
        <w:keepNext w:val="0"/>
        <w:keepLines w:val="0"/>
        <w:framePr w:w="5424" w:h="816" w:wrap="none" w:hAnchor="page" w:x="1163" w:y="779"/>
        <w:widowControl w:val="0"/>
        <w:shd w:val="clear" w:color="auto" w:fill="auto"/>
        <w:bidi w:val="0"/>
        <w:spacing w:before="0" w:after="60" w:line="240" w:lineRule="auto"/>
        <w:ind w:left="0" w:right="0" w:firstLine="0"/>
        <w:jc w:val="right"/>
      </w:pPr>
      <w:r>
        <w:rPr>
          <w:color w:val="000000"/>
          <w:spacing w:val="0"/>
          <w:w w:val="100"/>
          <w:position w:val="0"/>
          <w:shd w:val="clear" w:color="auto" w:fill="auto"/>
          <w:lang w:val="pt-PT" w:eastAsia="pt-PT" w:bidi="pt-PT"/>
        </w:rPr>
        <w:t>06.182.2.054 MANUTENCAO DA COORDENADORIA MUNICIPAL</w:t>
      </w:r>
    </w:p>
    <w:p>
      <w:pPr>
        <w:pStyle w:val="Style29"/>
        <w:keepNext w:val="0"/>
        <w:keepLines w:val="0"/>
        <w:framePr w:w="1042" w:h="230" w:wrap="none" w:hAnchor="page" w:x="1245" w:y="165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3.1.90.11.00</w:t>
      </w:r>
    </w:p>
    <w:p>
      <w:pPr>
        <w:pStyle w:val="Style29"/>
        <w:keepNext w:val="0"/>
        <w:keepLines w:val="0"/>
        <w:framePr w:w="3374" w:h="230" w:wrap="none" w:hAnchor="page" w:x="2416" w:y="165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Vencimentos e Vant. Fixas - Pessoal Civil</w:t>
      </w:r>
    </w:p>
    <w:p>
      <w:pPr>
        <w:pStyle w:val="Style29"/>
        <w:keepNext w:val="0"/>
        <w:keepLines w:val="0"/>
        <w:framePr w:w="1042" w:h="624" w:wrap="none" w:hAnchor="page" w:x="1245" w:y="188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3.1.90.13.00</w:t>
      </w:r>
    </w:p>
    <w:p>
      <w:pPr>
        <w:pStyle w:val="Style29"/>
        <w:keepNext w:val="0"/>
        <w:keepLines w:val="0"/>
        <w:framePr w:w="1042" w:h="624" w:wrap="none" w:hAnchor="page" w:x="1245" w:y="188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3.1.90.91.00</w:t>
      </w:r>
    </w:p>
    <w:p>
      <w:pPr>
        <w:pStyle w:val="Style29"/>
        <w:keepNext w:val="0"/>
        <w:keepLines w:val="0"/>
        <w:framePr w:w="1042" w:h="624" w:wrap="none" w:hAnchor="page" w:x="1245" w:y="188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3.3.90.14.00</w:t>
      </w:r>
    </w:p>
    <w:p>
      <w:pPr>
        <w:pStyle w:val="Style29"/>
        <w:keepNext w:val="0"/>
        <w:keepLines w:val="0"/>
        <w:framePr w:w="1771" w:h="624" w:wrap="none" w:hAnchor="page" w:x="2421" w:y="188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Obrigações Patronais</w:t>
      </w:r>
    </w:p>
    <w:p>
      <w:pPr>
        <w:pStyle w:val="Style29"/>
        <w:keepNext w:val="0"/>
        <w:keepLines w:val="0"/>
        <w:framePr w:w="1771" w:h="624" w:wrap="none" w:hAnchor="page" w:x="2421" w:y="1888"/>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Sentenças Judiciais Diárias - Civil</w:t>
      </w:r>
    </w:p>
    <w:p>
      <w:pPr>
        <w:pStyle w:val="Style29"/>
        <w:keepNext w:val="0"/>
        <w:keepLines w:val="0"/>
        <w:framePr w:w="1042" w:h="206" w:wrap="none" w:hAnchor="page" w:x="1245" w:y="25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3.3.90.30.00</w:t>
      </w:r>
    </w:p>
    <w:p>
      <w:pPr>
        <w:pStyle w:val="Style29"/>
        <w:keepNext w:val="0"/>
        <w:keepLines w:val="0"/>
        <w:framePr w:w="1747" w:h="206" w:wrap="none" w:hAnchor="page" w:x="2426" w:y="25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Material de Consumo</w:t>
      </w:r>
    </w:p>
    <w:p>
      <w:pPr>
        <w:pStyle w:val="Style29"/>
        <w:keepNext w:val="0"/>
        <w:keepLines w:val="0"/>
        <w:framePr w:w="1046" w:h="1714" w:wrap="none" w:hAnchor="page" w:x="1240" w:y="27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3.3.90.32.00</w:t>
      </w:r>
    </w:p>
    <w:p>
      <w:pPr>
        <w:pStyle w:val="Style29"/>
        <w:keepNext w:val="0"/>
        <w:keepLines w:val="0"/>
        <w:framePr w:w="1046" w:h="1714" w:wrap="none" w:hAnchor="page" w:x="1240" w:y="27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3.3.90.33.00</w:t>
      </w:r>
    </w:p>
    <w:p>
      <w:pPr>
        <w:pStyle w:val="Style29"/>
        <w:keepNext w:val="0"/>
        <w:keepLines w:val="0"/>
        <w:framePr w:w="1046" w:h="1714" w:wrap="none" w:hAnchor="page" w:x="1240" w:y="27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3.3.90.36.00</w:t>
      </w:r>
    </w:p>
    <w:p>
      <w:pPr>
        <w:pStyle w:val="Style29"/>
        <w:keepNext w:val="0"/>
        <w:keepLines w:val="0"/>
        <w:framePr w:w="1046" w:h="1714" w:wrap="none" w:hAnchor="page" w:x="1240" w:y="27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3.3.90.39.00</w:t>
      </w:r>
    </w:p>
    <w:p>
      <w:pPr>
        <w:pStyle w:val="Style29"/>
        <w:keepNext w:val="0"/>
        <w:keepLines w:val="0"/>
        <w:framePr w:w="1046" w:h="1714" w:wrap="none" w:hAnchor="page" w:x="1240" w:y="27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3.3.90.47.00</w:t>
      </w:r>
    </w:p>
    <w:p>
      <w:pPr>
        <w:pStyle w:val="Style29"/>
        <w:keepNext w:val="0"/>
        <w:keepLines w:val="0"/>
        <w:framePr w:w="1046" w:h="1714" w:wrap="none" w:hAnchor="page" w:x="1240" w:y="27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3.3.90.92.00</w:t>
      </w:r>
    </w:p>
    <w:p>
      <w:pPr>
        <w:pStyle w:val="Style29"/>
        <w:keepNext w:val="0"/>
        <w:keepLines w:val="0"/>
        <w:framePr w:w="1046" w:h="1714" w:wrap="none" w:hAnchor="page" w:x="1240" w:y="27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3.3.90.93.00</w:t>
      </w:r>
    </w:p>
    <w:p>
      <w:pPr>
        <w:pStyle w:val="Style29"/>
        <w:keepNext w:val="0"/>
        <w:keepLines w:val="0"/>
        <w:framePr w:w="1046" w:h="1714" w:wrap="none" w:hAnchor="page" w:x="1240" w:y="27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4.4.90.52.00</w:t>
      </w:r>
    </w:p>
    <w:p>
      <w:pPr>
        <w:pStyle w:val="Style29"/>
        <w:keepNext w:val="0"/>
        <w:keepLines w:val="0"/>
        <w:framePr w:w="3470" w:h="1723" w:wrap="none" w:hAnchor="page" w:x="2421" w:y="27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Material de Distribuição Gratuita</w:t>
      </w:r>
    </w:p>
    <w:p>
      <w:pPr>
        <w:pStyle w:val="Style29"/>
        <w:keepNext w:val="0"/>
        <w:keepLines w:val="0"/>
        <w:framePr w:w="3470" w:h="1723" w:wrap="none" w:hAnchor="page" w:x="2421" w:y="27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Passagens e Despesas com Locomoção Outros Serviços de Terc. - Pessoa Física Outros Serviços de Terc. - Pessoa Jurídica Obrigações Tributárias e Contributivas Despesas de Exercícios Anteriores </w:t>
      </w: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Restituições</w:t>
      </w:r>
    </w:p>
    <w:p>
      <w:pPr>
        <w:pStyle w:val="Style29"/>
        <w:keepNext w:val="0"/>
        <w:keepLines w:val="0"/>
        <w:framePr w:w="3470" w:h="1723" w:wrap="none" w:hAnchor="page" w:x="2421" w:y="27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Equipamentos e Material Permanente</w:t>
      </w:r>
    </w:p>
    <w:p>
      <w:pPr>
        <w:pStyle w:val="Style29"/>
        <w:keepNext w:val="0"/>
        <w:keepLines w:val="0"/>
        <w:framePr w:w="2102" w:h="254" w:wrap="none" w:hAnchor="page" w:x="4475" w:y="448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 do Projeto/Atividade</w:t>
      </w:r>
    </w:p>
    <w:p>
      <w:pPr>
        <w:pStyle w:val="Style29"/>
        <w:keepNext w:val="0"/>
        <w:keepLines w:val="0"/>
        <w:framePr w:w="1411" w:h="245" w:wrap="none" w:hAnchor="page" w:x="4475" w:y="485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 da Unidade</w:t>
      </w:r>
    </w:p>
    <w:tbl>
      <w:tblPr>
        <w:tblOverlap w:val="never"/>
        <w:jc w:val="left"/>
        <w:tblLayout w:type="fixed"/>
      </w:tblPr>
      <w:tblGrid>
        <w:gridCol w:w="1200"/>
        <w:gridCol w:w="1406"/>
        <w:gridCol w:w="1416"/>
        <w:gridCol w:w="1426"/>
        <w:gridCol w:w="1426"/>
        <w:gridCol w:w="1200"/>
      </w:tblGrid>
      <w:tr>
        <w:trPr>
          <w:trHeight w:val="187" w:hRule="exact"/>
        </w:trPr>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161.907,08</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168.383,36</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174.781,93</w:t>
            </w:r>
          </w:p>
        </w:tc>
      </w:tr>
      <w:tr>
        <w:trPr>
          <w:trHeight w:val="211" w:hRule="exact"/>
        </w:trPr>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6.197,40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6.476,28</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6.735,33</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6.991,27</w:t>
            </w:r>
          </w:p>
        </w:tc>
      </w:tr>
      <w:tr>
        <w:trPr>
          <w:trHeight w:val="206" w:hRule="exact"/>
        </w:trPr>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1" w:hRule="exact"/>
        </w:trPr>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522.456,50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121.350,00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613.619,00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641.231,86</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666.881,13</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692.222,61</w:t>
            </w:r>
          </w:p>
        </w:tc>
      </w:tr>
      <w:tr>
        <w:trPr>
          <w:trHeight w:val="211" w:hRule="exact"/>
        </w:trPr>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1.533.596,00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1.813.600,00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1.500.000,00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1.567.500,00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1.630.200,00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1.692.147,60</w:t>
            </w:r>
          </w:p>
        </w:tc>
      </w:tr>
      <w:tr>
        <w:trPr>
          <w:trHeight w:val="211" w:hRule="exact"/>
        </w:trPr>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06" w:hRule="exact"/>
        </w:trPr>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30.000,00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10.000,00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109.487,40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114.414,33</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118.990,90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123.512,55</w:t>
            </w:r>
          </w:p>
        </w:tc>
      </w:tr>
      <w:tr>
        <w:trPr>
          <w:trHeight w:val="211" w:hRule="exact"/>
        </w:trPr>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2.245,88</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113.619,00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118.731,86</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123.481,13</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128.173,41</w:t>
            </w:r>
          </w:p>
        </w:tc>
      </w:tr>
      <w:tr>
        <w:trPr>
          <w:trHeight w:val="211" w:hRule="exact"/>
        </w:trPr>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center"/>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14.980,99</w:t>
            </w:r>
          </w:p>
        </w:tc>
        <w:tc>
          <w:tcPr>
            <w:tcBorders/>
            <w:shd w:val="clear" w:color="auto" w:fill="FFFFFF"/>
            <w:vAlign w:val="center"/>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19.973,25</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64" w:hRule="exact"/>
        </w:trPr>
        <w:tc>
          <w:tcPr>
            <w:tcBorders/>
            <w:shd w:val="clear" w:color="auto" w:fill="FFFFFF"/>
            <w:vAlign w:val="center"/>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framePr w:w="8074" w:h="3418" w:wrap="none" w:hAnchor="page" w:x="7202" w:y="1677"/>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374" w:hRule="exact"/>
        </w:trPr>
        <w:tc>
          <w:tcPr>
            <w:tcBorders>
              <w:top w:val="single" w:sz="4"/>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2.103.279,37</w:t>
            </w:r>
          </w:p>
          <w:p>
            <w:pPr>
              <w:pStyle w:val="Style23"/>
              <w:keepNext w:val="0"/>
              <w:keepLines w:val="0"/>
              <w:framePr w:w="8074" w:h="3418" w:wrap="none" w:hAnchor="page" w:x="7202" w:y="1677"/>
              <w:widowControl w:val="0"/>
              <w:shd w:val="clear" w:color="auto" w:fill="auto"/>
              <w:tabs>
                <w:tab w:pos="8088" w:val="left"/>
              </w:tabs>
              <w:bidi w:val="0"/>
              <w:spacing w:before="0" w:after="0" w:line="192" w:lineRule="auto"/>
              <w:ind w:left="-480" w:right="0" w:firstLine="0"/>
              <w:jc w:val="left"/>
              <w:rPr>
                <w:sz w:val="16"/>
                <w:szCs w:val="16"/>
              </w:rPr>
            </w:pPr>
            <w:r>
              <w:rPr>
                <w:sz w:val="18"/>
                <w:szCs w:val="18"/>
                <w:u w:val="single"/>
              </w:rPr>
              <w:t xml:space="preserve"> </w:t>
              <w:tab/>
            </w:r>
          </w:p>
        </w:tc>
        <w:tc>
          <w:tcPr>
            <w:tcBorders>
              <w:top w:val="single" w:sz="4"/>
            </w:tcBorders>
            <w:shd w:val="clear" w:color="auto" w:fill="FFFFFF"/>
            <w:vAlign w:val="center"/>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1.965.023,25</w:t>
            </w:r>
          </w:p>
        </w:tc>
        <w:tc>
          <w:tcPr>
            <w:tcBorders>
              <w:top w:val="single" w:sz="4"/>
            </w:tcBorders>
            <w:shd w:val="clear" w:color="auto" w:fill="FFFFFF"/>
            <w:vAlign w:val="center"/>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2.534.009,30</w:t>
            </w:r>
          </w:p>
        </w:tc>
        <w:tc>
          <w:tcPr>
            <w:tcBorders>
              <w:top w:val="single" w:sz="4"/>
            </w:tcBorders>
            <w:shd w:val="clear" w:color="auto" w:fill="FFFFFF"/>
            <w:vAlign w:val="center"/>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2.648.039,72</w:t>
            </w:r>
          </w:p>
        </w:tc>
        <w:tc>
          <w:tcPr>
            <w:tcBorders>
              <w:top w:val="single" w:sz="4"/>
            </w:tcBorders>
            <w:shd w:val="clear" w:color="auto" w:fill="FFFFFF"/>
            <w:vAlign w:val="center"/>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2.753.961,31</w:t>
            </w:r>
          </w:p>
        </w:tc>
        <w:tc>
          <w:tcPr>
            <w:tcBorders>
              <w:top w:val="single" w:sz="4"/>
            </w:tcBorders>
            <w:shd w:val="clear" w:color="auto" w:fill="FFFFFF"/>
            <w:vAlign w:val="center"/>
          </w:tcPr>
          <w:p>
            <w:pPr>
              <w:pStyle w:val="Style23"/>
              <w:keepNext w:val="0"/>
              <w:keepLines w:val="0"/>
              <w:framePr w:w="8074" w:h="3418" w:wrap="none" w:hAnchor="page" w:x="7202" w:y="1677"/>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2.858.611,85</w:t>
            </w:r>
          </w:p>
        </w:tc>
      </w:tr>
      <w:tr>
        <w:trPr>
          <w:trHeight w:val="283" w:hRule="exact"/>
        </w:trPr>
        <w:tc>
          <w:tcPr>
            <w:tcBorders>
              <w:top w:val="single" w:sz="4"/>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8.452.552,97</w:t>
            </w:r>
          </w:p>
        </w:tc>
        <w:tc>
          <w:tcPr>
            <w:tcBorders>
              <w:top w:val="single" w:sz="4"/>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9.197.564,01</w:t>
            </w:r>
          </w:p>
        </w:tc>
        <w:tc>
          <w:tcPr>
            <w:tcBorders>
              <w:top w:val="single" w:sz="4"/>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4.719.802,15</w:t>
            </w:r>
          </w:p>
        </w:tc>
        <w:tc>
          <w:tcPr>
            <w:tcBorders>
              <w:top w:val="single" w:sz="4"/>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4.932.193,28</w:t>
            </w:r>
          </w:p>
        </w:tc>
        <w:tc>
          <w:tcPr>
            <w:tcBorders>
              <w:top w:val="single" w:sz="4"/>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5.129.481,01</w:t>
            </w:r>
          </w:p>
        </w:tc>
        <w:tc>
          <w:tcPr>
            <w:tcBorders>
              <w:top w:val="single" w:sz="4"/>
            </w:tcBorders>
            <w:shd w:val="clear" w:color="auto" w:fill="FFFFFF"/>
            <w:vAlign w:val="bottom"/>
          </w:tcPr>
          <w:p>
            <w:pPr>
              <w:pStyle w:val="Style23"/>
              <w:keepNext w:val="0"/>
              <w:keepLines w:val="0"/>
              <w:framePr w:w="8074" w:h="3418" w:wrap="none" w:hAnchor="page" w:x="7202" w:y="1677"/>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5.324.401,31</w:t>
            </w:r>
          </w:p>
        </w:tc>
      </w:tr>
    </w:tbl>
    <w:p>
      <w:pPr>
        <w:framePr w:w="8074" w:h="3418" w:wrap="none" w:hAnchor="page" w:x="7202" w:y="1677"/>
        <w:widowControl w:val="0"/>
        <w:spacing w:line="1"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22" w:line="1" w:lineRule="exact"/>
      </w:pPr>
    </w:p>
    <w:p>
      <w:pPr>
        <w:widowControl w:val="0"/>
        <w:spacing w:line="1" w:lineRule="exact"/>
        <w:sectPr>
          <w:footnotePr>
            <w:pos w:val="pageBottom"/>
            <w:numFmt w:val="decimal"/>
            <w:numRestart w:val="continuous"/>
          </w:footnotePr>
          <w:pgSz w:w="16840" w:h="11900" w:orient="landscape"/>
          <w:pgMar w:top="2207" w:left="1162" w:right="1546" w:bottom="2207" w:header="0" w:footer="3" w:gutter="0"/>
          <w:cols w:space="720"/>
          <w:noEndnote/>
          <w:rtlGutter w:val="0"/>
          <w:docGrid w:linePitch="360"/>
        </w:sectPr>
      </w:pP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p>
      <w:pPr>
        <w:pStyle w:val="Style54"/>
        <w:keepNext/>
        <w:keepLines/>
        <w:widowControl w:val="0"/>
        <w:shd w:val="clear" w:color="auto" w:fill="auto"/>
        <w:bidi w:val="0"/>
        <w:spacing w:before="0" w:after="0" w:line="240" w:lineRule="auto"/>
        <w:ind w:left="820" w:right="0" w:firstLine="0"/>
        <w:jc w:val="left"/>
      </w:pPr>
      <w:bookmarkStart w:id="4" w:name="bookmark4"/>
      <w:r>
        <w:rPr>
          <w:color w:val="000000"/>
          <w:spacing w:val="0"/>
          <w:w w:val="100"/>
          <w:position w:val="0"/>
          <w:shd w:val="clear" w:color="auto" w:fill="auto"/>
          <w:lang w:val="pt-PT" w:eastAsia="pt-PT" w:bidi="pt-PT"/>
        </w:rPr>
        <w:t>02 PODER EXECUTIVO</w:t>
      </w:r>
      <w:bookmarkEnd w:id="4"/>
    </w:p>
    <w:p>
      <w:pPr>
        <w:pStyle w:val="Style54"/>
        <w:keepNext/>
        <w:keepLines/>
        <w:widowControl w:val="0"/>
        <w:shd w:val="clear" w:color="auto" w:fill="auto"/>
        <w:bidi w:val="0"/>
        <w:spacing w:before="0" w:after="140" w:line="240" w:lineRule="auto"/>
        <w:ind w:left="420" w:right="0" w:firstLine="0"/>
        <w:jc w:val="left"/>
      </w:pPr>
      <w:bookmarkStart w:id="5" w:name="bookmark5"/>
      <w:r>
        <w:rPr>
          <w:color w:val="000000"/>
          <w:spacing w:val="0"/>
          <w:w w:val="100"/>
          <w:position w:val="0"/>
          <w:shd w:val="clear" w:color="auto" w:fill="auto"/>
          <w:lang w:val="pt-PT" w:eastAsia="pt-PT" w:bidi="pt-PT"/>
        </w:rPr>
        <w:t>02.002 SECRETARIA MUNICIPAL DE FINANCAS - SEMFI</w:t>
      </w:r>
      <w:bookmarkEnd w:id="5"/>
    </w:p>
    <w:p>
      <w:pPr>
        <w:pStyle w:val="Style29"/>
        <w:keepNext w:val="0"/>
        <w:keepLines w:val="0"/>
        <w:widowControl w:val="0"/>
        <w:shd w:val="clear" w:color="auto" w:fill="auto"/>
        <w:bidi w:val="0"/>
        <w:spacing w:before="0" w:after="0" w:line="240" w:lineRule="auto"/>
        <w:ind w:left="620" w:right="0" w:firstLine="0"/>
        <w:jc w:val="left"/>
      </w:pPr>
      <w:r>
        <w:rPr>
          <w:color w:val="000000"/>
          <w:spacing w:val="0"/>
          <w:w w:val="100"/>
          <w:position w:val="0"/>
          <w:shd w:val="clear" w:color="auto" w:fill="auto"/>
          <w:lang w:val="pt-PT" w:eastAsia="pt-PT" w:bidi="pt-PT"/>
        </w:rPr>
        <w:t>0011 APOIO ADMINISTRATIVO</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04.123.2.004 FUNC. DA SEC. MUNICIPAL DE FINANCAS</w:t>
      </w:r>
    </w:p>
    <w:tbl>
      <w:tblPr>
        <w:tblOverlap w:val="never"/>
        <w:jc w:val="center"/>
        <w:tblLayout w:type="fixed"/>
      </w:tblPr>
      <w:tblGrid>
        <w:gridCol w:w="1114"/>
        <w:gridCol w:w="4531"/>
        <w:gridCol w:w="1512"/>
        <w:gridCol w:w="1411"/>
        <w:gridCol w:w="1416"/>
        <w:gridCol w:w="1426"/>
        <w:gridCol w:w="1430"/>
        <w:gridCol w:w="1262"/>
      </w:tblGrid>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139.437,37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145.712,05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151.540,53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157.299,07</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1.312.636,31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1.390.639,65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1.206.580,00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1.260.876,10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1.311.311,14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1.361.140,96</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39.338,77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3.1.90.94.00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Trabalhistas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13.535,20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5.972,47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11.361,90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11.873,19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12.348,12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12.817,35</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3.3.90.08.00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Benefícios Assistenciais Servidor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2.605,68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27.200,00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37.120,00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46.480,50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48.572,12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50.515,00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52.434,57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89.759,56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103.649,90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454.476,00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474.927,42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493.924,52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512.693,65</w:t>
            </w:r>
          </w:p>
        </w:tc>
      </w:tr>
      <w:tr>
        <w:trPr>
          <w:trHeight w:val="22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14.070,00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11.400,00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84.697,80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88.509,20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92.049,57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95.547,45</w:t>
            </w:r>
          </w:p>
        </w:tc>
      </w:tr>
      <w:tr>
        <w:trPr>
          <w:trHeight w:val="2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Serviços de Consultoria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180.757,50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188.891,59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196.447,25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203.912,25</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129.112,50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134.922,56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140.319,46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145.651,60</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3.502.223,96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2.327.879,90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361.515,00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1.377.783,18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392.894,51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407.824,50</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2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e Restituições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4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36.151,50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37.778,32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39.289,45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40.782,45</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5.004.736,27</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3.883.775,13</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2.722.873,07</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3.845.402,36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2.959.218,45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3.071.668,76</w:t>
            </w:r>
          </w:p>
        </w:tc>
      </w:tr>
      <w:tr>
        <w:trPr>
          <w:trHeight w:val="283"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5.004.736,27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3.883.775,13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2.722.873,07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3.845.402,36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2.959.218,45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3.071.668,76</w:t>
            </w:r>
          </w:p>
        </w:tc>
      </w:tr>
    </w:tbl>
    <w:p>
      <w:pPr>
        <w:spacing w:lineRule="exact" w:line="1"/>
        <w:rPr>
          <w:sz w:val="2"/>
          <w:szCs w:val="2"/>
        </w:rPr>
      </w:pPr>
      <w:r>
        <w:br w:type="page"/>
      </w:r>
    </w:p>
    <w:p>
      <w:pPr>
        <w:widowControl w:val="0"/>
        <w:spacing w:line="1" w:lineRule="exact"/>
      </w:pPr>
      <w:r>
        <mc:AlternateContent>
          <mc:Choice Requires="wps">
            <w:drawing>
              <wp:anchor distT="130810" distB="158750" distL="0" distR="0" simplePos="0" relativeHeight="125829419" behindDoc="0" locked="0" layoutInCell="1" allowOverlap="1">
                <wp:simplePos x="0" y="0"/>
                <wp:positionH relativeFrom="page">
                  <wp:posOffset>800100</wp:posOffset>
                </wp:positionH>
                <wp:positionV relativeFrom="paragraph">
                  <wp:posOffset>130810</wp:posOffset>
                </wp:positionV>
                <wp:extent cx="628015" cy="173990"/>
                <wp:wrapTopAndBottom/>
                <wp:docPr id="103" name="Shape 103"/>
                <a:graphic xmlns:a="http://schemas.openxmlformats.org/drawingml/2006/main">
                  <a:graphicData uri="http://schemas.microsoft.com/office/word/2010/wordprocessingShape">
                    <wps:wsp>
                      <wps:cNvSpPr txBox="1"/>
                      <wps:spPr>
                        <a:xfrm>
                          <a:ext cx="628015" cy="1739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CÓDIGOS</w:t>
                            </w:r>
                          </w:p>
                        </w:txbxContent>
                      </wps:txbx>
                      <wps:bodyPr wrap="none" lIns="0" tIns="0" rIns="0" bIns="0">
                        <a:noAutoFit/>
                      </wps:bodyPr>
                    </wps:wsp>
                  </a:graphicData>
                </a:graphic>
              </wp:anchor>
            </w:drawing>
          </mc:Choice>
          <mc:Fallback>
            <w:pict>
              <v:shape id="_x0000_s1129" type="#_x0000_t202" style="position:absolute;margin-left:63.pt;margin-top:10.300000000000001pt;width:49.450000000000003pt;height:13.699999999999999pt;z-index:-125829334;mso-wrap-distance-left:0;mso-wrap-distance-top:10.300000000000001pt;mso-wrap-distance-right:0;mso-wrap-distance-bottom:12.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CÓDIGOS</w:t>
                      </w:r>
                    </w:p>
                  </w:txbxContent>
                </v:textbox>
                <w10:wrap type="topAndBottom" anchorx="page"/>
              </v:shape>
            </w:pict>
          </mc:Fallback>
        </mc:AlternateContent>
      </w:r>
      <w:r>
        <mc:AlternateContent>
          <mc:Choice Requires="wps">
            <w:drawing>
              <wp:anchor distT="130810" distB="156210" distL="0" distR="0" simplePos="0" relativeHeight="125829421" behindDoc="0" locked="0" layoutInCell="1" allowOverlap="1">
                <wp:simplePos x="0" y="0"/>
                <wp:positionH relativeFrom="page">
                  <wp:posOffset>2393950</wp:posOffset>
                </wp:positionH>
                <wp:positionV relativeFrom="paragraph">
                  <wp:posOffset>130810</wp:posOffset>
                </wp:positionV>
                <wp:extent cx="1048385" cy="176530"/>
                <wp:wrapTopAndBottom/>
                <wp:docPr id="105" name="Shape 105"/>
                <a:graphic xmlns:a="http://schemas.openxmlformats.org/drawingml/2006/main">
                  <a:graphicData uri="http://schemas.microsoft.com/office/word/2010/wordprocessingShape">
                    <wps:wsp>
                      <wps:cNvSpPr txBox="1"/>
                      <wps:spPr>
                        <a:xfrm>
                          <a:ext cx="1048385" cy="1765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xbxContent>
                      </wps:txbx>
                      <wps:bodyPr wrap="none" lIns="0" tIns="0" rIns="0" bIns="0">
                        <a:noAutoFit/>
                      </wps:bodyPr>
                    </wps:wsp>
                  </a:graphicData>
                </a:graphic>
              </wp:anchor>
            </w:drawing>
          </mc:Choice>
          <mc:Fallback>
            <w:pict>
              <v:shape id="_x0000_s1131" type="#_x0000_t202" style="position:absolute;margin-left:188.5pt;margin-top:10.300000000000001pt;width:82.549999999999997pt;height:13.9pt;z-index:-125829332;mso-wrap-distance-left:0;mso-wrap-distance-top:10.300000000000001pt;mso-wrap-distance-right:0;mso-wrap-distance-bottom:12.3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xbxContent>
                </v:textbox>
                <w10:wrap type="topAndBottom" anchorx="page"/>
              </v:shape>
            </w:pict>
          </mc:Fallback>
        </mc:AlternateContent>
      </w:r>
      <w:r>
        <mc:AlternateContent>
          <mc:Choice Requires="wps">
            <w:drawing>
              <wp:anchor distT="0" distB="0" distL="0" distR="0" simplePos="0" relativeHeight="125829423" behindDoc="0" locked="0" layoutInCell="1" allowOverlap="1">
                <wp:simplePos x="0" y="0"/>
                <wp:positionH relativeFrom="page">
                  <wp:posOffset>4342130</wp:posOffset>
                </wp:positionH>
                <wp:positionV relativeFrom="paragraph">
                  <wp:posOffset>0</wp:posOffset>
                </wp:positionV>
                <wp:extent cx="5376545" cy="463550"/>
                <wp:wrapTopAndBottom/>
                <wp:docPr id="107" name="Shape 107"/>
                <a:graphic xmlns:a="http://schemas.openxmlformats.org/drawingml/2006/main">
                  <a:graphicData uri="http://schemas.microsoft.com/office/word/2010/wordprocessingShape">
                    <wps:wsp>
                      <wps:cNvSpPr txBox="1"/>
                      <wps:spPr>
                        <a:xfrm>
                          <a:ext cx="5376545" cy="463550"/>
                        </a:xfrm>
                        <a:prstGeom prst="rect"/>
                        <a:noFill/>
                      </wps:spPr>
                      <wps:txbx>
                        <w:txbxContent>
                          <w:tbl>
                            <w:tblPr>
                              <w:tblOverlap w:val="never"/>
                              <w:jc w:val="left"/>
                              <w:tblLayout w:type="fixed"/>
                            </w:tblPr>
                            <w:tblGrid>
                              <w:gridCol w:w="1411"/>
                              <w:gridCol w:w="1411"/>
                              <w:gridCol w:w="1421"/>
                              <w:gridCol w:w="1426"/>
                              <w:gridCol w:w="1426"/>
                              <w:gridCol w:w="1373"/>
                            </w:tblGrid>
                            <w:tr>
                              <w:trPr>
                                <w:tblHeader/>
                                <w:trHeight w:val="365" w:hRule="exact"/>
                              </w:trPr>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line="1" w:lineRule="exact"/>
                            </w:pPr>
                          </w:p>
                        </w:txbxContent>
                      </wps:txbx>
                      <wps:bodyPr lIns="0" tIns="0" rIns="0" bIns="0">
                        <a:noAutoFit/>
                      </wps:bodyPr>
                    </wps:wsp>
                  </a:graphicData>
                </a:graphic>
              </wp:anchor>
            </w:drawing>
          </mc:Choice>
          <mc:Fallback>
            <w:pict>
              <v:shape id="_x0000_s1133" type="#_x0000_t202" style="position:absolute;margin-left:341.89999999999998pt;margin-top:0;width:423.35000000000002pt;height:36.5pt;z-index:-125829330;mso-wrap-distance-left:0;mso-wrap-distance-right:0;mso-position-horizontal-relative:page" filled="f" stroked="f">
                <v:textbox inset="0,0,0,0">
                  <w:txbxContent>
                    <w:tbl>
                      <w:tblPr>
                        <w:tblOverlap w:val="never"/>
                        <w:jc w:val="left"/>
                        <w:tblLayout w:type="fixed"/>
                      </w:tblPr>
                      <w:tblGrid>
                        <w:gridCol w:w="1411"/>
                        <w:gridCol w:w="1411"/>
                        <w:gridCol w:w="1421"/>
                        <w:gridCol w:w="1426"/>
                        <w:gridCol w:w="1426"/>
                        <w:gridCol w:w="1373"/>
                      </w:tblGrid>
                      <w:tr>
                        <w:trPr>
                          <w:tblHeader/>
                          <w:trHeight w:val="365" w:hRule="exact"/>
                        </w:trPr>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line="1" w:lineRule="exact"/>
                      </w:pPr>
                    </w:p>
                  </w:txbxContent>
                </v:textbox>
                <w10:wrap type="topAndBottom" anchorx="page"/>
              </v:shape>
            </w:pict>
          </mc:Fallback>
        </mc:AlternateContent>
      </w:r>
    </w:p>
    <w:p>
      <w:pPr>
        <w:pStyle w:val="Style54"/>
        <w:keepNext/>
        <w:keepLines/>
        <w:widowControl w:val="0"/>
        <w:shd w:val="clear" w:color="auto" w:fill="auto"/>
        <w:bidi w:val="0"/>
        <w:spacing w:before="0" w:after="0" w:line="240" w:lineRule="auto"/>
        <w:ind w:left="860" w:right="0" w:firstLine="0"/>
        <w:jc w:val="left"/>
      </w:pPr>
      <w:bookmarkStart w:id="6" w:name="bookmark6"/>
      <w:r>
        <w:rPr>
          <w:color w:val="000000"/>
          <w:spacing w:val="0"/>
          <w:w w:val="100"/>
          <w:position w:val="0"/>
          <w:shd w:val="clear" w:color="auto" w:fill="auto"/>
          <w:lang w:val="pt-PT" w:eastAsia="pt-PT" w:bidi="pt-PT"/>
        </w:rPr>
        <w:t>02 PODER EXECUTIVO</w:t>
      </w:r>
      <w:bookmarkEnd w:id="6"/>
    </w:p>
    <w:p>
      <w:pPr>
        <w:pStyle w:val="Style54"/>
        <w:keepNext/>
        <w:keepLines/>
        <w:widowControl w:val="0"/>
        <w:shd w:val="clear" w:color="auto" w:fill="auto"/>
        <w:bidi w:val="0"/>
        <w:spacing w:before="0" w:after="140" w:line="240" w:lineRule="auto"/>
        <w:ind w:left="460" w:right="0" w:firstLine="0"/>
        <w:jc w:val="left"/>
      </w:pPr>
      <w:bookmarkStart w:id="7" w:name="bookmark7"/>
      <w:r>
        <w:rPr>
          <w:color w:val="000000"/>
          <w:spacing w:val="0"/>
          <w:w w:val="100"/>
          <w:position w:val="0"/>
          <w:shd w:val="clear" w:color="auto" w:fill="auto"/>
          <w:lang w:val="pt-PT" w:eastAsia="pt-PT" w:bidi="pt-PT"/>
        </w:rPr>
        <w:t>02.003 SECRETARIA MUN. DE ADM. E PLANEJAMENTO - SEPLAN</w:t>
      </w:r>
      <w:bookmarkEnd w:id="7"/>
    </w:p>
    <w:p>
      <w:pPr>
        <w:pStyle w:val="Style29"/>
        <w:keepNext w:val="0"/>
        <w:keepLines w:val="0"/>
        <w:widowControl w:val="0"/>
        <w:shd w:val="clear" w:color="auto" w:fill="auto"/>
        <w:bidi w:val="0"/>
        <w:spacing w:before="0" w:after="0" w:line="240" w:lineRule="auto"/>
        <w:ind w:left="680" w:right="0" w:firstLine="0"/>
        <w:jc w:val="left"/>
      </w:pPr>
      <w:r>
        <w:rPr>
          <w:color w:val="000000"/>
          <w:spacing w:val="0"/>
          <w:w w:val="100"/>
          <w:position w:val="0"/>
          <w:shd w:val="clear" w:color="auto" w:fill="auto"/>
          <w:lang w:val="pt-PT" w:eastAsia="pt-PT" w:bidi="pt-PT"/>
        </w:rPr>
        <w:t>0011 APOIO ADMINISTRATIVO</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 xml:space="preserve">04.122.2.005 FUNCIONAMENTO DE SEC. </w:t>
      </w:r>
      <w:r>
        <w:rPr>
          <w:color w:val="000000"/>
          <w:spacing w:val="0"/>
          <w:w w:val="100"/>
          <w:position w:val="0"/>
          <w:shd w:val="clear" w:color="auto" w:fill="auto"/>
          <w:lang w:val="pt-PT" w:eastAsia="pt-PT" w:bidi="pt-PT"/>
        </w:rPr>
        <w:t>MUN.DE</w:t>
      </w:r>
      <w:r>
        <w:rPr>
          <w:color w:val="000000"/>
          <w:spacing w:val="0"/>
          <w:w w:val="100"/>
          <w:position w:val="0"/>
          <w:shd w:val="clear" w:color="auto" w:fill="auto"/>
          <w:lang w:val="pt-PT" w:eastAsia="pt-PT" w:bidi="pt-PT"/>
        </w:rPr>
        <w:t xml:space="preserve"> ADM.</w:t>
      </w:r>
    </w:p>
    <w:tbl>
      <w:tblPr>
        <w:tblOverlap w:val="never"/>
        <w:jc w:val="center"/>
        <w:tblLayout w:type="fixed"/>
      </w:tblPr>
      <w:tblGrid>
        <w:gridCol w:w="1114"/>
        <w:gridCol w:w="4531"/>
        <w:gridCol w:w="1517"/>
        <w:gridCol w:w="1411"/>
        <w:gridCol w:w="1411"/>
        <w:gridCol w:w="1430"/>
        <w:gridCol w:w="1426"/>
        <w:gridCol w:w="1262"/>
      </w:tblGrid>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98.477,80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28.710,65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291.303,22</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2.579.151,83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3.248.948,84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1.906.814,53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2.992.621,18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2.072.326,03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2.151.074,42</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68.113,89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5.445,31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206.580,00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215.876,10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224.511,14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233.042,56</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Trabalhistas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40.449,57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14.011,26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104.260,91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108.952,65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113.310,76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117.616,57</w:t>
            </w:r>
          </w:p>
        </w:tc>
      </w:tr>
      <w:tr>
        <w:trPr>
          <w:trHeight w:val="20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3.2.90.21.00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Juros sobre a Dívida por Contrato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3.3.90.08.00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Benefícios Assistenciais Servidor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81.920,14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10.488,89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14.820,00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23.360,00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46.480,50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48.572,12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50.515,00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52.434,57</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97.431,20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103.237,78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560.611,02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585.838,52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609.272,06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632.424,40</w:t>
            </w:r>
          </w:p>
        </w:tc>
      </w:tr>
      <w:tr>
        <w:trPr>
          <w:trHeight w:val="22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2.470,00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361.515,00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377.783,18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392.894,51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407.824,50</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133.900,00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116.400,00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477.999,43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499.509,40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519.489,78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539.230,39</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1.654.301,63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2.031.982,20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216.909,00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1.226.669,91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235.736,71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244.694,71</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3.3.90.47.00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Tributárias e Contributivas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1.324.041,18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1.422.504,45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361.515,00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377.783,18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392.894,51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407.824,50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11.861,36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1.522,76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82.632,00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86.350,44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89.804,46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93.217,03</w:t>
            </w:r>
          </w:p>
        </w:tc>
      </w:tr>
      <w:tr>
        <w:trPr>
          <w:trHeight w:val="22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e Restituições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16,04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2.065,80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2.158,76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2.245,11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w:t>
            </w:r>
          </w:p>
        </w:tc>
      </w:tr>
      <w:tr>
        <w:trPr>
          <w:trHeight w:val="24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27.888,30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29.143,27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30.309,00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31.460,74</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6.095.500,29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7.045.866,49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4.634.154,49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6.842.691,45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5.036.399,13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5.227.782,30</w:t>
            </w:r>
          </w:p>
        </w:tc>
      </w:tr>
    </w:tbl>
    <w:p>
      <w:pPr>
        <w:widowControl w:val="0"/>
        <w:spacing w:after="59" w:line="1" w:lineRule="exact"/>
      </w:pPr>
    </w:p>
    <w:p>
      <w:pPr>
        <w:pStyle w:val="Style29"/>
        <w:keepNext w:val="0"/>
        <w:keepLines w:val="0"/>
        <w:widowControl w:val="0"/>
        <w:shd w:val="clear" w:color="auto" w:fill="auto"/>
        <w:bidi w:val="0"/>
        <w:spacing w:before="0" w:after="0" w:line="240" w:lineRule="auto"/>
        <w:ind w:left="680" w:right="0" w:firstLine="0"/>
        <w:jc w:val="left"/>
      </w:pPr>
      <w:r>
        <w:rPr>
          <w:color w:val="000000"/>
          <w:spacing w:val="0"/>
          <w:w w:val="100"/>
          <w:position w:val="0"/>
          <w:shd w:val="clear" w:color="auto" w:fill="auto"/>
          <w:lang w:val="pt-PT" w:eastAsia="pt-PT" w:bidi="pt-PT"/>
        </w:rPr>
        <w:t>0012 CUMPRIMENTO DE SENTENCAS</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04.122.2.006 CUMPRIMENTO DE SENTENCAS JUDICIAIS</w:t>
      </w:r>
    </w:p>
    <w:tbl>
      <w:tblPr>
        <w:tblOverlap w:val="never"/>
        <w:jc w:val="center"/>
        <w:tblLayout w:type="fixed"/>
      </w:tblPr>
      <w:tblGrid>
        <w:gridCol w:w="1195"/>
        <w:gridCol w:w="4541"/>
        <w:gridCol w:w="1507"/>
        <w:gridCol w:w="1411"/>
        <w:gridCol w:w="1411"/>
        <w:gridCol w:w="1430"/>
        <w:gridCol w:w="1426"/>
        <w:gridCol w:w="1262"/>
      </w:tblGrid>
      <w:tr>
        <w:trPr>
          <w:trHeight w:val="2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3.1.90.91.00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Sentenças Judiciais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4.563,26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354.328,44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509.192,20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532.105,85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553.390,08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574.418,90</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3.3.90.91.00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Sentenças Judiciais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446.806,70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213.837,80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223.460,50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232.398,92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241.230,08</w:t>
            </w:r>
          </w:p>
        </w:tc>
      </w:tr>
      <w:tr>
        <w:trPr>
          <w:trHeight w:val="326"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4.563,26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801.135,14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723.030,00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755.566,35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785.789,00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815.648,98</w:t>
            </w:r>
          </w:p>
        </w:tc>
      </w:tr>
      <w:tr>
        <w:trPr>
          <w:trHeight w:val="283"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80" w:right="0" w:firstLine="0"/>
              <w:jc w:val="left"/>
            </w:pPr>
            <w:r>
              <w:rPr>
                <w:rFonts w:ascii="Arial" w:eastAsia="Arial" w:hAnsi="Arial" w:cs="Arial"/>
                <w:color w:val="000000"/>
                <w:spacing w:val="0"/>
                <w:w w:val="100"/>
                <w:position w:val="0"/>
                <w:shd w:val="clear" w:color="auto" w:fill="auto"/>
                <w:lang w:val="pt-PT" w:eastAsia="pt-PT" w:bidi="pt-PT"/>
              </w:rPr>
              <w:t>0174 ENCRGOS COM A DIVIDA FUNDADA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28.841.2.007 ENCARGOS COM A DIVIDA FUNDADA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3.2.90.21.00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Juros sobre a Dívida por Contrato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304.035,32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317.716,91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330.425,59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342.981,76</w:t>
            </w:r>
          </w:p>
        </w:tc>
      </w:tr>
      <w:tr>
        <w:trPr>
          <w:trHeight w:val="25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4.6.90.71.00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Principal da Dívida Contratual Resgatado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1.585.340,64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5.285.935,22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1.059.277,63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5.106.945,12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1.151.222,92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1.194.969,39</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1.585.340,64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5.285.935,22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1.363.312,95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5.424.662,03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1.481.648,51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1.537.951,15</w:t>
            </w:r>
          </w:p>
        </w:tc>
      </w:tr>
    </w:tbl>
    <w:p>
      <w:pPr>
        <w:sectPr>
          <w:footnotePr>
            <w:pos w:val="pageBottom"/>
            <w:numFmt w:val="decimal"/>
            <w:numRestart w:val="continuous"/>
          </w:footnotePr>
          <w:pgSz w:w="16840" w:h="11900" w:orient="landscape"/>
          <w:pgMar w:top="2136" w:left="1168" w:right="1487" w:bottom="840" w:header="0" w:footer="3" w:gutter="0"/>
          <w:cols w:space="720"/>
          <w:noEndnote/>
          <w:rtlGutter w:val="0"/>
          <w:docGrid w:linePitch="360"/>
        </w:sectPr>
      </w:pPr>
    </w:p>
    <w:p>
      <w:pPr>
        <w:pStyle w:val="Style33"/>
        <w:keepNext w:val="0"/>
        <w:keepLines w:val="0"/>
        <w:widowControl w:val="0"/>
        <w:shd w:val="clear" w:color="auto" w:fill="auto"/>
        <w:bidi w:val="0"/>
        <w:spacing w:before="0" w:after="0" w:line="240" w:lineRule="auto"/>
        <w:ind w:left="2563"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33"/>
        <w:keepNext w:val="0"/>
        <w:keepLines w:val="0"/>
        <w:widowControl w:val="0"/>
        <w:shd w:val="clear" w:color="auto" w:fill="auto"/>
        <w:bidi w:val="0"/>
        <w:spacing w:before="0" w:after="0" w:line="240" w:lineRule="auto"/>
        <w:ind w:left="2563"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33"/>
        <w:keepNext w:val="0"/>
        <w:keepLines w:val="0"/>
        <w:widowControl w:val="0"/>
        <w:shd w:val="clear" w:color="auto" w:fill="auto"/>
        <w:bidi w:val="0"/>
        <w:spacing w:before="0" w:after="0" w:line="240" w:lineRule="auto"/>
        <w:ind w:left="2563"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33"/>
        <w:keepNext w:val="0"/>
        <w:keepLines w:val="0"/>
        <w:widowControl w:val="0"/>
        <w:shd w:val="clear" w:color="auto" w:fill="auto"/>
        <w:bidi w:val="0"/>
        <w:spacing w:before="0" w:after="0" w:line="240" w:lineRule="auto"/>
        <w:ind w:left="2563"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33"/>
        <w:keepNext w:val="0"/>
        <w:keepLines w:val="0"/>
        <w:widowControl w:val="0"/>
        <w:shd w:val="clear" w:color="auto" w:fill="auto"/>
        <w:bidi w:val="0"/>
        <w:spacing w:before="0" w:after="0" w:line="240" w:lineRule="auto"/>
        <w:ind w:left="2563"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p>
      <w:pPr>
        <w:pStyle w:val="Style33"/>
        <w:keepNext w:val="0"/>
        <w:keepLines w:val="0"/>
        <w:widowControl w:val="0"/>
        <w:shd w:val="clear" w:color="auto" w:fill="auto"/>
        <w:bidi w:val="0"/>
        <w:spacing w:before="0" w:after="0" w:line="240" w:lineRule="auto"/>
        <w:ind w:left="12672"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Página: 6</w:t>
      </w:r>
    </w:p>
    <w:p>
      <w:pPr>
        <w:pStyle w:val="Style33"/>
        <w:keepNext w:val="0"/>
        <w:keepLines w:val="0"/>
        <w:widowControl w:val="0"/>
        <w:shd w:val="clear" w:color="auto" w:fill="auto"/>
        <w:bidi w:val="0"/>
        <w:spacing w:before="0" w:after="0" w:line="240" w:lineRule="auto"/>
        <w:ind w:left="12672"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pStyle w:val="Style33"/>
        <w:keepNext w:val="0"/>
        <w:keepLines w:val="0"/>
        <w:widowControl w:val="0"/>
        <w:shd w:val="clear" w:color="auto" w:fill="auto"/>
        <w:tabs>
          <w:tab w:pos="2722" w:val="left"/>
          <w:tab w:pos="4051" w:val="left"/>
          <w:tab w:pos="5539" w:val="left"/>
          <w:tab w:pos="6888" w:val="left"/>
          <w:tab w:pos="8390" w:val="left"/>
          <w:tab w:pos="9816" w:val="left"/>
        </w:tabs>
        <w:bidi w:val="0"/>
        <w:spacing w:before="0" w:after="0" w:line="240" w:lineRule="auto"/>
        <w:ind w:left="0" w:right="0" w:firstLine="0"/>
        <w:jc w:val="both"/>
        <w:sectPr>
          <w:headerReference w:type="default" r:id="rId51"/>
          <w:footerReference w:type="default" r:id="rId52"/>
          <w:footnotePr>
            <w:pos w:val="pageBottom"/>
            <w:numFmt w:val="decimal"/>
            <w:numRestart w:val="continuous"/>
          </w:footnotePr>
          <w:pgSz w:w="16840" w:h="11900" w:orient="landscape"/>
          <w:pgMar w:top="657" w:left="1201" w:right="1547" w:bottom="657" w:header="229" w:footer="229" w:gutter="0"/>
          <w:pgNumType w:start="45"/>
          <w:cols w:space="720"/>
          <w:noEndnote/>
          <w:rtlGutter w:val="0"/>
          <w:docGrid w:linePitch="360"/>
        </w:sectPr>
      </w:pPr>
      <w:r>
        <w:rPr>
          <w:color w:val="000000"/>
          <w:spacing w:val="0"/>
          <w:w w:val="100"/>
          <w:position w:val="0"/>
          <w:sz w:val="18"/>
          <w:szCs w:val="18"/>
          <w:shd w:val="clear" w:color="auto" w:fill="auto"/>
          <w:lang w:val="pt-PT" w:eastAsia="pt-PT" w:bidi="pt-PT"/>
        </w:rPr>
        <w:t>Total da Unidade</w:t>
        <w:tab/>
      </w:r>
      <w:r>
        <w:rPr>
          <w:color w:val="000000"/>
          <w:spacing w:val="0"/>
          <w:w w:val="100"/>
          <w:position w:val="0"/>
          <w:shd w:val="clear" w:color="auto" w:fill="auto"/>
          <w:lang w:val="pt-PT" w:eastAsia="pt-PT" w:bidi="pt-PT"/>
        </w:rPr>
        <w:t>7.685.404,19</w:t>
        <w:tab/>
        <w:t>13.132.936,85</w:t>
        <w:tab/>
        <w:t>6.720.497,44</w:t>
        <w:tab/>
        <w:t>13.022.919,83</w:t>
        <w:tab/>
        <w:t>7.303.836,64</w:t>
        <w:tab/>
        <w:t>7.581.382,43</w:t>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p>
      <w:pPr>
        <w:pStyle w:val="Style54"/>
        <w:keepNext/>
        <w:keepLines/>
        <w:widowControl w:val="0"/>
        <w:shd w:val="clear" w:color="auto" w:fill="auto"/>
        <w:bidi w:val="0"/>
        <w:spacing w:before="0" w:after="40" w:line="240" w:lineRule="auto"/>
        <w:ind w:left="840" w:right="0" w:firstLine="0"/>
        <w:jc w:val="left"/>
      </w:pPr>
      <w:bookmarkStart w:id="8" w:name="bookmark8"/>
      <w:r>
        <w:rPr>
          <w:color w:val="000000"/>
          <w:spacing w:val="0"/>
          <w:w w:val="100"/>
          <w:position w:val="0"/>
          <w:shd w:val="clear" w:color="auto" w:fill="auto"/>
          <w:lang w:val="pt-PT" w:eastAsia="pt-PT" w:bidi="pt-PT"/>
        </w:rPr>
        <w:t>02 PODER EXECUTIVO</w:t>
      </w:r>
      <w:bookmarkEnd w:id="8"/>
    </w:p>
    <w:p>
      <w:pPr>
        <w:pStyle w:val="Style54"/>
        <w:keepNext/>
        <w:keepLines/>
        <w:widowControl w:val="0"/>
        <w:shd w:val="clear" w:color="auto" w:fill="auto"/>
        <w:bidi w:val="0"/>
        <w:spacing w:before="0" w:after="140" w:line="240" w:lineRule="auto"/>
        <w:ind w:left="460" w:right="0" w:firstLine="0"/>
        <w:jc w:val="left"/>
      </w:pPr>
      <w:bookmarkStart w:id="9" w:name="bookmark9"/>
      <w:r>
        <w:rPr>
          <w:color w:val="000000"/>
          <w:spacing w:val="0"/>
          <w:w w:val="100"/>
          <w:position w:val="0"/>
          <w:shd w:val="clear" w:color="auto" w:fill="auto"/>
          <w:lang w:val="pt-PT" w:eastAsia="pt-PT" w:bidi="pt-PT"/>
        </w:rPr>
        <w:t>02.004 SECRETARIA MUNICIPAL DE EDUCACAO</w:t>
      </w:r>
      <w:bookmarkEnd w:id="9"/>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0062 QUALIDADE DO ENSINO FUNDAMENTAL</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12.361.1.040 REF., ADEQ. E CONSERV. DE UNIDADES EDUC.</w:t>
      </w:r>
    </w:p>
    <w:tbl>
      <w:tblPr>
        <w:tblOverlap w:val="never"/>
        <w:jc w:val="center"/>
        <w:tblLayout w:type="fixed"/>
      </w:tblPr>
      <w:tblGrid>
        <w:gridCol w:w="1114"/>
        <w:gridCol w:w="4536"/>
        <w:gridCol w:w="1814"/>
        <w:gridCol w:w="1166"/>
        <w:gridCol w:w="1416"/>
        <w:gridCol w:w="1426"/>
        <w:gridCol w:w="1368"/>
        <w:gridCol w:w="1253"/>
      </w:tblGrid>
      <w:tr>
        <w:trPr>
          <w:trHeight w:val="202"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1.969.484,63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258.229,13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269.849,44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280.643,42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291.307,87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Obras e Instalações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307.202,79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321.026,92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333.868,00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346.554,98</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335.851,57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350.964,89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365.003,49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378.873,62</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1.969.484,63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901.283,49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941.841,25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979.514,91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1.016.736,47</w:t>
            </w:r>
          </w:p>
        </w:tc>
      </w:tr>
    </w:tbl>
    <w:p>
      <w:pPr>
        <w:widowControl w:val="0"/>
        <w:spacing w:after="39" w:line="1" w:lineRule="exact"/>
      </w:pPr>
    </w:p>
    <w:p>
      <w:pPr>
        <w:pStyle w:val="Style33"/>
        <w:keepNext w:val="0"/>
        <w:keepLines w:val="0"/>
        <w:widowControl w:val="0"/>
        <w:shd w:val="clear" w:color="auto" w:fill="auto"/>
        <w:bidi w:val="0"/>
        <w:spacing w:before="0" w:after="0" w:line="240" w:lineRule="auto"/>
        <w:ind w:left="643" w:right="0" w:firstLine="0"/>
        <w:jc w:val="left"/>
        <w:rPr>
          <w:sz w:val="18"/>
          <w:szCs w:val="18"/>
        </w:rPr>
      </w:pPr>
      <w:r>
        <w:rPr>
          <w:color w:val="000000"/>
          <w:spacing w:val="0"/>
          <w:w w:val="100"/>
          <w:position w:val="0"/>
          <w:sz w:val="18"/>
          <w:szCs w:val="18"/>
          <w:shd w:val="clear" w:color="auto" w:fill="auto"/>
          <w:lang w:val="pt-PT" w:eastAsia="pt-PT" w:bidi="pt-PT"/>
        </w:rPr>
        <w:t>0062 QUALIDADE DO ENSINO FUNDAMENTAL</w:t>
      </w:r>
    </w:p>
    <w:tbl>
      <w:tblPr>
        <w:tblOverlap w:val="never"/>
        <w:jc w:val="center"/>
        <w:tblLayout w:type="fixed"/>
      </w:tblPr>
      <w:tblGrid>
        <w:gridCol w:w="5779"/>
        <w:gridCol w:w="1757"/>
        <w:gridCol w:w="1094"/>
        <w:gridCol w:w="1416"/>
        <w:gridCol w:w="1426"/>
        <w:gridCol w:w="1430"/>
        <w:gridCol w:w="1258"/>
      </w:tblGrid>
      <w:tr>
        <w:trPr>
          <w:trHeight w:val="24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12.361.1.041 CONST.AMPLIA. AQUISI. EQUIP. P/ UNIDADES</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728.329,34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2.211.833,67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2.311.366,19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2.403.820,84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2.495.166,03</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 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3.303.720,32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3.452.387,73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3.590.483,24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3.726.921,60</w:t>
            </w:r>
          </w:p>
        </w:tc>
      </w:tr>
      <w:tr>
        <w:trPr>
          <w:trHeight w:val="302"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728.329,34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5.515.553,99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5.763.753,92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5.994.304,08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6.222.087,63</w:t>
            </w:r>
          </w:p>
        </w:tc>
      </w:tr>
    </w:tbl>
    <w:p>
      <w:pPr>
        <w:widowControl w:val="0"/>
        <w:spacing w:after="39" w:line="1" w:lineRule="exact"/>
      </w:pPr>
    </w:p>
    <w:p>
      <w:pPr>
        <w:pStyle w:val="Style33"/>
        <w:keepNext w:val="0"/>
        <w:keepLines w:val="0"/>
        <w:widowControl w:val="0"/>
        <w:shd w:val="clear" w:color="auto" w:fill="auto"/>
        <w:bidi w:val="0"/>
        <w:spacing w:before="0" w:after="0" w:line="240" w:lineRule="auto"/>
        <w:ind w:left="643" w:right="0" w:firstLine="0"/>
        <w:jc w:val="left"/>
        <w:rPr>
          <w:sz w:val="18"/>
          <w:szCs w:val="18"/>
        </w:rPr>
      </w:pPr>
      <w:r>
        <w:rPr>
          <w:color w:val="000000"/>
          <w:spacing w:val="0"/>
          <w:w w:val="100"/>
          <w:position w:val="0"/>
          <w:sz w:val="18"/>
          <w:szCs w:val="18"/>
          <w:shd w:val="clear" w:color="auto" w:fill="auto"/>
          <w:lang w:val="pt-PT" w:eastAsia="pt-PT" w:bidi="pt-PT"/>
        </w:rPr>
        <w:t>0070 MANUTENCAO E REVITALIZACAO DA EDUCACAO INFANTIL</w:t>
      </w:r>
    </w:p>
    <w:tbl>
      <w:tblPr>
        <w:tblOverlap w:val="never"/>
        <w:jc w:val="center"/>
        <w:tblLayout w:type="fixed"/>
      </w:tblPr>
      <w:tblGrid>
        <w:gridCol w:w="1181"/>
        <w:gridCol w:w="4838"/>
        <w:gridCol w:w="1512"/>
        <w:gridCol w:w="1104"/>
        <w:gridCol w:w="1416"/>
        <w:gridCol w:w="1426"/>
        <w:gridCol w:w="1426"/>
        <w:gridCol w:w="1258"/>
      </w:tblGrid>
      <w:tr>
        <w:trPr>
          <w:trHeight w:val="245" w:hRule="exact"/>
        </w:trPr>
        <w:tc>
          <w:tcPr>
            <w:gridSpan w:val="8"/>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12.365.1.042 REF. ADEQ. CONSERV DE UNIDADES</w:t>
            </w: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Obras e Instalações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1.165.212,84</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1.200.449,37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1.254.469,59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1.304.648,37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1.354.225,01</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2.233.349,37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2.333.850,09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2.427.204,09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2.519.437,85</w:t>
            </w:r>
          </w:p>
        </w:tc>
      </w:tr>
    </w:tbl>
    <w:p>
      <w:pPr>
        <w:widowControl w:val="0"/>
        <w:spacing w:after="7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0062 QUALIDADE DO ENSINO FUNDAMENTAL</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12.361.2.008 MANUT. FUNCIONAM. CONS. MUN. DE EDUCACAO</w:t>
      </w:r>
    </w:p>
    <w:tbl>
      <w:tblPr>
        <w:tblOverlap w:val="never"/>
        <w:jc w:val="center"/>
        <w:tblLayout w:type="fixed"/>
      </w:tblPr>
      <w:tblGrid>
        <w:gridCol w:w="1109"/>
        <w:gridCol w:w="4838"/>
        <w:gridCol w:w="1512"/>
        <w:gridCol w:w="1214"/>
        <w:gridCol w:w="1416"/>
        <w:gridCol w:w="1426"/>
        <w:gridCol w:w="1426"/>
        <w:gridCol w:w="1147"/>
      </w:tblGrid>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6.197,40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6.476,28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6.735,33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6.991,27</w:t>
            </w:r>
          </w:p>
        </w:tc>
      </w:tr>
      <w:tr>
        <w:trPr>
          <w:trHeight w:val="2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302"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68.171,40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71.239,10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74.088,67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76.904,05</w:t>
            </w:r>
          </w:p>
        </w:tc>
      </w:tr>
    </w:tbl>
    <w:p>
      <w:pPr>
        <w:widowControl w:val="0"/>
        <w:spacing w:after="7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0062 QUALIDADE DO ENSINO FUNDAMENTAL</w:t>
      </w:r>
    </w:p>
    <w:p>
      <w:pPr>
        <w:pStyle w:val="Style2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12.361.2.010 ENCARGOS COM TRANSP. ESCOLAR - PNATE</w:t>
      </w: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0"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480" w:right="0" w:firstLine="4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500" w:right="0" w:firstLine="2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r>
        <w:trPr>
          <w:trHeight w:val="307"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671.758,52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122.126,12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127.621,80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500" w:right="0" w:firstLine="2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132.726,67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137.770,28</w:t>
            </w:r>
          </w:p>
        </w:tc>
      </w:tr>
      <w:tr>
        <w:trPr>
          <w:trHeight w:val="22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4.204.700,00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2.726.000,00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568.095,00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593.659,28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00" w:right="0" w:firstLine="2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617.405,65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640.867,06</w:t>
            </w:r>
          </w:p>
        </w:tc>
      </w:tr>
      <w:tr>
        <w:trPr>
          <w:trHeight w:val="24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366.725,94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258.225,00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500" w:right="0" w:firstLine="2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280.638,94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291.303,22</w:t>
            </w:r>
          </w:p>
        </w:tc>
      </w:tr>
      <w:tr>
        <w:trPr>
          <w:trHeight w:val="302"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5.243.184,46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2.726.000,00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948.446,12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991.126,21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1.030.771,26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1.069.940,56</w:t>
            </w:r>
          </w:p>
        </w:tc>
      </w:tr>
    </w:tbl>
    <w:p>
      <w:pPr>
        <w:widowControl w:val="0"/>
        <w:spacing w:after="59" w:line="1" w:lineRule="exact"/>
      </w:pPr>
    </w:p>
    <w:p>
      <w:pPr>
        <w:pStyle w:val="Style33"/>
        <w:keepNext w:val="0"/>
        <w:keepLines w:val="0"/>
        <w:widowControl w:val="0"/>
        <w:shd w:val="clear" w:color="auto" w:fill="auto"/>
        <w:bidi w:val="0"/>
        <w:spacing w:before="0" w:after="0" w:line="240" w:lineRule="auto"/>
        <w:ind w:left="643" w:right="0" w:firstLine="0"/>
        <w:jc w:val="left"/>
        <w:rPr>
          <w:sz w:val="18"/>
          <w:szCs w:val="18"/>
        </w:rPr>
      </w:pPr>
      <w:r>
        <w:rPr>
          <w:color w:val="000000"/>
          <w:spacing w:val="0"/>
          <w:w w:val="100"/>
          <w:position w:val="0"/>
          <w:sz w:val="18"/>
          <w:szCs w:val="18"/>
          <w:shd w:val="clear" w:color="auto" w:fill="auto"/>
          <w:lang w:val="pt-PT" w:eastAsia="pt-PT" w:bidi="pt-PT"/>
        </w:rPr>
        <w:t>0062 QUALIDADE DO ENSINO FUNDAMENTAL</w:t>
      </w:r>
    </w:p>
    <w:tbl>
      <w:tblPr>
        <w:tblOverlap w:val="never"/>
        <w:jc w:val="center"/>
        <w:tblLayout w:type="fixed"/>
      </w:tblPr>
      <w:tblGrid>
        <w:gridCol w:w="1118"/>
        <w:gridCol w:w="4598"/>
        <w:gridCol w:w="1507"/>
        <w:gridCol w:w="1474"/>
        <w:gridCol w:w="1421"/>
        <w:gridCol w:w="1426"/>
        <w:gridCol w:w="1426"/>
        <w:gridCol w:w="1181"/>
      </w:tblGrid>
      <w:tr>
        <w:trPr>
          <w:trHeight w:val="240" w:hRule="exact"/>
        </w:trPr>
        <w:tc>
          <w:tcPr>
            <w:gridSpan w:val="8"/>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12.361.2.011 ENCARGOS COM O PROGRAMA DE MERENDA</w:t>
            </w:r>
          </w:p>
        </w:tc>
      </w:tr>
      <w:tr>
        <w:trPr>
          <w:trHeight w:val="2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1.540.298,67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2.821.148,18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631.833,38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660.265,88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686.676,52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712.770,23</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77.467,50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80.953,54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84.191,68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87.390,96</w:t>
            </w:r>
          </w:p>
        </w:tc>
      </w:tr>
      <w:tr>
        <w:trPr>
          <w:trHeight w:val="302"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1.540.298,67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2.821.148,18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838.413,38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876.141,98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911.187,66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945.812,79</w:t>
            </w:r>
          </w:p>
        </w:tc>
      </w:tr>
    </w:tbl>
    <w:p>
      <w:pPr>
        <w:widowControl w:val="0"/>
        <w:spacing w:after="59" w:line="1" w:lineRule="exact"/>
      </w:pPr>
    </w:p>
    <w:p>
      <w:pPr>
        <w:pStyle w:val="Style29"/>
        <w:keepNext w:val="0"/>
        <w:keepLines w:val="0"/>
        <w:widowControl w:val="0"/>
        <w:shd w:val="clear" w:color="auto" w:fill="auto"/>
        <w:bidi w:val="0"/>
        <w:spacing w:before="0" w:after="60" w:line="240" w:lineRule="auto"/>
        <w:ind w:left="660" w:right="0" w:firstLine="0"/>
        <w:jc w:val="left"/>
      </w:pPr>
      <w:r>
        <w:rPr>
          <w:color w:val="000000"/>
          <w:spacing w:val="0"/>
          <w:w w:val="100"/>
          <w:position w:val="0"/>
          <w:shd w:val="clear" w:color="auto" w:fill="auto"/>
          <w:lang w:val="pt-PT" w:eastAsia="pt-PT" w:bidi="pt-PT"/>
        </w:rPr>
        <w:t>0062 QUALIDADE DO ENSINO FUNDAMENTAL</w:t>
      </w:r>
    </w:p>
    <w:p>
      <w:pPr>
        <w:pStyle w:val="Style29"/>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12.361.2.012 MANUT. FUNC. DA SEC. MUNICIPAL DE EDUCACÃO</w:t>
      </w:r>
    </w:p>
    <w:tbl>
      <w:tblPr>
        <w:tblOverlap w:val="never"/>
        <w:jc w:val="center"/>
        <w:tblLayout w:type="fixed"/>
      </w:tblPr>
      <w:tblGrid>
        <w:gridCol w:w="1181"/>
        <w:gridCol w:w="4531"/>
        <w:gridCol w:w="1517"/>
        <w:gridCol w:w="1411"/>
        <w:gridCol w:w="1416"/>
        <w:gridCol w:w="1426"/>
        <w:gridCol w:w="1426"/>
        <w:gridCol w:w="1243"/>
      </w:tblGrid>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574.893,81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600.764,03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624.794,59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648.536,78</w:t>
            </w:r>
          </w:p>
        </w:tc>
      </w:tr>
      <w:tr>
        <w:trPr>
          <w:trHeight w:val="197"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1.569.988,16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2.364.066,96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470.495,53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1.491.667,83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511.334,54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530.765,25</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18.825,06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56.809,50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59.365,93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61.740,57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64.086,71</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Trabalhistas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9.720,01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6.334,69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129.112,50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134.922,56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140.319,46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145.651,60</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2.760,00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123.948,00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129.525,66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134.706,69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139.825,54</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1.981.761,55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926.366,65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320.199,00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334.607,96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347.992,28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361.215,99</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109.487,40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114.414,33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118.990,90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123.512,55</w:t>
            </w:r>
          </w:p>
        </w:tc>
      </w:tr>
      <w:tr>
        <w:trPr>
          <w:trHeight w:val="21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144.606,00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151.113,27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157.157,80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163.129,80</w:t>
            </w:r>
          </w:p>
        </w:tc>
      </w:tr>
      <w:tr>
        <w:trPr>
          <w:trHeight w:val="197"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268.800,00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196.800,00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245.610,63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256.663,11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266.929,63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277.072,96</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1.381.824,09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581.582,39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645.562,50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674.612,81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701.597,32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728.258,02</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36.151,50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37.778,32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39.289,45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40.782,45</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8.798,51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6.216,27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77.467,50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80.953,54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84.191,68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87.390,96</w:t>
            </w:r>
          </w:p>
        </w:tc>
      </w:tr>
      <w:tr>
        <w:trPr>
          <w:trHeight w:val="22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3.3.90.93.00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e Restituições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350.827,82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4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469.969,50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491.118,13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510.762,86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530.171,85</w:t>
            </w:r>
          </w:p>
        </w:tc>
      </w:tr>
      <w:tr>
        <w:trPr>
          <w:trHeight w:val="322"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5.599.279,89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4.078.992,27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3.461.122,87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4.616.873,41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3.761.548,34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3.904.487,18</w:t>
            </w:r>
          </w:p>
        </w:tc>
      </w:tr>
      <w:tr>
        <w:trPr>
          <w:trHeight w:val="283"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0062 QUALIDADE DO ENSINO FUNDAMENTAL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12.361.2.049 ENCARGOS COM PNATE - ENS. FUNDAMENTAL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555.515,19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80.513,37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603.733,90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626.675,79</w:t>
            </w:r>
          </w:p>
        </w:tc>
      </w:tr>
    </w:tbl>
    <w:p>
      <w:pPr>
        <w:sectPr>
          <w:headerReference w:type="default" r:id="rId53"/>
          <w:footerReference w:type="default" r:id="rId54"/>
          <w:footnotePr>
            <w:pos w:val="pageBottom"/>
            <w:numFmt w:val="decimal"/>
            <w:numRestart w:val="continuous"/>
          </w:footnotePr>
          <w:pgSz w:w="16840" w:h="11900" w:orient="landscape"/>
          <w:pgMar w:top="2136" w:left="1170" w:right="1511" w:bottom="979" w:header="0" w:footer="551" w:gutter="0"/>
          <w:pgNumType w:start="7"/>
          <w:cols w:space="720"/>
          <w:noEndnote/>
          <w:rtlGutter w:val="0"/>
          <w:docGrid w:linePitch="360"/>
        </w:sectPr>
      </w:pPr>
    </w:p>
    <w:p>
      <w:pPr>
        <w:pStyle w:val="Style33"/>
        <w:keepNext w:val="0"/>
        <w:keepLines w:val="0"/>
        <w:widowControl w:val="0"/>
        <w:shd w:val="clear" w:color="auto" w:fill="auto"/>
        <w:bidi w:val="0"/>
        <w:spacing w:before="0" w:after="40" w:line="240" w:lineRule="auto"/>
        <w:ind w:left="2563"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33"/>
        <w:keepNext w:val="0"/>
        <w:keepLines w:val="0"/>
        <w:widowControl w:val="0"/>
        <w:shd w:val="clear" w:color="auto" w:fill="auto"/>
        <w:bidi w:val="0"/>
        <w:spacing w:before="0" w:after="40" w:line="240" w:lineRule="auto"/>
        <w:ind w:left="2563"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33"/>
        <w:keepNext w:val="0"/>
        <w:keepLines w:val="0"/>
        <w:widowControl w:val="0"/>
        <w:shd w:val="clear" w:color="auto" w:fill="auto"/>
        <w:bidi w:val="0"/>
        <w:spacing w:before="0" w:after="0" w:line="240" w:lineRule="auto"/>
        <w:ind w:left="2563"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33"/>
        <w:keepNext w:val="0"/>
        <w:keepLines w:val="0"/>
        <w:widowControl w:val="0"/>
        <w:shd w:val="clear" w:color="auto" w:fill="auto"/>
        <w:tabs>
          <w:tab w:pos="10104" w:val="left"/>
        </w:tabs>
        <w:bidi w:val="0"/>
        <w:spacing w:before="0" w:after="40" w:line="240" w:lineRule="auto"/>
        <w:ind w:left="0" w:right="0" w:firstLine="0"/>
        <w:jc w:val="both"/>
        <w:rPr>
          <w:sz w:val="20"/>
          <w:szCs w:val="20"/>
        </w:rPr>
      </w:pPr>
      <w:r>
        <w:rPr>
          <w:color w:val="000000"/>
          <w:spacing w:val="0"/>
          <w:w w:val="100"/>
          <w:position w:val="0"/>
          <w:sz w:val="20"/>
          <w:szCs w:val="20"/>
          <w:shd w:val="clear" w:color="auto" w:fill="auto"/>
          <w:lang w:val="pt-PT" w:eastAsia="pt-PT" w:bidi="pt-PT"/>
        </w:rPr>
        <w:t>METODOLOGIA E MEMÓRIA DE CÁLCULO DAS METAS ANUAIS</w:t>
        <w:tab/>
      </w:r>
      <w:r>
        <w:rPr>
          <w:rFonts w:ascii="Times New Roman" w:eastAsia="Times New Roman" w:hAnsi="Times New Roman" w:cs="Times New Roman"/>
          <w:color w:val="000000"/>
          <w:spacing w:val="0"/>
          <w:w w:val="100"/>
          <w:position w:val="0"/>
          <w:sz w:val="20"/>
          <w:szCs w:val="20"/>
          <w:shd w:val="clear" w:color="auto" w:fill="auto"/>
          <w:lang w:val="pt-PT" w:eastAsia="pt-PT" w:bidi="pt-PT"/>
        </w:rPr>
        <w:t>Página: 9</w:t>
      </w:r>
    </w:p>
    <w:tbl>
      <w:tblPr>
        <w:tblOverlap w:val="never"/>
        <w:jc w:val="center"/>
        <w:tblLayout w:type="fixed"/>
      </w:tblPr>
      <w:tblGrid>
        <w:gridCol w:w="1094"/>
        <w:gridCol w:w="4531"/>
        <w:gridCol w:w="1411"/>
        <w:gridCol w:w="1411"/>
        <w:gridCol w:w="1421"/>
        <w:gridCol w:w="1426"/>
        <w:gridCol w:w="1426"/>
        <w:gridCol w:w="1373"/>
      </w:tblGrid>
      <w:tr>
        <w:trPr>
          <w:trHeight w:val="302" w:hRule="exact"/>
        </w:trPr>
        <w:tc>
          <w:tcPr>
            <w:gridSpan w:val="6"/>
            <w:tcBorders/>
            <w:shd w:val="clear" w:color="auto" w:fill="FFFFFF"/>
            <w:vAlign w:val="bottom"/>
          </w:tcPr>
          <w:p>
            <w:pPr>
              <w:pStyle w:val="Style23"/>
              <w:keepNext w:val="0"/>
              <w:keepLines w:val="0"/>
              <w:widowControl w:val="0"/>
              <w:shd w:val="clear" w:color="auto" w:fill="auto"/>
              <w:bidi w:val="0"/>
              <w:spacing w:before="0" w:after="0" w:line="240" w:lineRule="auto"/>
              <w:ind w:left="258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II.b - Demonstrativo da Despesa por Órgão, Unidade, Programa e Projeto/Atividade</w:t>
            </w:r>
          </w:p>
        </w:tc>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140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c>
      </w:tr>
      <w:tr>
        <w:trPr>
          <w:trHeight w:val="360"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0"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480" w:right="0" w:firstLine="4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500" w:right="0" w:firstLine="2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r>
        <w:trPr>
          <w:trHeight w:val="326"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180.757,50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8.891,59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500" w:right="0" w:firstLine="2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196.447,25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203.912,25</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2.904,64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232.402,50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42.860,61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500" w:right="0" w:firstLine="2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252.575,03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262.172,88</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302"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2.904,64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994.497,69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159.250,08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1.080.820,07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1.121.891,24</w:t>
            </w:r>
          </w:p>
        </w:tc>
      </w:tr>
    </w:tbl>
    <w:p>
      <w:pPr>
        <w:widowControl w:val="0"/>
        <w:spacing w:after="59" w:line="1" w:lineRule="exact"/>
      </w:pPr>
    </w:p>
    <w:p>
      <w:pPr>
        <w:pStyle w:val="Style29"/>
        <w:keepNext w:val="0"/>
        <w:keepLines w:val="0"/>
        <w:widowControl w:val="0"/>
        <w:shd w:val="clear" w:color="auto" w:fill="auto"/>
        <w:bidi w:val="0"/>
        <w:spacing w:before="0" w:after="60" w:line="240" w:lineRule="auto"/>
        <w:ind w:left="660" w:right="0" w:firstLine="0"/>
        <w:jc w:val="left"/>
      </w:pPr>
      <w:r>
        <w:rPr>
          <w:color w:val="000000"/>
          <w:spacing w:val="0"/>
          <w:w w:val="100"/>
          <w:position w:val="0"/>
          <w:shd w:val="clear" w:color="auto" w:fill="auto"/>
          <w:lang w:val="pt-PT" w:eastAsia="pt-PT" w:bidi="pt-PT"/>
        </w:rPr>
        <w:t>0365 EDUCACAO INFANTIL</w:t>
      </w:r>
    </w:p>
    <w:p>
      <w:pPr>
        <w:pStyle w:val="Style29"/>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12.365.2.050 ENCARGOS COM PNATE - EDUCACAO INFANTIL</w:t>
      </w:r>
    </w:p>
    <w:tbl>
      <w:tblPr>
        <w:tblOverlap w:val="never"/>
        <w:jc w:val="center"/>
        <w:tblLayout w:type="fixed"/>
      </w:tblPr>
      <w:tblGrid>
        <w:gridCol w:w="5880"/>
        <w:gridCol w:w="1416"/>
        <w:gridCol w:w="1445"/>
        <w:gridCol w:w="1416"/>
        <w:gridCol w:w="1426"/>
        <w:gridCol w:w="1426"/>
        <w:gridCol w:w="1142"/>
      </w:tblGrid>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62.069,03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64.862,14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67.456,63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70.019,98</w:t>
            </w:r>
          </w:p>
        </w:tc>
      </w:tr>
      <w:tr>
        <w:trPr>
          <w:trHeight w:val="22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 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11.652,13</w:t>
            </w:r>
          </w:p>
        </w:tc>
      </w:tr>
      <w:tr>
        <w:trPr>
          <w:trHeight w:val="24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11.652,13</w:t>
            </w:r>
          </w:p>
        </w:tc>
      </w:tr>
      <w:tr>
        <w:trPr>
          <w:trHeight w:val="336"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82.727,03</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86.449,76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89.907,75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93.324,24</w:t>
            </w:r>
          </w:p>
        </w:tc>
      </w:tr>
      <w:tr>
        <w:trPr>
          <w:trHeight w:val="552" w:hRule="exact"/>
        </w:trPr>
        <w:tc>
          <w:tcPr>
            <w:tcBorders/>
            <w:shd w:val="clear" w:color="auto" w:fill="FFFFFF"/>
            <w:vAlign w:val="top"/>
          </w:tcPr>
          <w:p>
            <w:pPr>
              <w:pStyle w:val="Style23"/>
              <w:keepNext w:val="0"/>
              <w:keepLines w:val="0"/>
              <w:widowControl w:val="0"/>
              <w:shd w:val="clear" w:color="auto" w:fill="auto"/>
              <w:bidi w:val="0"/>
              <w:spacing w:before="0" w:after="4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 xml:space="preserve">0039 ENSINO </w:t>
            </w:r>
            <w:r>
              <w:rPr>
                <w:rFonts w:ascii="Arial" w:eastAsia="Arial" w:hAnsi="Arial" w:cs="Arial"/>
                <w:color w:val="000000"/>
                <w:spacing w:val="0"/>
                <w:w w:val="100"/>
                <w:position w:val="0"/>
                <w:shd w:val="clear" w:color="auto" w:fill="auto"/>
                <w:lang w:val="pt-BR" w:eastAsia="pt-BR" w:bidi="pt-BR"/>
              </w:rPr>
              <w:t>MEDIO</w:t>
            </w:r>
          </w:p>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 xml:space="preserve">12.365.2.052 ENCARGOS COM PNATE - ENSINO </w:t>
            </w:r>
            <w:r>
              <w:rPr>
                <w:rFonts w:ascii="Arial" w:eastAsia="Arial" w:hAnsi="Arial" w:cs="Arial"/>
                <w:color w:val="000000"/>
                <w:spacing w:val="0"/>
                <w:w w:val="100"/>
                <w:position w:val="0"/>
                <w:shd w:val="clear" w:color="auto" w:fill="auto"/>
                <w:lang w:val="pt-BR" w:eastAsia="pt-BR" w:bidi="pt-BR"/>
              </w:rPr>
              <w:t>MEDIO</w:t>
            </w:r>
          </w:p>
        </w:tc>
        <w:tc>
          <w:tcPr>
            <w:gridSpan w:val="6"/>
            <w:tcBorders/>
            <w:shd w:val="clear" w:color="auto" w:fill="FFFFFF"/>
            <w:vAlign w:val="top"/>
          </w:tcPr>
          <w:p>
            <w:pPr>
              <w:widowControl w:val="0"/>
              <w:rPr>
                <w:sz w:val="10"/>
                <w:szCs w:val="10"/>
              </w:rPr>
            </w:pP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512.426,59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2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 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40"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182.421,00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31"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694.847,59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552" w:hRule="exact"/>
        </w:trPr>
        <w:tc>
          <w:tcPr>
            <w:tcBorders/>
            <w:shd w:val="clear" w:color="auto" w:fill="FFFFFF"/>
            <w:vAlign w:val="top"/>
          </w:tcPr>
          <w:p>
            <w:pPr>
              <w:pStyle w:val="Style23"/>
              <w:keepNext w:val="0"/>
              <w:keepLines w:val="0"/>
              <w:widowControl w:val="0"/>
              <w:shd w:val="clear" w:color="auto" w:fill="auto"/>
              <w:bidi w:val="0"/>
              <w:spacing w:before="0" w:after="4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0062 QUALIDADE DO ENSINO FUNDAMENTAL</w:t>
            </w:r>
          </w:p>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 xml:space="preserve">12.361.2.067 ENCARGOS COM PROGRAMA - </w:t>
            </w:r>
            <w:r>
              <w:rPr>
                <w:rFonts w:ascii="Arial" w:eastAsia="Arial" w:hAnsi="Arial" w:cs="Arial"/>
                <w:color w:val="000000"/>
                <w:spacing w:val="0"/>
                <w:w w:val="100"/>
                <w:position w:val="0"/>
                <w:shd w:val="clear" w:color="auto" w:fill="auto"/>
                <w:lang w:val="pt-BR" w:eastAsia="pt-BR" w:bidi="pt-BR"/>
              </w:rPr>
              <w:t>PDDE</w:t>
            </w:r>
          </w:p>
        </w:tc>
        <w:tc>
          <w:tcPr>
            <w:gridSpan w:val="6"/>
            <w:tcBorders/>
            <w:shd w:val="clear" w:color="auto" w:fill="FFFFFF"/>
            <w:vAlign w:val="top"/>
          </w:tcPr>
          <w:p>
            <w:pPr>
              <w:widowControl w:val="0"/>
              <w:rPr>
                <w:sz w:val="10"/>
                <w:szCs w:val="10"/>
              </w:rPr>
            </w:pPr>
          </w:p>
        </w:tc>
      </w:tr>
      <w:tr>
        <w:trPr>
          <w:trHeight w:val="2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42.428,00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49.135,70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48.963,88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51.167,25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53.213,94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55.236,07</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 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14.163,11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4.800,45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15.392,47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15.977,38</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12.292,14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4.603,29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13.359,10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13.866,75</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 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3.495,64</w:t>
            </w:r>
          </w:p>
        </w:tc>
      </w:tr>
      <w:tr>
        <w:trPr>
          <w:trHeight w:val="326"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42.428,00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49.135,70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78.517,83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63.809,13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85.333,18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88.575,84</w:t>
            </w:r>
          </w:p>
        </w:tc>
      </w:tr>
      <w:tr>
        <w:trPr>
          <w:trHeight w:val="557" w:hRule="exact"/>
        </w:trPr>
        <w:tc>
          <w:tcPr>
            <w:tcBorders/>
            <w:shd w:val="clear" w:color="auto" w:fill="FFFFFF"/>
            <w:vAlign w:val="bottom"/>
          </w:tcPr>
          <w:p>
            <w:pPr>
              <w:pStyle w:val="Style23"/>
              <w:keepNext w:val="0"/>
              <w:keepLines w:val="0"/>
              <w:widowControl w:val="0"/>
              <w:shd w:val="clear" w:color="auto" w:fill="auto"/>
              <w:bidi w:val="0"/>
              <w:spacing w:before="0" w:after="4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0062 QUALIDADE DO ENSINO FUNDAMENTAL</w:t>
            </w:r>
          </w:p>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12.366.2.083 ENCARGOS COM O PROG. FNDE - PNAE EJA</w:t>
            </w:r>
          </w:p>
        </w:tc>
        <w:tc>
          <w:tcPr>
            <w:gridSpan w:val="6"/>
            <w:tcBorders/>
            <w:shd w:val="clear" w:color="auto" w:fill="FFFFFF"/>
            <w:vAlign w:val="top"/>
          </w:tcPr>
          <w:p>
            <w:pPr>
              <w:widowControl w:val="0"/>
              <w:rPr>
                <w:sz w:val="10"/>
                <w:szCs w:val="10"/>
              </w:rPr>
            </w:pPr>
          </w:p>
        </w:tc>
      </w:tr>
      <w:tr>
        <w:trPr>
          <w:trHeight w:val="3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69.530,44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117.060,75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63.843,55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66.716,51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69.385,17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72.021,81</w:t>
            </w:r>
          </w:p>
        </w:tc>
      </w:tr>
      <w:tr>
        <w:trPr>
          <w:trHeight w:val="326"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69.530,44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117.060,75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63.843,55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66.716,51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69.385,17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72.021,81</w:t>
            </w:r>
          </w:p>
        </w:tc>
      </w:tr>
      <w:tr>
        <w:trPr>
          <w:trHeight w:val="552" w:hRule="exact"/>
        </w:trPr>
        <w:tc>
          <w:tcPr>
            <w:tcBorders/>
            <w:shd w:val="clear" w:color="auto" w:fill="FFFFFF"/>
            <w:vAlign w:val="bottom"/>
          </w:tcPr>
          <w:p>
            <w:pPr>
              <w:pStyle w:val="Style23"/>
              <w:keepNext w:val="0"/>
              <w:keepLines w:val="0"/>
              <w:widowControl w:val="0"/>
              <w:shd w:val="clear" w:color="auto" w:fill="auto"/>
              <w:bidi w:val="0"/>
              <w:spacing w:before="0" w:after="4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0062 QUALIDADE DO ENSINO FUNDAMENTAL</w:t>
            </w:r>
          </w:p>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12.366.2.084 ENCARGOS COM O PROGRAMA FNDE - PNAE AEE</w:t>
            </w:r>
          </w:p>
        </w:tc>
        <w:tc>
          <w:tcPr>
            <w:gridSpan w:val="6"/>
            <w:tcBorders/>
            <w:shd w:val="clear" w:color="auto" w:fill="FFFFFF"/>
            <w:vAlign w:val="top"/>
          </w:tcPr>
          <w:p>
            <w:pPr>
              <w:widowControl w:val="0"/>
              <w:rPr>
                <w:sz w:val="10"/>
                <w:szCs w:val="10"/>
              </w:rPr>
            </w:pP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27.046,58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31.581,95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33.003,14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34.323,27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35.627,55</w:t>
            </w:r>
          </w:p>
        </w:tc>
      </w:tr>
    </w:tbl>
    <w:p>
      <w:pPr>
        <w:sectPr>
          <w:headerReference w:type="default" r:id="rId55"/>
          <w:footerReference w:type="default" r:id="rId56"/>
          <w:footnotePr>
            <w:pos w:val="pageBottom"/>
            <w:numFmt w:val="decimal"/>
            <w:numRestart w:val="continuous"/>
          </w:footnotePr>
          <w:pgSz w:w="16840" w:h="11900" w:orient="landscape"/>
          <w:pgMar w:top="656" w:left="1172" w:right="1518" w:bottom="656" w:header="228" w:footer="228" w:gutter="0"/>
          <w:pgNumType w:start="48"/>
          <w:cols w:space="720"/>
          <w:noEndnote/>
          <w:rtlGutter w:val="0"/>
          <w:docGrid w:linePitch="360"/>
        </w:sectPr>
      </w:pP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139" w:line="1" w:lineRule="exact"/>
      </w:pPr>
    </w:p>
    <w:tbl>
      <w:tblPr>
        <w:tblOverlap w:val="never"/>
        <w:jc w:val="center"/>
        <w:tblLayout w:type="fixed"/>
      </w:tblPr>
      <w:tblGrid>
        <w:gridCol w:w="5784"/>
        <w:gridCol w:w="1445"/>
        <w:gridCol w:w="1469"/>
        <w:gridCol w:w="1416"/>
        <w:gridCol w:w="1426"/>
        <w:gridCol w:w="1426"/>
        <w:gridCol w:w="1190"/>
      </w:tblGrid>
      <w:tr>
        <w:trPr>
          <w:trHeight w:val="331"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27.046,58</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31.581,95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33.003,14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34.323,27</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35.627,55</w:t>
            </w:r>
          </w:p>
        </w:tc>
      </w:tr>
      <w:tr>
        <w:trPr>
          <w:trHeight w:val="552" w:hRule="exact"/>
        </w:trPr>
        <w:tc>
          <w:tcPr>
            <w:gridSpan w:val="2"/>
            <w:tcBorders/>
            <w:shd w:val="clear" w:color="auto" w:fill="FFFFFF"/>
            <w:vAlign w:val="bottom"/>
          </w:tcPr>
          <w:p>
            <w:pPr>
              <w:pStyle w:val="Style23"/>
              <w:keepNext w:val="0"/>
              <w:keepLines w:val="0"/>
              <w:widowControl w:val="0"/>
              <w:shd w:val="clear" w:color="auto" w:fill="auto"/>
              <w:bidi w:val="0"/>
              <w:spacing w:before="0" w:after="4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0070 MANUTENCAO E REVITALIZACAO DA EDUCACAO INFANTIL</w:t>
            </w:r>
          </w:p>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12.365.2.085 ENCARGOS COM PROG. PNAE CRECHE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529.956,47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6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1.639.641,38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192.158,65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200.805,79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208.838,02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216.773,86</w:t>
            </w:r>
          </w:p>
        </w:tc>
      </w:tr>
      <w:tr>
        <w:trPr>
          <w:trHeight w:val="326"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529.956,47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6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1.639.641,38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192.158,65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200.805,79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208.838,02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216.773,86</w:t>
            </w:r>
          </w:p>
        </w:tc>
      </w:tr>
      <w:tr>
        <w:trPr>
          <w:trHeight w:val="557" w:hRule="exact"/>
        </w:trPr>
        <w:tc>
          <w:tcPr>
            <w:tcBorders/>
            <w:shd w:val="clear" w:color="auto" w:fill="FFFFFF"/>
            <w:vAlign w:val="bottom"/>
          </w:tcPr>
          <w:p>
            <w:pPr>
              <w:pStyle w:val="Style23"/>
              <w:keepNext w:val="0"/>
              <w:keepLines w:val="0"/>
              <w:widowControl w:val="0"/>
              <w:shd w:val="clear" w:color="auto" w:fill="auto"/>
              <w:bidi w:val="0"/>
              <w:spacing w:before="0" w:after="4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0062 QUALIDADE DO ENSINO FUNDAMENTAL</w:t>
            </w:r>
          </w:p>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12.361.2.086 ENCARGOS COM PROG. PNAE INDIGENA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553.824,79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6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1.022.570,91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541.609,38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565.981,80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588.621,07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610.988,67</w:t>
            </w:r>
          </w:p>
        </w:tc>
      </w:tr>
      <w:tr>
        <w:trPr>
          <w:trHeight w:val="298"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553.824,79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6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1.022.570,91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541.609,38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565.981,80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588.621,07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610.988,67</w:t>
            </w:r>
          </w:p>
        </w:tc>
      </w:tr>
    </w:tbl>
    <w:p>
      <w:pPr>
        <w:widowControl w:val="0"/>
        <w:spacing w:after="59" w:line="1" w:lineRule="exact"/>
      </w:pPr>
    </w:p>
    <w:p>
      <w:pPr>
        <w:pStyle w:val="Style33"/>
        <w:keepNext w:val="0"/>
        <w:keepLines w:val="0"/>
        <w:widowControl w:val="0"/>
        <w:shd w:val="clear" w:color="auto" w:fill="auto"/>
        <w:bidi w:val="0"/>
        <w:spacing w:before="0" w:after="0" w:line="240" w:lineRule="auto"/>
        <w:ind w:left="643" w:right="0" w:firstLine="0"/>
        <w:jc w:val="left"/>
        <w:rPr>
          <w:sz w:val="18"/>
          <w:szCs w:val="18"/>
        </w:rPr>
      </w:pPr>
      <w:r>
        <w:rPr>
          <w:color w:val="000000"/>
          <w:spacing w:val="0"/>
          <w:w w:val="100"/>
          <w:position w:val="0"/>
          <w:sz w:val="18"/>
          <w:szCs w:val="18"/>
          <w:shd w:val="clear" w:color="auto" w:fill="auto"/>
          <w:lang w:val="pt-PT" w:eastAsia="pt-PT" w:bidi="pt-PT"/>
        </w:rPr>
        <w:t>0070 MANUTENCAO E REVITALIZACAO DA EDUCACAO INFANTIL</w:t>
      </w:r>
    </w:p>
    <w:tbl>
      <w:tblPr>
        <w:tblOverlap w:val="never"/>
        <w:jc w:val="center"/>
        <w:tblLayout w:type="fixed"/>
      </w:tblPr>
      <w:tblGrid>
        <w:gridCol w:w="1181"/>
        <w:gridCol w:w="4642"/>
        <w:gridCol w:w="1469"/>
        <w:gridCol w:w="1406"/>
        <w:gridCol w:w="1421"/>
        <w:gridCol w:w="1426"/>
        <w:gridCol w:w="1426"/>
        <w:gridCol w:w="1186"/>
      </w:tblGrid>
      <w:tr>
        <w:trPr>
          <w:trHeight w:val="240" w:hRule="exact"/>
        </w:trPr>
        <w:tc>
          <w:tcPr>
            <w:gridSpan w:val="8"/>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12.365.2.087 ENCARGOS COM PROGRAMA PNAE PRE-ESCOLA</w:t>
            </w:r>
          </w:p>
        </w:tc>
      </w:tr>
      <w:tr>
        <w:trPr>
          <w:trHeight w:val="3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237.698,00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839.138,04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418.795,50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437.641,30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455.146,95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472.442,53</w:t>
            </w:r>
          </w:p>
        </w:tc>
      </w:tr>
      <w:tr>
        <w:trPr>
          <w:trHeight w:val="883" w:hRule="exact"/>
        </w:trPr>
        <w:tc>
          <w:tcPr>
            <w:gridSpan w:val="2"/>
            <w:tcBorders>
              <w:top w:val="single" w:sz="4"/>
            </w:tcBorders>
            <w:shd w:val="clear" w:color="auto" w:fill="FFFFFF"/>
            <w:vAlign w:val="bottom"/>
          </w:tcPr>
          <w:p>
            <w:pPr>
              <w:pStyle w:val="Style23"/>
              <w:keepNext w:val="0"/>
              <w:keepLines w:val="0"/>
              <w:widowControl w:val="0"/>
              <w:shd w:val="clear" w:color="auto" w:fill="auto"/>
              <w:bidi w:val="0"/>
              <w:spacing w:before="0" w:after="40" w:line="30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p>
            <w:pPr>
              <w:pStyle w:val="Style23"/>
              <w:keepNext w:val="0"/>
              <w:keepLines w:val="0"/>
              <w:widowControl w:val="0"/>
              <w:shd w:val="clear" w:color="auto" w:fill="auto"/>
              <w:bidi w:val="0"/>
              <w:spacing w:before="0" w:after="0" w:line="300" w:lineRule="auto"/>
              <w:ind w:left="20" w:right="0" w:firstLine="0"/>
              <w:jc w:val="center"/>
            </w:pPr>
            <w:r>
              <w:rPr>
                <w:rFonts w:ascii="Arial" w:eastAsia="Arial" w:hAnsi="Arial" w:cs="Arial"/>
                <w:color w:val="000000"/>
                <w:spacing w:val="0"/>
                <w:w w:val="100"/>
                <w:position w:val="0"/>
                <w:shd w:val="clear" w:color="auto" w:fill="auto"/>
                <w:lang w:val="pt-PT" w:eastAsia="pt-PT" w:bidi="pt-PT"/>
              </w:rPr>
              <w:t>0062 QUALIDADE DO ENSINO FUNDAMENTAL 12.361.2.088 ENC. COM PROG. FNDE- PNAE FUNDAMENTAL</w:t>
            </w:r>
          </w:p>
        </w:tc>
        <w:tc>
          <w:tcPr>
            <w:tcBorders>
              <w:top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237.698,00</w:t>
            </w:r>
          </w:p>
        </w:tc>
        <w:tc>
          <w:tcPr>
            <w:tcBorders>
              <w:top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839.138,04</w:t>
            </w:r>
          </w:p>
        </w:tc>
        <w:tc>
          <w:tcPr>
            <w:tcBorders>
              <w:top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418.795,50</w:t>
            </w:r>
          </w:p>
        </w:tc>
        <w:tc>
          <w:tcPr>
            <w:tcBorders>
              <w:top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437.641,30</w:t>
            </w:r>
          </w:p>
        </w:tc>
        <w:tc>
          <w:tcPr>
            <w:tcBorders>
              <w:top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455.146,95</w:t>
            </w:r>
          </w:p>
        </w:tc>
        <w:tc>
          <w:tcPr>
            <w:tcBorders>
              <w:top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472.442,53</w:t>
            </w:r>
          </w:p>
        </w:tc>
      </w:tr>
      <w:tr>
        <w:trPr>
          <w:trHeight w:val="298"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418.709,40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153.739,08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129.112,50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134.922,56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140.319,46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145.651,60</w:t>
            </w:r>
          </w:p>
        </w:tc>
      </w:tr>
      <w:tr>
        <w:trPr>
          <w:trHeight w:val="302"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418.709,40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153.739,08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129.112,50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134.922,56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140.319,46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145.651,60</w:t>
            </w:r>
          </w:p>
        </w:tc>
      </w:tr>
    </w:tbl>
    <w:p>
      <w:pPr>
        <w:widowControl w:val="0"/>
        <w:spacing w:after="59" w:line="1" w:lineRule="exact"/>
      </w:pPr>
    </w:p>
    <w:p>
      <w:pPr>
        <w:pStyle w:val="Style29"/>
        <w:keepNext w:val="0"/>
        <w:keepLines w:val="0"/>
        <w:widowControl w:val="0"/>
        <w:shd w:val="clear" w:color="auto" w:fill="auto"/>
        <w:bidi w:val="0"/>
        <w:spacing w:before="0" w:after="60" w:line="240" w:lineRule="auto"/>
        <w:ind w:left="660" w:right="0" w:firstLine="0"/>
        <w:jc w:val="left"/>
      </w:pPr>
      <w:r>
        <w:rPr>
          <w:color w:val="000000"/>
          <w:spacing w:val="0"/>
          <w:w w:val="100"/>
          <w:position w:val="0"/>
          <w:shd w:val="clear" w:color="auto" w:fill="auto"/>
          <w:lang w:val="pt-PT" w:eastAsia="pt-PT" w:bidi="pt-PT"/>
        </w:rPr>
        <w:t>0363 FORMACAO PROFISSIONAL</w:t>
      </w:r>
    </w:p>
    <w:p>
      <w:pPr>
        <w:pStyle w:val="Style29"/>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12.363.2.089 ENCARGOS COM ESTAGIO REMUN. - LEI</w:t>
      </w:r>
    </w:p>
    <w:tbl>
      <w:tblPr>
        <w:tblOverlap w:val="never"/>
        <w:jc w:val="center"/>
        <w:tblLayout w:type="fixed"/>
      </w:tblPr>
      <w:tblGrid>
        <w:gridCol w:w="1176"/>
        <w:gridCol w:w="4622"/>
        <w:gridCol w:w="1733"/>
        <w:gridCol w:w="1166"/>
        <w:gridCol w:w="1421"/>
        <w:gridCol w:w="1421"/>
        <w:gridCol w:w="1430"/>
        <w:gridCol w:w="1186"/>
      </w:tblGrid>
      <w:tr>
        <w:trPr>
          <w:trHeight w:val="2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3.3.90.18.00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Auxílio Financeiro a Estudantes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258.225,00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269.845,13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280.638,94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291.303,22</w:t>
            </w:r>
          </w:p>
        </w:tc>
      </w:tr>
      <w:tr>
        <w:trPr>
          <w:trHeight w:val="331"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309.870,00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323.814,16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336.766,73</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349.563,87</w:t>
            </w:r>
          </w:p>
        </w:tc>
      </w:tr>
      <w:tr>
        <w:trPr>
          <w:trHeight w:val="278"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0062 QUALIDADE DO ENSINO FUNDAMENTAL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12.361.2.169 MANUTENCAO EDUC. BASICA - REDE DE ENSINO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6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37.333,32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450.727,14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471.009,86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489.850,25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508.464,56</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678.467,26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699.936,17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731.433,30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760.690,63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789.596,87</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2.166,41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129.112,50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134.922,56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140.319,46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145.651,60</w:t>
            </w:r>
          </w:p>
        </w:tc>
      </w:tr>
      <w:tr>
        <w:trPr>
          <w:trHeight w:val="23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bl>
    <w:p>
      <w:pPr>
        <w:sectPr>
          <w:headerReference w:type="default" r:id="rId57"/>
          <w:footerReference w:type="default" r:id="rId58"/>
          <w:footnotePr>
            <w:pos w:val="pageBottom"/>
            <w:numFmt w:val="decimal"/>
            <w:numRestart w:val="continuous"/>
          </w:footnotePr>
          <w:pgSz w:w="16840" w:h="11900" w:orient="landscape"/>
          <w:pgMar w:top="2067" w:left="1172" w:right="1513" w:bottom="1025" w:header="0" w:footer="597" w:gutter="0"/>
          <w:pgNumType w:start="10"/>
          <w:cols w:space="720"/>
          <w:noEndnote/>
          <w:rtlGutter w:val="0"/>
          <w:docGrid w:linePitch="360"/>
        </w:sectPr>
      </w:pPr>
    </w:p>
    <w:p>
      <w:pPr>
        <w:pStyle w:val="Style33"/>
        <w:keepNext w:val="0"/>
        <w:keepLines w:val="0"/>
        <w:widowControl w:val="0"/>
        <w:shd w:val="clear" w:color="auto" w:fill="auto"/>
        <w:bidi w:val="0"/>
        <w:spacing w:before="0" w:after="40" w:line="240" w:lineRule="auto"/>
        <w:ind w:left="2563"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33"/>
        <w:keepNext w:val="0"/>
        <w:keepLines w:val="0"/>
        <w:widowControl w:val="0"/>
        <w:shd w:val="clear" w:color="auto" w:fill="auto"/>
        <w:bidi w:val="0"/>
        <w:spacing w:before="0" w:after="40" w:line="240" w:lineRule="auto"/>
        <w:ind w:left="2563"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33"/>
        <w:keepNext w:val="0"/>
        <w:keepLines w:val="0"/>
        <w:widowControl w:val="0"/>
        <w:shd w:val="clear" w:color="auto" w:fill="auto"/>
        <w:bidi w:val="0"/>
        <w:spacing w:before="0" w:after="0" w:line="240" w:lineRule="auto"/>
        <w:ind w:left="2563"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33"/>
        <w:keepNext w:val="0"/>
        <w:keepLines w:val="0"/>
        <w:widowControl w:val="0"/>
        <w:shd w:val="clear" w:color="auto" w:fill="auto"/>
        <w:tabs>
          <w:tab w:pos="10104" w:val="left"/>
        </w:tabs>
        <w:bidi w:val="0"/>
        <w:spacing w:before="0" w:after="40" w:line="240" w:lineRule="auto"/>
        <w:ind w:left="0" w:right="0" w:firstLine="0"/>
        <w:jc w:val="both"/>
        <w:rPr>
          <w:sz w:val="20"/>
          <w:szCs w:val="20"/>
        </w:rPr>
      </w:pPr>
      <w:r>
        <w:rPr>
          <w:color w:val="000000"/>
          <w:spacing w:val="0"/>
          <w:w w:val="100"/>
          <w:position w:val="0"/>
          <w:sz w:val="20"/>
          <w:szCs w:val="20"/>
          <w:shd w:val="clear" w:color="auto" w:fill="auto"/>
          <w:lang w:val="pt-PT" w:eastAsia="pt-PT" w:bidi="pt-PT"/>
        </w:rPr>
        <w:t>METODOLOGIA E MEMÓRIA DE CÁLCULO DAS METAS ANUAIS</w:t>
        <w:tab/>
      </w:r>
      <w:r>
        <w:rPr>
          <w:rFonts w:ascii="Times New Roman" w:eastAsia="Times New Roman" w:hAnsi="Times New Roman" w:cs="Times New Roman"/>
          <w:color w:val="000000"/>
          <w:spacing w:val="0"/>
          <w:w w:val="100"/>
          <w:position w:val="0"/>
          <w:sz w:val="20"/>
          <w:szCs w:val="20"/>
          <w:shd w:val="clear" w:color="auto" w:fill="auto"/>
          <w:lang w:val="pt-PT" w:eastAsia="pt-PT" w:bidi="pt-PT"/>
        </w:rPr>
        <w:t>Página: 11</w:t>
      </w:r>
    </w:p>
    <w:tbl>
      <w:tblPr>
        <w:tblOverlap w:val="never"/>
        <w:jc w:val="center"/>
        <w:tblLayout w:type="fixed"/>
      </w:tblPr>
      <w:tblGrid>
        <w:gridCol w:w="1094"/>
        <w:gridCol w:w="4531"/>
        <w:gridCol w:w="1411"/>
        <w:gridCol w:w="1411"/>
        <w:gridCol w:w="1421"/>
        <w:gridCol w:w="1426"/>
        <w:gridCol w:w="1426"/>
        <w:gridCol w:w="1373"/>
      </w:tblGrid>
      <w:tr>
        <w:trPr>
          <w:trHeight w:val="302" w:hRule="exact"/>
        </w:trPr>
        <w:tc>
          <w:tcPr>
            <w:gridSpan w:val="6"/>
            <w:tcBorders/>
            <w:shd w:val="clear" w:color="auto" w:fill="FFFFFF"/>
            <w:vAlign w:val="bottom"/>
          </w:tcPr>
          <w:p>
            <w:pPr>
              <w:pStyle w:val="Style23"/>
              <w:keepNext w:val="0"/>
              <w:keepLines w:val="0"/>
              <w:widowControl w:val="0"/>
              <w:shd w:val="clear" w:color="auto" w:fill="auto"/>
              <w:bidi w:val="0"/>
              <w:spacing w:before="0" w:after="0" w:line="240" w:lineRule="auto"/>
              <w:ind w:left="258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II.b - Demonstrativo da Despesa por Órgão, Unidade, Programa e Projeto/Atividade</w:t>
            </w:r>
          </w:p>
        </w:tc>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140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c>
      </w:tr>
      <w:tr>
        <w:trPr>
          <w:trHeight w:val="360"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0"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480" w:right="0" w:firstLine="4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480" w:right="0" w:firstLine="4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500" w:right="0" w:firstLine="2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r>
        <w:trPr>
          <w:trHeight w:val="317"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3.1.91.13.00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11.730,82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00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232.402,50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242.860,61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500" w:right="0" w:firstLine="2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252.575,03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262.172,88</w:t>
            </w:r>
          </w:p>
        </w:tc>
      </w:tr>
      <w:tr>
        <w:trPr>
          <w:trHeight w:val="197"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2.160,00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56.809,50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59.365,93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61.740,57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64.086,71</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3.497.247,07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1.291.125,00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1.349.225,63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1.403.194,66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1.456.516,06</w:t>
            </w:r>
          </w:p>
        </w:tc>
      </w:tr>
      <w:tr>
        <w:trPr>
          <w:trHeight w:val="22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2.210,00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232.402,50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242.860,61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00" w:right="0" w:firstLine="2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252.575,03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262.172,88</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583.588,50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609.849,98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500" w:right="0" w:firstLine="2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634.243,98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658.345,25</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1.965.396,50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232.402,50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242.860,61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00" w:right="0" w:firstLine="2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252.575,03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262.172,88</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35.492,56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36.151,50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37.778,32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39.289,45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40.782,45</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140.854,00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500" w:right="0" w:firstLine="2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25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4.6.90.71.00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Principal da Dívida Contratual Resgatado</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59.515,53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62.193,73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64.681,48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67.139,38</w:t>
            </w:r>
          </w:p>
        </w:tc>
      </w:tr>
      <w:tr>
        <w:trPr>
          <w:trHeight w:val="302"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6.373.057,94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4.122.956,84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4.308.489,90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4.480.829,48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4.651.101,00</w:t>
            </w:r>
          </w:p>
        </w:tc>
      </w:tr>
    </w:tbl>
    <w:p>
      <w:pPr>
        <w:widowControl w:val="0"/>
        <w:spacing w:after="59" w:line="1" w:lineRule="exact"/>
      </w:pPr>
    </w:p>
    <w:p>
      <w:pPr>
        <w:pStyle w:val="Style29"/>
        <w:keepNext w:val="0"/>
        <w:keepLines w:val="0"/>
        <w:widowControl w:val="0"/>
        <w:shd w:val="clear" w:color="auto" w:fill="auto"/>
        <w:bidi w:val="0"/>
        <w:spacing w:before="0" w:after="60" w:line="240" w:lineRule="auto"/>
        <w:ind w:left="660" w:right="0" w:firstLine="0"/>
        <w:jc w:val="left"/>
      </w:pPr>
      <w:r>
        <w:rPr>
          <w:color w:val="000000"/>
          <w:spacing w:val="0"/>
          <w:w w:val="100"/>
          <w:position w:val="0"/>
          <w:shd w:val="clear" w:color="auto" w:fill="auto"/>
          <w:lang w:val="pt-PT" w:eastAsia="pt-PT" w:bidi="pt-PT"/>
        </w:rPr>
        <w:t>0062 QUALIDADE DO ENSINO FUNDAMENTAL</w:t>
      </w:r>
    </w:p>
    <w:p>
      <w:pPr>
        <w:pStyle w:val="Style29"/>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12.361.2.175 REF.,ADEQ. E CONS. DE UNIDADES EDUC. DO</w:t>
      </w:r>
    </w:p>
    <w:tbl>
      <w:tblPr>
        <w:tblOverlap w:val="never"/>
        <w:jc w:val="center"/>
        <w:tblLayout w:type="fixed"/>
      </w:tblPr>
      <w:tblGrid>
        <w:gridCol w:w="1181"/>
        <w:gridCol w:w="4493"/>
        <w:gridCol w:w="1512"/>
        <w:gridCol w:w="1406"/>
        <w:gridCol w:w="1421"/>
        <w:gridCol w:w="1426"/>
        <w:gridCol w:w="1421"/>
        <w:gridCol w:w="1291"/>
      </w:tblGrid>
      <w:tr>
        <w:trPr>
          <w:trHeight w:val="245"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1.433.990,56</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36"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1.433.990,56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74"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0062 QUALIDADE DO ENSINO FUNDAMENTAL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12.361.2.176 MANUT. DA EDUCACAO BASICA - REDE DE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9"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5.636.942,60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1.663.705,60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77.509,28</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7.379.437,48</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83"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23.305.782,03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22.985.653,16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20.932.011,54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21.975.710,09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22.748.910,16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23.613.368,74</w:t>
            </w:r>
          </w:p>
        </w:tc>
      </w:tr>
    </w:tbl>
    <w:p>
      <w:pPr>
        <w:sectPr>
          <w:headerReference w:type="default" r:id="rId59"/>
          <w:footerReference w:type="default" r:id="rId60"/>
          <w:footnotePr>
            <w:pos w:val="pageBottom"/>
            <w:numFmt w:val="decimal"/>
            <w:numRestart w:val="continuous"/>
          </w:footnotePr>
          <w:pgSz w:w="16840" w:h="11900" w:orient="landscape"/>
          <w:pgMar w:top="657" w:left="1172" w:right="1518" w:bottom="657" w:header="229" w:footer="229" w:gutter="0"/>
          <w:pgNumType w:start="50"/>
          <w:cols w:space="720"/>
          <w:noEndnote/>
          <w:rtlGutter w:val="0"/>
          <w:docGrid w:linePitch="360"/>
        </w:sectPr>
      </w:pP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p>
      <w:pPr>
        <w:pStyle w:val="Style54"/>
        <w:keepNext/>
        <w:keepLines/>
        <w:widowControl w:val="0"/>
        <w:shd w:val="clear" w:color="auto" w:fill="auto"/>
        <w:bidi w:val="0"/>
        <w:spacing w:before="0" w:after="0" w:line="240" w:lineRule="auto"/>
        <w:ind w:left="840" w:right="0" w:firstLine="0"/>
        <w:jc w:val="left"/>
      </w:pPr>
      <w:bookmarkStart w:id="10" w:name="bookmark10"/>
      <w:r>
        <w:rPr>
          <w:color w:val="000000"/>
          <w:spacing w:val="0"/>
          <w:w w:val="100"/>
          <w:position w:val="0"/>
          <w:shd w:val="clear" w:color="auto" w:fill="auto"/>
          <w:lang w:val="pt-PT" w:eastAsia="pt-PT" w:bidi="pt-PT"/>
        </w:rPr>
        <w:t>02 PODER EXECUTIVO</w:t>
      </w:r>
      <w:bookmarkEnd w:id="10"/>
    </w:p>
    <w:p>
      <w:pPr>
        <w:pStyle w:val="Style54"/>
        <w:keepNext/>
        <w:keepLines/>
        <w:widowControl w:val="0"/>
        <w:shd w:val="clear" w:color="auto" w:fill="auto"/>
        <w:bidi w:val="0"/>
        <w:spacing w:before="0" w:after="140" w:line="240" w:lineRule="auto"/>
        <w:ind w:left="460" w:right="0" w:firstLine="0"/>
        <w:jc w:val="left"/>
      </w:pPr>
      <w:bookmarkStart w:id="11" w:name="bookmark11"/>
      <w:r>
        <w:rPr>
          <w:color w:val="000000"/>
          <w:spacing w:val="0"/>
          <w:w w:val="100"/>
          <w:position w:val="0"/>
          <w:shd w:val="clear" w:color="auto" w:fill="auto"/>
          <w:lang w:val="pt-PT" w:eastAsia="pt-PT" w:bidi="pt-PT"/>
        </w:rPr>
        <w:t xml:space="preserve">02.005 SECRETARIA MUNICIPAL DE </w:t>
      </w:r>
      <w:r>
        <w:rPr>
          <w:color w:val="000000"/>
          <w:spacing w:val="0"/>
          <w:w w:val="100"/>
          <w:position w:val="0"/>
          <w:shd w:val="clear" w:color="auto" w:fill="auto"/>
          <w:lang w:val="pt-BR" w:eastAsia="pt-BR" w:bidi="pt-BR"/>
        </w:rPr>
        <w:t xml:space="preserve">SAUDE </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BR" w:eastAsia="pt-BR" w:bidi="pt-BR"/>
        </w:rPr>
        <w:t>SEMSA</w:t>
      </w:r>
      <w:bookmarkEnd w:id="11"/>
    </w:p>
    <w:p>
      <w:pPr>
        <w:pStyle w:val="Style29"/>
        <w:keepNext w:val="0"/>
        <w:keepLines w:val="0"/>
        <w:widowControl w:val="0"/>
        <w:shd w:val="clear" w:color="auto" w:fill="auto"/>
        <w:bidi w:val="0"/>
        <w:spacing w:before="0" w:after="0" w:line="240" w:lineRule="auto"/>
        <w:ind w:left="660" w:right="0" w:firstLine="0"/>
        <w:jc w:val="left"/>
      </w:pPr>
      <w:r>
        <w:rPr>
          <w:color w:val="000000"/>
          <w:spacing w:val="0"/>
          <w:w w:val="100"/>
          <w:position w:val="0"/>
          <w:shd w:val="clear" w:color="auto" w:fill="auto"/>
          <w:lang w:val="pt-PT" w:eastAsia="pt-PT" w:bidi="pt-PT"/>
        </w:rPr>
        <w:t xml:space="preserve">0052 ATENCAO A </w:t>
      </w:r>
      <w:r>
        <w:rPr>
          <w:color w:val="000000"/>
          <w:spacing w:val="0"/>
          <w:w w:val="100"/>
          <w:position w:val="0"/>
          <w:shd w:val="clear" w:color="auto" w:fill="auto"/>
          <w:lang w:val="pt-BR" w:eastAsia="pt-BR" w:bidi="pt-BR"/>
        </w:rPr>
        <w:t xml:space="preserve">SAUDE </w:t>
      </w:r>
      <w:r>
        <w:rPr>
          <w:color w:val="000000"/>
          <w:spacing w:val="0"/>
          <w:w w:val="100"/>
          <w:position w:val="0"/>
          <w:shd w:val="clear" w:color="auto" w:fill="auto"/>
          <w:lang w:val="pt-PT" w:eastAsia="pt-PT" w:bidi="pt-PT"/>
        </w:rPr>
        <w:t>DA POPULACAO</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10.301.1.007 CONST. READEQ. APLI. E AQUIS.</w:t>
      </w:r>
    </w:p>
    <w:tbl>
      <w:tblPr>
        <w:tblOverlap w:val="never"/>
        <w:jc w:val="center"/>
        <w:tblLayout w:type="fixed"/>
      </w:tblPr>
      <w:tblGrid>
        <w:gridCol w:w="1181"/>
        <w:gridCol w:w="4646"/>
        <w:gridCol w:w="1406"/>
        <w:gridCol w:w="1402"/>
        <w:gridCol w:w="1416"/>
        <w:gridCol w:w="1426"/>
        <w:gridCol w:w="1426"/>
        <w:gridCol w:w="1267"/>
      </w:tblGrid>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Obras e Instalações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4.140.118,10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4.326.423,41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4.499.480,35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4.670.460,60</w:t>
            </w:r>
          </w:p>
        </w:tc>
      </w:tr>
      <w:tr>
        <w:trPr>
          <w:trHeight w:val="250"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1.595.174,97</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26"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1.595.174,97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4.140.118,10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4.326.423,41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4.499.480,35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4.670.460,60</w:t>
            </w:r>
          </w:p>
        </w:tc>
      </w:tr>
      <w:tr>
        <w:trPr>
          <w:trHeight w:val="283"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 xml:space="preserve">0052 ATENCAO A </w:t>
            </w:r>
            <w:r>
              <w:rPr>
                <w:rFonts w:ascii="Arial" w:eastAsia="Arial" w:hAnsi="Arial" w:cs="Arial"/>
                <w:color w:val="000000"/>
                <w:spacing w:val="0"/>
                <w:w w:val="100"/>
                <w:position w:val="0"/>
                <w:shd w:val="clear" w:color="auto" w:fill="auto"/>
                <w:lang w:val="pt-BR" w:eastAsia="pt-BR" w:bidi="pt-BR"/>
              </w:rPr>
              <w:t xml:space="preserve">SAUDE </w:t>
            </w:r>
            <w:r>
              <w:rPr>
                <w:rFonts w:ascii="Arial" w:eastAsia="Arial" w:hAnsi="Arial" w:cs="Arial"/>
                <w:color w:val="000000"/>
                <w:spacing w:val="0"/>
                <w:w w:val="100"/>
                <w:position w:val="0"/>
                <w:shd w:val="clear" w:color="auto" w:fill="auto"/>
                <w:lang w:val="pt-PT" w:eastAsia="pt-PT" w:bidi="pt-PT"/>
              </w:rPr>
              <w:t>DA POPULACAO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 xml:space="preserve">10.301.1.008 REFORMA E CONSERV. DE UNID. DE </w:t>
            </w:r>
            <w:r>
              <w:rPr>
                <w:rFonts w:ascii="Arial" w:eastAsia="Arial" w:hAnsi="Arial" w:cs="Arial"/>
                <w:color w:val="000000"/>
                <w:spacing w:val="0"/>
                <w:w w:val="100"/>
                <w:position w:val="0"/>
                <w:shd w:val="clear" w:color="auto" w:fill="auto"/>
                <w:lang w:val="pt-BR" w:eastAsia="pt-BR" w:bidi="pt-BR"/>
              </w:rPr>
              <w:t>SAUDE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31.852,21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15.081,10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1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Obras e Instalações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2.215.543,24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2.315.242,69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2.407.852,40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2.499.350,79</w:t>
            </w:r>
          </w:p>
        </w:tc>
      </w:tr>
      <w:tr>
        <w:trPr>
          <w:trHeight w:val="326"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31.852,21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15.081,10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2.215.543,24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2.315.242,69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2.407.852,40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2.499.350,79</w:t>
            </w:r>
          </w:p>
        </w:tc>
      </w:tr>
      <w:tr>
        <w:trPr>
          <w:trHeight w:val="283"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 xml:space="preserve">0052 ATENCAO A </w:t>
            </w:r>
            <w:r>
              <w:rPr>
                <w:rFonts w:ascii="Arial" w:eastAsia="Arial" w:hAnsi="Arial" w:cs="Arial"/>
                <w:color w:val="000000"/>
                <w:spacing w:val="0"/>
                <w:w w:val="100"/>
                <w:position w:val="0"/>
                <w:shd w:val="clear" w:color="auto" w:fill="auto"/>
                <w:lang w:val="pt-BR" w:eastAsia="pt-BR" w:bidi="pt-BR"/>
              </w:rPr>
              <w:t xml:space="preserve">SAUDE </w:t>
            </w:r>
            <w:r>
              <w:rPr>
                <w:rFonts w:ascii="Arial" w:eastAsia="Arial" w:hAnsi="Arial" w:cs="Arial"/>
                <w:color w:val="000000"/>
                <w:spacing w:val="0"/>
                <w:w w:val="100"/>
                <w:position w:val="0"/>
                <w:shd w:val="clear" w:color="auto" w:fill="auto"/>
                <w:lang w:val="pt-PT" w:eastAsia="pt-PT" w:bidi="pt-PT"/>
              </w:rPr>
              <w:t>DA POPULACAO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10.301.2.013 ENC. PROG.- INCENT. P/ ACOES ESTRATEGICAS</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6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1.165.212,84</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539.690,25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561.277,86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582.606,42</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245.809,54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256.870,97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267.145,81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277.297,35</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20.658,00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21.587,61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22.451,11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959.967,08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2.168.274,55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2.265.846,90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2.356.480,78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2.446.027,05</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206.580,00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215.876,10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224.511,14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233.042,56</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971.962,37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723.030,00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755.566,35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785.789,00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815.648,98</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19.500,00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96.795,12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101.150,90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105.196,94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109.194,42</w:t>
            </w:r>
          </w:p>
        </w:tc>
      </w:tr>
      <w:tr>
        <w:trPr>
          <w:trHeight w:val="326"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1.951.429,45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5.010.497,21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5.235.969,58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5.445.408,36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5.652.333,87</w:t>
            </w:r>
          </w:p>
        </w:tc>
      </w:tr>
      <w:tr>
        <w:trPr>
          <w:trHeight w:val="283"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 xml:space="preserve">0052 ATENCAO A </w:t>
            </w:r>
            <w:r>
              <w:rPr>
                <w:rFonts w:ascii="Arial" w:eastAsia="Arial" w:hAnsi="Arial" w:cs="Arial"/>
                <w:color w:val="000000"/>
                <w:spacing w:val="0"/>
                <w:w w:val="100"/>
                <w:position w:val="0"/>
                <w:shd w:val="clear" w:color="auto" w:fill="auto"/>
                <w:lang w:val="pt-BR" w:eastAsia="pt-BR" w:bidi="pt-BR"/>
              </w:rPr>
              <w:t xml:space="preserve">SAUDE </w:t>
            </w:r>
            <w:r>
              <w:rPr>
                <w:rFonts w:ascii="Arial" w:eastAsia="Arial" w:hAnsi="Arial" w:cs="Arial"/>
                <w:color w:val="000000"/>
                <w:spacing w:val="0"/>
                <w:w w:val="100"/>
                <w:position w:val="0"/>
                <w:shd w:val="clear" w:color="auto" w:fill="auto"/>
                <w:lang w:val="pt-PT" w:eastAsia="pt-PT" w:bidi="pt-PT"/>
              </w:rPr>
              <w:t>DA POPULACAO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10.301.2.014 ENC. PROG.- INCENT. FINANC. DA APS - DESEM</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67.194,22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323.814,15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336.766,72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349.563,86</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212.777,40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222.352,38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231.246,48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240.033,85</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294.840,00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302"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362.034,22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631.101,90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659.501,48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685.881,55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711.945,06</w:t>
            </w:r>
          </w:p>
        </w:tc>
      </w:tr>
    </w:tbl>
    <w:p>
      <w:pPr>
        <w:spacing w:lineRule="exact" w:line="1"/>
        <w:rPr>
          <w:sz w:val="2"/>
          <w:szCs w:val="2"/>
        </w:rPr>
      </w:pP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13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0034 ATENCAO COMUNITARIA</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 xml:space="preserve">10.122.2.016 MANUT. E FUN. DO CONSELHO MUN. DE </w:t>
      </w:r>
      <w:r>
        <w:rPr>
          <w:color w:val="000000"/>
          <w:spacing w:val="0"/>
          <w:w w:val="100"/>
          <w:position w:val="0"/>
          <w:shd w:val="clear" w:color="auto" w:fill="auto"/>
          <w:lang w:val="pt-BR" w:eastAsia="pt-BR" w:bidi="pt-BR"/>
        </w:rPr>
        <w:t>SAUDE</w:t>
      </w:r>
    </w:p>
    <w:tbl>
      <w:tblPr>
        <w:tblOverlap w:val="never"/>
        <w:jc w:val="center"/>
        <w:tblLayout w:type="fixed"/>
      </w:tblPr>
      <w:tblGrid>
        <w:gridCol w:w="1128"/>
        <w:gridCol w:w="4632"/>
        <w:gridCol w:w="1430"/>
        <w:gridCol w:w="1411"/>
        <w:gridCol w:w="1416"/>
        <w:gridCol w:w="1426"/>
        <w:gridCol w:w="1426"/>
        <w:gridCol w:w="1291"/>
      </w:tblGrid>
      <w:tr>
        <w:trPr>
          <w:trHeight w:val="19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3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12.394,80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12.952,57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13.470,67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13.982,56</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12.394,80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12.952,57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13.470,67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13.982,56</w:t>
            </w:r>
          </w:p>
        </w:tc>
      </w:tr>
      <w:tr>
        <w:trPr>
          <w:trHeight w:val="25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336"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8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66.105,60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69.080,35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71.843,57</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74.573,65</w:t>
            </w:r>
          </w:p>
        </w:tc>
      </w:tr>
      <w:tr>
        <w:trPr>
          <w:trHeight w:val="278"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 xml:space="preserve">REVITALIZACAO DA </w:t>
            </w:r>
            <w:r>
              <w:rPr>
                <w:rFonts w:ascii="Arial" w:eastAsia="Arial" w:hAnsi="Arial" w:cs="Arial"/>
                <w:color w:val="000000"/>
                <w:spacing w:val="0"/>
                <w:w w:val="100"/>
                <w:position w:val="0"/>
                <w:shd w:val="clear" w:color="auto" w:fill="auto"/>
                <w:lang w:val="pt-BR" w:eastAsia="pt-BR" w:bidi="pt-BR"/>
              </w:rPr>
              <w:t>SAUDE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10.301.2.017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 xml:space="preserve">MANUT. E FUNC. DA SECRETARIA MUN. DE </w:t>
            </w:r>
            <w:r>
              <w:rPr>
                <w:rFonts w:ascii="Arial" w:eastAsia="Arial" w:hAnsi="Arial" w:cs="Arial"/>
                <w:color w:val="000000"/>
                <w:spacing w:val="0"/>
                <w:w w:val="100"/>
                <w:position w:val="0"/>
                <w:shd w:val="clear" w:color="auto" w:fill="auto"/>
                <w:lang w:val="pt-BR" w:eastAsia="pt-BR" w:bidi="pt-BR"/>
              </w:rPr>
              <w:t>SAUDE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9"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664.707,50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643.496,46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161.907,08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168.383,36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174.781,93</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6.168.462,54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6.397.448,86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464.805,00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4.485.721,23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505.150,08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524.345,78</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120.915,33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180.757,50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188.891,59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196.447,25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203.912,25</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Trabalhistas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5.253,00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17.637,77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66.949,09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130.283,50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136.146,26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141.592,11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146.972,61</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3.3.90.08.00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Benefícios Assistenciais Servidor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18.829,14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34.956,39</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437.772,92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958.281,18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2.994.606,58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3.129.363,88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3.254.538,44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3.378.210,90</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438.982,50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458.736,71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477.086,18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495.215,45</w:t>
            </w:r>
          </w:p>
        </w:tc>
      </w:tr>
      <w:tr>
        <w:trPr>
          <w:trHeight w:val="21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568.095,00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593.659,28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617.405,65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640.867,06</w:t>
            </w:r>
          </w:p>
        </w:tc>
      </w:tr>
      <w:tr>
        <w:trPr>
          <w:trHeight w:val="197"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Serviços de Consultoria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299.541,00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313.020,35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325.541,16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337.911,72</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153.575,00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94.575,00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1.781.752,50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1.861.931,36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1.936.408,61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2.009.992,14</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8.110.105,99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7.497.133,22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3.873.375,00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4.047.676,88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4.209.583,96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4.369.548,15</w:t>
            </w:r>
          </w:p>
        </w:tc>
      </w:tr>
      <w:tr>
        <w:trPr>
          <w:trHeight w:val="21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3.3.90.47.00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Obrigações Tributárias e Contributivas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458.700,00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680.000,00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291.303,22</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77.775,28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3.854,49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67.138,50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70.159,73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72.966,12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75.738,83</w:t>
            </w:r>
          </w:p>
        </w:tc>
      </w:tr>
      <w:tr>
        <w:trPr>
          <w:trHeight w:val="22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e Restituições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4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181.000,00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346.021,50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361.592,47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376.056,17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390.346,30</w:t>
            </w:r>
          </w:p>
        </w:tc>
      </w:tr>
      <w:tr>
        <w:trPr>
          <w:trHeight w:val="326"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8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16.457.316,65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16.311.256,12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11.630.821,58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16.154.208,59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12.640.376,94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13.120.711,25</w:t>
            </w:r>
          </w:p>
        </w:tc>
      </w:tr>
      <w:tr>
        <w:trPr>
          <w:trHeight w:val="283"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 xml:space="preserve">0052 ATENCAO A </w:t>
            </w:r>
            <w:r>
              <w:rPr>
                <w:rFonts w:ascii="Arial" w:eastAsia="Arial" w:hAnsi="Arial" w:cs="Arial"/>
                <w:color w:val="000000"/>
                <w:spacing w:val="0"/>
                <w:w w:val="100"/>
                <w:position w:val="0"/>
                <w:shd w:val="clear" w:color="auto" w:fill="auto"/>
                <w:lang w:val="pt-BR" w:eastAsia="pt-BR" w:bidi="pt-BR"/>
              </w:rPr>
              <w:t xml:space="preserve">SAUDE </w:t>
            </w:r>
            <w:r>
              <w:rPr>
                <w:rFonts w:ascii="Arial" w:eastAsia="Arial" w:hAnsi="Arial" w:cs="Arial"/>
                <w:color w:val="000000"/>
                <w:spacing w:val="0"/>
                <w:w w:val="100"/>
                <w:position w:val="0"/>
                <w:shd w:val="clear" w:color="auto" w:fill="auto"/>
                <w:lang w:val="pt-PT" w:eastAsia="pt-PT" w:bidi="pt-PT"/>
              </w:rPr>
              <w:t>DA POPULACAO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10.301.2.019 ENC. PROG.- INCENT. FIN.DA APS-CAPITA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83"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1.165.212,84</w:t>
            </w:r>
          </w:p>
        </w:tc>
      </w:tr>
    </w:tbl>
    <w:p>
      <w:pPr>
        <w:spacing w:lineRule="exact" w:line="1"/>
        <w:rPr>
          <w:sz w:val="2"/>
          <w:szCs w:val="2"/>
        </w:rPr>
      </w:pP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0"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r>
        <w:trPr>
          <w:trHeight w:val="312"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1.472.754,30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1.539.028,24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1.600.589,37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1.661.411,77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413.160,00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431.752,20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449.022,29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466.085,14</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123.948,00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129.525,66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134.706,69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139.825,54</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3.740.006,74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2.093.556,25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2.187.766,28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2.275.276,93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2.361.737,45</w:t>
            </w:r>
          </w:p>
        </w:tc>
      </w:tr>
      <w:tr>
        <w:trPr>
          <w:trHeight w:val="22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103.680,00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185.922,00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194.288,49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202.060,03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209.738,31</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619.740,00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647.628,30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673.533,43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699.127,70</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4.791.602,88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1.755.930,00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1.834.946,85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1.908.344,72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1.980.861,82</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8.635.289,62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7.697.910,55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8.044.316,52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8.366.089,18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8.684.000,57</w:t>
            </w:r>
          </w:p>
        </w:tc>
      </w:tr>
    </w:tbl>
    <w:p>
      <w:pPr>
        <w:widowControl w:val="0"/>
        <w:spacing w:after="59" w:line="1" w:lineRule="exact"/>
      </w:pPr>
    </w:p>
    <w:p>
      <w:pPr>
        <w:pStyle w:val="Style29"/>
        <w:keepNext w:val="0"/>
        <w:keepLines w:val="0"/>
        <w:widowControl w:val="0"/>
        <w:shd w:val="clear" w:color="auto" w:fill="auto"/>
        <w:bidi w:val="0"/>
        <w:spacing w:before="0" w:after="60" w:line="240" w:lineRule="auto"/>
        <w:ind w:left="660" w:right="0" w:firstLine="0"/>
        <w:jc w:val="left"/>
      </w:pPr>
      <w:r>
        <w:rPr>
          <w:color w:val="000000"/>
          <w:spacing w:val="0"/>
          <w:w w:val="100"/>
          <w:position w:val="0"/>
          <w:shd w:val="clear" w:color="auto" w:fill="auto"/>
          <w:lang w:val="pt-PT" w:eastAsia="pt-PT" w:bidi="pt-PT"/>
        </w:rPr>
        <w:t xml:space="preserve">0052 ATENCAO A </w:t>
      </w:r>
      <w:r>
        <w:rPr>
          <w:color w:val="000000"/>
          <w:spacing w:val="0"/>
          <w:w w:val="100"/>
          <w:position w:val="0"/>
          <w:shd w:val="clear" w:color="auto" w:fill="auto"/>
          <w:lang w:val="pt-BR" w:eastAsia="pt-BR" w:bidi="pt-BR"/>
        </w:rPr>
        <w:t xml:space="preserve">SAUDE </w:t>
      </w:r>
      <w:r>
        <w:rPr>
          <w:color w:val="000000"/>
          <w:spacing w:val="0"/>
          <w:w w:val="100"/>
          <w:position w:val="0"/>
          <w:shd w:val="clear" w:color="auto" w:fill="auto"/>
          <w:lang w:val="pt-PT" w:eastAsia="pt-PT" w:bidi="pt-PT"/>
        </w:rPr>
        <w:t>DA POPULACAO</w:t>
      </w:r>
    </w:p>
    <w:p>
      <w:pPr>
        <w:pStyle w:val="Style29"/>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 xml:space="preserve">10.301.2.030 ENC. PROG.- AG. COMUN. DE </w:t>
      </w:r>
      <w:r>
        <w:rPr>
          <w:color w:val="000000"/>
          <w:spacing w:val="0"/>
          <w:w w:val="100"/>
          <w:position w:val="0"/>
          <w:shd w:val="clear" w:color="auto" w:fill="auto"/>
          <w:lang w:val="pt-BR" w:eastAsia="pt-BR" w:bidi="pt-BR"/>
        </w:rPr>
        <w:t>SAUDE</w:t>
      </w:r>
    </w:p>
    <w:tbl>
      <w:tblPr>
        <w:tblOverlap w:val="never"/>
        <w:jc w:val="center"/>
        <w:tblLayout w:type="fixed"/>
      </w:tblPr>
      <w:tblGrid>
        <w:gridCol w:w="1104"/>
        <w:gridCol w:w="4536"/>
        <w:gridCol w:w="1512"/>
        <w:gridCol w:w="1406"/>
        <w:gridCol w:w="1421"/>
        <w:gridCol w:w="1426"/>
        <w:gridCol w:w="1426"/>
        <w:gridCol w:w="1248"/>
      </w:tblGrid>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52.890,40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1.079.380,50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1.122.555,72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1.165.212,84</w:t>
            </w:r>
          </w:p>
        </w:tc>
      </w:tr>
      <w:tr>
        <w:trPr>
          <w:trHeight w:val="197"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4.101.329,74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6.574.295,06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2.065.800,00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2.158.761,00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2.245.111,44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2.330.425,67</w:t>
            </w:r>
          </w:p>
        </w:tc>
      </w:tr>
      <w:tr>
        <w:trPr>
          <w:trHeight w:val="25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531.141,97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555.043,36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577.245,09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599.180,40</w:t>
            </w:r>
          </w:p>
        </w:tc>
      </w:tr>
      <w:tr>
        <w:trPr>
          <w:trHeight w:val="302"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4.154.220,14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6.574.295,06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3.629.841,97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3.793.184,86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3.944.912,25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4.094.818,91</w:t>
            </w:r>
          </w:p>
        </w:tc>
      </w:tr>
    </w:tbl>
    <w:p>
      <w:pPr>
        <w:widowControl w:val="0"/>
        <w:spacing w:after="59" w:line="1" w:lineRule="exact"/>
      </w:pPr>
    </w:p>
    <w:p>
      <w:pPr>
        <w:pStyle w:val="Style33"/>
        <w:keepNext w:val="0"/>
        <w:keepLines w:val="0"/>
        <w:widowControl w:val="0"/>
        <w:shd w:val="clear" w:color="auto" w:fill="auto"/>
        <w:bidi w:val="0"/>
        <w:spacing w:before="0" w:after="0" w:line="240" w:lineRule="auto"/>
        <w:ind w:left="643" w:right="0" w:firstLine="0"/>
        <w:jc w:val="left"/>
        <w:rPr>
          <w:sz w:val="18"/>
          <w:szCs w:val="18"/>
        </w:rPr>
      </w:pPr>
      <w:r>
        <w:rPr>
          <w:color w:val="000000"/>
          <w:spacing w:val="0"/>
          <w:w w:val="100"/>
          <w:position w:val="0"/>
          <w:sz w:val="18"/>
          <w:szCs w:val="18"/>
          <w:shd w:val="clear" w:color="auto" w:fill="auto"/>
          <w:lang w:val="pt-PT" w:eastAsia="pt-PT" w:bidi="pt-PT"/>
        </w:rPr>
        <w:t xml:space="preserve">0052 ATENCAO A </w:t>
      </w:r>
      <w:r>
        <w:rPr>
          <w:color w:val="000000"/>
          <w:spacing w:val="0"/>
          <w:w w:val="100"/>
          <w:position w:val="0"/>
          <w:sz w:val="18"/>
          <w:szCs w:val="18"/>
          <w:shd w:val="clear" w:color="auto" w:fill="auto"/>
          <w:lang w:val="pt-BR" w:eastAsia="pt-BR" w:bidi="pt-BR"/>
        </w:rPr>
        <w:t xml:space="preserve">SAUDE </w:t>
      </w:r>
      <w:r>
        <w:rPr>
          <w:color w:val="000000"/>
          <w:spacing w:val="0"/>
          <w:w w:val="100"/>
          <w:position w:val="0"/>
          <w:sz w:val="18"/>
          <w:szCs w:val="18"/>
          <w:shd w:val="clear" w:color="auto" w:fill="auto"/>
          <w:lang w:val="pt-PT" w:eastAsia="pt-PT" w:bidi="pt-PT"/>
        </w:rPr>
        <w:t>DA POPULACAO</w:t>
      </w:r>
    </w:p>
    <w:tbl>
      <w:tblPr>
        <w:tblOverlap w:val="never"/>
        <w:jc w:val="center"/>
        <w:tblLayout w:type="fixed"/>
      </w:tblPr>
      <w:tblGrid>
        <w:gridCol w:w="6024"/>
        <w:gridCol w:w="1262"/>
        <w:gridCol w:w="1411"/>
        <w:gridCol w:w="1416"/>
        <w:gridCol w:w="1426"/>
        <w:gridCol w:w="1426"/>
        <w:gridCol w:w="1186"/>
      </w:tblGrid>
      <w:tr>
        <w:trPr>
          <w:trHeight w:val="240" w:hRule="exact"/>
        </w:trPr>
        <w:tc>
          <w:tcPr>
            <w:gridSpan w:val="7"/>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10.301.2.031 ENC. PROG. DE INFORMATIZACAO DA APS</w:t>
            </w: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285.348,77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66.105,60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69.080,35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71.843,56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74.573,62</w:t>
            </w:r>
          </w:p>
        </w:tc>
      </w:tr>
      <w:tr>
        <w:trPr>
          <w:trHeight w:val="25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19.870,80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309.870,00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323.814,15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336.766,72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349.563,86</w:t>
            </w:r>
          </w:p>
        </w:tc>
      </w:tr>
      <w:tr>
        <w:trPr>
          <w:trHeight w:val="298"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305.219,57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375.975,60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392.894,50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408.610,28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424.137,48</w:t>
            </w:r>
          </w:p>
        </w:tc>
      </w:tr>
    </w:tbl>
    <w:p>
      <w:pPr>
        <w:widowControl w:val="0"/>
        <w:spacing w:after="59" w:line="1" w:lineRule="exact"/>
      </w:pPr>
    </w:p>
    <w:p>
      <w:pPr>
        <w:pStyle w:val="Style29"/>
        <w:keepNext w:val="0"/>
        <w:keepLines w:val="0"/>
        <w:widowControl w:val="0"/>
        <w:shd w:val="clear" w:color="auto" w:fill="auto"/>
        <w:bidi w:val="0"/>
        <w:spacing w:before="0" w:after="60" w:line="240" w:lineRule="auto"/>
        <w:ind w:left="660" w:right="0" w:firstLine="0"/>
        <w:jc w:val="left"/>
      </w:pPr>
      <w:r>
        <w:rPr>
          <w:color w:val="000000"/>
          <w:spacing w:val="0"/>
          <w:w w:val="100"/>
          <w:position w:val="0"/>
          <w:shd w:val="clear" w:color="auto" w:fill="auto"/>
          <w:lang w:val="pt-PT" w:eastAsia="pt-PT" w:bidi="pt-PT"/>
        </w:rPr>
        <w:t xml:space="preserve">0052 ATENCAO A </w:t>
      </w:r>
      <w:r>
        <w:rPr>
          <w:color w:val="000000"/>
          <w:spacing w:val="0"/>
          <w:w w:val="100"/>
          <w:position w:val="0"/>
          <w:shd w:val="clear" w:color="auto" w:fill="auto"/>
          <w:lang w:val="pt-BR" w:eastAsia="pt-BR" w:bidi="pt-BR"/>
        </w:rPr>
        <w:t xml:space="preserve">SAUDE </w:t>
      </w:r>
      <w:r>
        <w:rPr>
          <w:color w:val="000000"/>
          <w:spacing w:val="0"/>
          <w:w w:val="100"/>
          <w:position w:val="0"/>
          <w:shd w:val="clear" w:color="auto" w:fill="auto"/>
          <w:lang w:val="pt-PT" w:eastAsia="pt-PT" w:bidi="pt-PT"/>
        </w:rPr>
        <w:t>DA POPULACAO</w:t>
      </w:r>
    </w:p>
    <w:p>
      <w:pPr>
        <w:pStyle w:val="Style29"/>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 xml:space="preserve">10.302.2.033 ENC. PROG.- AT. </w:t>
      </w:r>
      <w:r>
        <w:rPr>
          <w:color w:val="000000"/>
          <w:spacing w:val="0"/>
          <w:w w:val="100"/>
          <w:position w:val="0"/>
          <w:shd w:val="clear" w:color="auto" w:fill="auto"/>
          <w:lang w:val="pt-BR" w:eastAsia="pt-BR" w:bidi="pt-BR"/>
        </w:rPr>
        <w:t xml:space="preserve">SAUDE </w:t>
      </w:r>
      <w:r>
        <w:rPr>
          <w:color w:val="000000"/>
          <w:spacing w:val="0"/>
          <w:w w:val="100"/>
          <w:position w:val="0"/>
          <w:shd w:val="clear" w:color="auto" w:fill="auto"/>
          <w:lang w:val="pt-PT" w:eastAsia="pt-PT" w:bidi="pt-PT"/>
        </w:rPr>
        <w:t>DA POP. P/PROC</w:t>
      </w:r>
    </w:p>
    <w:tbl>
      <w:tblPr>
        <w:tblOverlap w:val="never"/>
        <w:jc w:val="center"/>
        <w:tblLayout w:type="fixed"/>
      </w:tblPr>
      <w:tblGrid>
        <w:gridCol w:w="1114"/>
        <w:gridCol w:w="4838"/>
        <w:gridCol w:w="1162"/>
        <w:gridCol w:w="1450"/>
        <w:gridCol w:w="1382"/>
        <w:gridCol w:w="1426"/>
        <w:gridCol w:w="1421"/>
        <w:gridCol w:w="1291"/>
      </w:tblGrid>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1.619.070,75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1.683.833,58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1.747.819,26</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3.238.141,50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3.367.667,16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3.495.638,51</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929.610,00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971.442,45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1.010.300,15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1.048.691,56</w:t>
            </w:r>
          </w:p>
        </w:tc>
      </w:tr>
      <w:tr>
        <w:trPr>
          <w:trHeight w:val="21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3.1.90.94.00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Trabalhistas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242.523,37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36.151,50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37.778,32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39.289,45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40.782,45</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31.897.102,57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15.056.785,16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15.659.056,57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16.254.100,72</w:t>
            </w:r>
          </w:p>
        </w:tc>
      </w:tr>
      <w:tr>
        <w:trPr>
          <w:trHeight w:val="22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1.114.000,00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539.690,25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561.277,86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582.606,42</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291.303,22</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7.373.293,14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793.338,54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829.038,77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862.200,32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894.963,93</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3.3.90.47.00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Tributárias e Contributivas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202,05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93.600,00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40.720.721,13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9.764.075,04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22.561.792,33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23.464.264,03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24.355.906,07</w:t>
            </w:r>
          </w:p>
        </w:tc>
      </w:tr>
    </w:tbl>
    <w:p>
      <w:pPr>
        <w:spacing w:lineRule="exact" w:line="1"/>
        <w:rPr>
          <w:sz w:val="2"/>
          <w:szCs w:val="2"/>
        </w:rPr>
      </w:pP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13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 xml:space="preserve">0052 ATENCAO A </w:t>
      </w:r>
      <w:r>
        <w:rPr>
          <w:color w:val="000000"/>
          <w:spacing w:val="0"/>
          <w:w w:val="100"/>
          <w:position w:val="0"/>
          <w:shd w:val="clear" w:color="auto" w:fill="auto"/>
          <w:lang w:val="pt-BR" w:eastAsia="pt-BR" w:bidi="pt-BR"/>
        </w:rPr>
        <w:t xml:space="preserve">SAUDE </w:t>
      </w:r>
      <w:r>
        <w:rPr>
          <w:color w:val="000000"/>
          <w:spacing w:val="0"/>
          <w:w w:val="100"/>
          <w:position w:val="0"/>
          <w:shd w:val="clear" w:color="auto" w:fill="auto"/>
          <w:lang w:val="pt-PT" w:eastAsia="pt-PT" w:bidi="pt-PT"/>
        </w:rPr>
        <w:t>DA POPULACAO</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10.304.2.040 ENC. COM PROG.- INC. FINAN AOS EST DF E</w:t>
      </w:r>
    </w:p>
    <w:tbl>
      <w:tblPr>
        <w:tblOverlap w:val="never"/>
        <w:jc w:val="center"/>
        <w:tblLayout w:type="fixed"/>
      </w:tblPr>
      <w:tblGrid>
        <w:gridCol w:w="1181"/>
        <w:gridCol w:w="4838"/>
        <w:gridCol w:w="1214"/>
        <w:gridCol w:w="1469"/>
        <w:gridCol w:w="1416"/>
        <w:gridCol w:w="1426"/>
        <w:gridCol w:w="1426"/>
        <w:gridCol w:w="1186"/>
      </w:tblGrid>
      <w:tr>
        <w:trPr>
          <w:trHeight w:val="24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41.002,00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42.847,09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44.560,97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46.254,29</w:t>
            </w:r>
          </w:p>
        </w:tc>
      </w:tr>
      <w:tr>
        <w:trPr>
          <w:trHeight w:val="331"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41.002,00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42.847,09</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44.560,97</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46.254,29</w:t>
            </w:r>
          </w:p>
        </w:tc>
      </w:tr>
      <w:tr>
        <w:trPr>
          <w:trHeight w:val="278"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 xml:space="preserve">0052 ATENCAO A </w:t>
            </w:r>
            <w:r>
              <w:rPr>
                <w:rFonts w:ascii="Arial" w:eastAsia="Arial" w:hAnsi="Arial" w:cs="Arial"/>
                <w:color w:val="000000"/>
                <w:spacing w:val="0"/>
                <w:w w:val="100"/>
                <w:position w:val="0"/>
                <w:shd w:val="clear" w:color="auto" w:fill="auto"/>
                <w:lang w:val="pt-BR" w:eastAsia="pt-BR" w:bidi="pt-BR"/>
              </w:rPr>
              <w:t xml:space="preserve">SAUDE </w:t>
            </w:r>
            <w:r>
              <w:rPr>
                <w:rFonts w:ascii="Arial" w:eastAsia="Arial" w:hAnsi="Arial" w:cs="Arial"/>
                <w:color w:val="000000"/>
                <w:spacing w:val="0"/>
                <w:w w:val="100"/>
                <w:position w:val="0"/>
                <w:shd w:val="clear" w:color="auto" w:fill="auto"/>
                <w:lang w:val="pt-PT" w:eastAsia="pt-PT" w:bidi="pt-PT"/>
              </w:rPr>
              <w:t>DA POPULACAO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10.305.2.043 ENC. COM PROG.- INC FIN. AOS EST. DF E MUNI</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1.206.941,68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435.554,76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455.154,72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473.360,91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491.348,62</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1.206.941,68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642.134,76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671.030,82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697.872,05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724.391,18</w:t>
            </w:r>
          </w:p>
        </w:tc>
      </w:tr>
    </w:tbl>
    <w:p>
      <w:pPr>
        <w:widowControl w:val="0"/>
        <w:spacing w:after="9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 xml:space="preserve">0052 ATENCAO A </w:t>
      </w:r>
      <w:r>
        <w:rPr>
          <w:color w:val="000000"/>
          <w:spacing w:val="0"/>
          <w:w w:val="100"/>
          <w:position w:val="0"/>
          <w:shd w:val="clear" w:color="auto" w:fill="auto"/>
          <w:lang w:val="pt-BR" w:eastAsia="pt-BR" w:bidi="pt-BR"/>
        </w:rPr>
        <w:t xml:space="preserve">SAUDE </w:t>
      </w:r>
      <w:r>
        <w:rPr>
          <w:color w:val="000000"/>
          <w:spacing w:val="0"/>
          <w:w w:val="100"/>
          <w:position w:val="0"/>
          <w:shd w:val="clear" w:color="auto" w:fill="auto"/>
          <w:lang w:val="pt-PT" w:eastAsia="pt-PT" w:bidi="pt-PT"/>
        </w:rPr>
        <w:t>DA POPULACAO</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 xml:space="preserve">10.303.2.044 ENC. PROG.- PROM ASSIST. FARM. E INSUMOS </w:t>
      </w:r>
      <w:r>
        <w:rPr>
          <w:color w:val="000000"/>
          <w:spacing w:val="0"/>
          <w:w w:val="100"/>
          <w:position w:val="0"/>
          <w:shd w:val="clear" w:color="auto" w:fill="auto"/>
          <w:lang w:val="pt-BR" w:eastAsia="pt-BR" w:bidi="pt-BR"/>
        </w:rPr>
        <w:t>ES</w:t>
      </w:r>
    </w:p>
    <w:tbl>
      <w:tblPr>
        <w:tblOverlap w:val="never"/>
        <w:jc w:val="center"/>
        <w:tblLayout w:type="fixed"/>
      </w:tblPr>
      <w:tblGrid>
        <w:gridCol w:w="1109"/>
        <w:gridCol w:w="4598"/>
        <w:gridCol w:w="1512"/>
        <w:gridCol w:w="1406"/>
        <w:gridCol w:w="1421"/>
        <w:gridCol w:w="1421"/>
        <w:gridCol w:w="1430"/>
        <w:gridCol w:w="1186"/>
      </w:tblGrid>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434.604,75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377.796,77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355.819,82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371.831,71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386.704,98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401.399,77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302"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434.604,75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377.796,77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459.109,82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479.769,77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498.960,56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517.921,07</w:t>
            </w:r>
          </w:p>
        </w:tc>
      </w:tr>
    </w:tbl>
    <w:p>
      <w:pPr>
        <w:widowControl w:val="0"/>
        <w:spacing w:after="39" w:line="1" w:lineRule="exact"/>
      </w:pPr>
    </w:p>
    <w:p>
      <w:pPr>
        <w:pStyle w:val="Style33"/>
        <w:keepNext w:val="0"/>
        <w:keepLines w:val="0"/>
        <w:widowControl w:val="0"/>
        <w:shd w:val="clear" w:color="auto" w:fill="auto"/>
        <w:bidi w:val="0"/>
        <w:spacing w:before="0" w:after="0" w:line="240" w:lineRule="auto"/>
        <w:ind w:left="643" w:right="0" w:firstLine="0"/>
        <w:jc w:val="left"/>
        <w:rPr>
          <w:sz w:val="18"/>
          <w:szCs w:val="18"/>
        </w:rPr>
      </w:pPr>
      <w:r>
        <w:rPr>
          <w:color w:val="000000"/>
          <w:spacing w:val="0"/>
          <w:w w:val="100"/>
          <w:position w:val="0"/>
          <w:sz w:val="18"/>
          <w:szCs w:val="18"/>
          <w:shd w:val="clear" w:color="auto" w:fill="auto"/>
          <w:lang w:val="pt-PT" w:eastAsia="pt-PT" w:bidi="pt-PT"/>
        </w:rPr>
        <w:t xml:space="preserve">0052 ATENCAO A </w:t>
      </w:r>
      <w:r>
        <w:rPr>
          <w:color w:val="000000"/>
          <w:spacing w:val="0"/>
          <w:w w:val="100"/>
          <w:position w:val="0"/>
          <w:sz w:val="18"/>
          <w:szCs w:val="18"/>
          <w:shd w:val="clear" w:color="auto" w:fill="auto"/>
          <w:lang w:val="pt-BR" w:eastAsia="pt-BR" w:bidi="pt-BR"/>
        </w:rPr>
        <w:t xml:space="preserve">SAUDE </w:t>
      </w:r>
      <w:r>
        <w:rPr>
          <w:color w:val="000000"/>
          <w:spacing w:val="0"/>
          <w:w w:val="100"/>
          <w:position w:val="0"/>
          <w:sz w:val="18"/>
          <w:szCs w:val="18"/>
          <w:shd w:val="clear" w:color="auto" w:fill="auto"/>
          <w:lang w:val="pt-PT" w:eastAsia="pt-PT" w:bidi="pt-PT"/>
        </w:rPr>
        <w:t>DA POPULACAO</w:t>
      </w:r>
    </w:p>
    <w:tbl>
      <w:tblPr>
        <w:tblOverlap w:val="never"/>
        <w:jc w:val="center"/>
        <w:tblLayout w:type="fixed"/>
      </w:tblPr>
      <w:tblGrid>
        <w:gridCol w:w="5731"/>
        <w:gridCol w:w="1800"/>
        <w:gridCol w:w="1411"/>
        <w:gridCol w:w="1416"/>
        <w:gridCol w:w="1426"/>
        <w:gridCol w:w="1426"/>
        <w:gridCol w:w="946"/>
      </w:tblGrid>
      <w:tr>
        <w:trPr>
          <w:trHeight w:val="24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 xml:space="preserve">10.302.2.051 FUNCIONAMENTO DO GESTAO PLENA DE </w:t>
            </w:r>
            <w:r>
              <w:rPr>
                <w:rFonts w:ascii="Arial" w:eastAsia="Arial" w:hAnsi="Arial" w:cs="Arial"/>
                <w:color w:val="000000"/>
                <w:spacing w:val="0"/>
                <w:w w:val="100"/>
                <w:position w:val="0"/>
                <w:shd w:val="clear" w:color="auto" w:fill="auto"/>
                <w:lang w:val="pt-BR" w:eastAsia="pt-BR" w:bidi="pt-BR"/>
              </w:rPr>
              <w:t xml:space="preserve">SAUDE </w:t>
            </w:r>
            <w:r>
              <w:rPr>
                <w:rFonts w:ascii="Arial" w:eastAsia="Arial" w:hAnsi="Arial" w:cs="Arial"/>
                <w:color w:val="000000"/>
                <w:spacing w:val="0"/>
                <w:w w:val="100"/>
                <w:position w:val="0"/>
                <w:shd w:val="clear" w:color="auto" w:fill="auto"/>
                <w:lang w:val="pt-PT" w:eastAsia="pt-PT" w:bidi="pt-PT"/>
              </w:rPr>
              <w:t>-</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6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 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197"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 Vencimentos e Vant. Fixas - Pessoal Civil</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745.330,35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 xml:space="preserve">3.1.90.94.00 </w:t>
            </w: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Trabalhistas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11.452,04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2"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14.515.453,68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2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 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818.806,00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19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9.005.324,93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 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114.430,00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02"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25.210.797,00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bl>
    <w:p>
      <w:pPr>
        <w:widowControl w:val="0"/>
        <w:spacing w:after="3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 xml:space="preserve">0052 ATENCAO A </w:t>
      </w:r>
      <w:r>
        <w:rPr>
          <w:color w:val="000000"/>
          <w:spacing w:val="0"/>
          <w:w w:val="100"/>
          <w:position w:val="0"/>
          <w:shd w:val="clear" w:color="auto" w:fill="auto"/>
          <w:lang w:val="pt-BR" w:eastAsia="pt-BR" w:bidi="pt-BR"/>
        </w:rPr>
        <w:t xml:space="preserve">SAUDE </w:t>
      </w:r>
      <w:r>
        <w:rPr>
          <w:color w:val="000000"/>
          <w:spacing w:val="0"/>
          <w:w w:val="100"/>
          <w:position w:val="0"/>
          <w:shd w:val="clear" w:color="auto" w:fill="auto"/>
          <w:lang w:val="pt-PT" w:eastAsia="pt-PT" w:bidi="pt-PT"/>
        </w:rPr>
        <w:t>DA POPULACAO</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10.301.2.055 ENC. PROG. - TRANSF. BLOCO DE MANUT. ACOES</w:t>
      </w:r>
    </w:p>
    <w:tbl>
      <w:tblPr>
        <w:tblOverlap w:val="never"/>
        <w:jc w:val="center"/>
        <w:tblLayout w:type="fixed"/>
      </w:tblPr>
      <w:tblGrid>
        <w:gridCol w:w="1109"/>
        <w:gridCol w:w="4445"/>
        <w:gridCol w:w="1603"/>
        <w:gridCol w:w="1402"/>
        <w:gridCol w:w="1421"/>
        <w:gridCol w:w="1421"/>
        <w:gridCol w:w="1430"/>
        <w:gridCol w:w="1200"/>
      </w:tblGrid>
      <w:tr>
        <w:trPr>
          <w:trHeight w:val="197"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1.049.510,65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3.531.941,64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3.690.879,01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3.838.514,17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3.984.377,71</w:t>
            </w:r>
          </w:p>
        </w:tc>
      </w:tr>
    </w:tbl>
    <w:p>
      <w:pPr>
        <w:spacing w:lineRule="exact" w:line="1"/>
        <w:rPr>
          <w:sz w:val="2"/>
          <w:szCs w:val="2"/>
        </w:rPr>
      </w:pP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0"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r>
        <w:trPr>
          <w:trHeight w:val="331"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19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1.165.212,84</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2.257.300,00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1.165.212,84</w:t>
            </w:r>
          </w:p>
        </w:tc>
      </w:tr>
      <w:tr>
        <w:trPr>
          <w:trHeight w:val="302"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3.306.810,65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5.597.741,64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5.849.640,01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6.083.625,61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6.314.803,39</w:t>
            </w:r>
          </w:p>
        </w:tc>
      </w:tr>
    </w:tbl>
    <w:p>
      <w:pPr>
        <w:widowControl w:val="0"/>
        <w:spacing w:after="59" w:line="1" w:lineRule="exact"/>
      </w:pPr>
    </w:p>
    <w:p>
      <w:pPr>
        <w:pStyle w:val="Style29"/>
        <w:keepNext w:val="0"/>
        <w:keepLines w:val="0"/>
        <w:widowControl w:val="0"/>
        <w:shd w:val="clear" w:color="auto" w:fill="auto"/>
        <w:bidi w:val="0"/>
        <w:spacing w:before="0" w:after="60" w:line="240" w:lineRule="auto"/>
        <w:ind w:left="660" w:right="0" w:firstLine="0"/>
        <w:jc w:val="left"/>
      </w:pPr>
      <w:r>
        <w:rPr>
          <w:color w:val="000000"/>
          <w:spacing w:val="0"/>
          <w:w w:val="100"/>
          <w:position w:val="0"/>
          <w:shd w:val="clear" w:color="auto" w:fill="auto"/>
          <w:lang w:val="pt-PT" w:eastAsia="pt-PT" w:bidi="pt-PT"/>
        </w:rPr>
        <w:t xml:space="preserve">0052 ATENCAO A </w:t>
      </w:r>
      <w:r>
        <w:rPr>
          <w:color w:val="000000"/>
          <w:spacing w:val="0"/>
          <w:w w:val="100"/>
          <w:position w:val="0"/>
          <w:shd w:val="clear" w:color="auto" w:fill="auto"/>
          <w:lang w:val="pt-BR" w:eastAsia="pt-BR" w:bidi="pt-BR"/>
        </w:rPr>
        <w:t xml:space="preserve">SAUDE </w:t>
      </w:r>
      <w:r>
        <w:rPr>
          <w:color w:val="000000"/>
          <w:spacing w:val="0"/>
          <w:w w:val="100"/>
          <w:position w:val="0"/>
          <w:shd w:val="clear" w:color="auto" w:fill="auto"/>
          <w:lang w:val="pt-PT" w:eastAsia="pt-PT" w:bidi="pt-PT"/>
        </w:rPr>
        <w:t>DA POPULACAO</w:t>
      </w:r>
    </w:p>
    <w:p>
      <w:pPr>
        <w:pStyle w:val="Style29"/>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10.301.2.063 ENCARGOS COM O BLOCO DE ATENCAO BASICA</w:t>
      </w:r>
    </w:p>
    <w:tbl>
      <w:tblPr>
        <w:tblOverlap w:val="never"/>
        <w:jc w:val="center"/>
        <w:tblLayout w:type="fixed"/>
      </w:tblPr>
      <w:tblGrid>
        <w:gridCol w:w="5779"/>
        <w:gridCol w:w="1752"/>
        <w:gridCol w:w="1219"/>
        <w:gridCol w:w="1416"/>
        <w:gridCol w:w="1426"/>
        <w:gridCol w:w="1426"/>
        <w:gridCol w:w="1133"/>
      </w:tblGrid>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 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197"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 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1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15.713.606,39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2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 Passagens e Despesas com Locomoção</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573.400,00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197"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2.184.795,29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 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133.943,00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36"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18.605.744,68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69"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 xml:space="preserve">0052 ATENCAO A </w:t>
            </w:r>
            <w:r>
              <w:rPr>
                <w:rFonts w:ascii="Arial" w:eastAsia="Arial" w:hAnsi="Arial" w:cs="Arial"/>
                <w:color w:val="000000"/>
                <w:spacing w:val="0"/>
                <w:w w:val="100"/>
                <w:position w:val="0"/>
                <w:shd w:val="clear" w:color="auto" w:fill="auto"/>
                <w:lang w:val="pt-BR" w:eastAsia="pt-BR" w:bidi="pt-BR"/>
              </w:rPr>
              <w:t xml:space="preserve">SAUDE </w:t>
            </w:r>
            <w:r>
              <w:rPr>
                <w:rFonts w:ascii="Arial" w:eastAsia="Arial" w:hAnsi="Arial" w:cs="Arial"/>
                <w:color w:val="000000"/>
                <w:spacing w:val="0"/>
                <w:w w:val="100"/>
                <w:position w:val="0"/>
                <w:shd w:val="clear" w:color="auto" w:fill="auto"/>
                <w:lang w:val="pt-PT" w:eastAsia="pt-PT" w:bidi="pt-PT"/>
              </w:rPr>
              <w:t>DA POPULACAO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10.301.2.076 ENCARGOS COM O PROGRAMA- FNS PISO DE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69"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 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197"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 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3.863.250,00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 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459.453,00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31"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4.322.703,00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7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 xml:space="preserve">0051 REVITALIZACAO DA </w:t>
            </w:r>
            <w:r>
              <w:rPr>
                <w:rFonts w:ascii="Arial" w:eastAsia="Arial" w:hAnsi="Arial" w:cs="Arial"/>
                <w:color w:val="000000"/>
                <w:spacing w:val="0"/>
                <w:w w:val="100"/>
                <w:position w:val="0"/>
                <w:shd w:val="clear" w:color="auto" w:fill="auto"/>
                <w:lang w:val="pt-BR" w:eastAsia="pt-BR" w:bidi="pt-BR"/>
              </w:rPr>
              <w:t>SAUDE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 xml:space="preserve">10.305.2.079 ENCARGOS COM PROG. DE VIGILANCIA EM </w:t>
            </w:r>
            <w:r>
              <w:rPr>
                <w:rFonts w:ascii="Arial" w:eastAsia="Arial" w:hAnsi="Arial" w:cs="Arial"/>
                <w:color w:val="000000"/>
                <w:spacing w:val="0"/>
                <w:w w:val="100"/>
                <w:position w:val="0"/>
                <w:shd w:val="clear" w:color="auto" w:fill="auto"/>
                <w:lang w:val="pt-BR" w:eastAsia="pt-BR" w:bidi="pt-BR"/>
              </w:rPr>
              <w:t>SAUDE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69"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 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192"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 Vencimentos e Vant. Fixas - Pessoal Civil</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852.440,88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59"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36"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852.440,88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7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 xml:space="preserve">0052 ATENCAO A </w:t>
            </w:r>
            <w:r>
              <w:rPr>
                <w:rFonts w:ascii="Arial" w:eastAsia="Arial" w:hAnsi="Arial" w:cs="Arial"/>
                <w:color w:val="000000"/>
                <w:spacing w:val="0"/>
                <w:w w:val="100"/>
                <w:position w:val="0"/>
                <w:shd w:val="clear" w:color="auto" w:fill="auto"/>
                <w:lang w:val="pt-BR" w:eastAsia="pt-BR" w:bidi="pt-BR"/>
              </w:rPr>
              <w:t xml:space="preserve">SAUDE </w:t>
            </w:r>
            <w:r>
              <w:rPr>
                <w:rFonts w:ascii="Arial" w:eastAsia="Arial" w:hAnsi="Arial" w:cs="Arial"/>
                <w:color w:val="000000"/>
                <w:spacing w:val="0"/>
                <w:w w:val="100"/>
                <w:position w:val="0"/>
                <w:shd w:val="clear" w:color="auto" w:fill="auto"/>
                <w:lang w:val="pt-PT" w:eastAsia="pt-PT" w:bidi="pt-PT"/>
              </w:rPr>
              <w:t>DA POPULACAO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10.301.2.109 ENC. PROG. - INCENT. COMPENS. TRANSIÇÃO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45"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20.900,00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21.736,00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22.561,97</w:t>
            </w:r>
          </w:p>
        </w:tc>
      </w:tr>
      <w:tr>
        <w:trPr>
          <w:trHeight w:val="25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20.000,00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20.900,00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21.736,00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22.561,97</w:t>
            </w:r>
          </w:p>
        </w:tc>
      </w:tr>
      <w:tr>
        <w:trPr>
          <w:trHeight w:val="302"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40.000,00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41.800,00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43.472,00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45.123,94</w:t>
            </w:r>
          </w:p>
        </w:tc>
      </w:tr>
    </w:tbl>
    <w:p>
      <w:pPr>
        <w:spacing w:lineRule="exact" w:line="1"/>
        <w:rPr>
          <w:sz w:val="2"/>
          <w:szCs w:val="2"/>
        </w:rPr>
      </w:pP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13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 xml:space="preserve">0052 ATENCAO A </w:t>
      </w:r>
      <w:r>
        <w:rPr>
          <w:color w:val="000000"/>
          <w:spacing w:val="0"/>
          <w:w w:val="100"/>
          <w:position w:val="0"/>
          <w:shd w:val="clear" w:color="auto" w:fill="auto"/>
          <w:lang w:val="pt-BR" w:eastAsia="pt-BR" w:bidi="pt-BR"/>
        </w:rPr>
        <w:t xml:space="preserve">SAUDE </w:t>
      </w:r>
      <w:r>
        <w:rPr>
          <w:color w:val="000000"/>
          <w:spacing w:val="0"/>
          <w:w w:val="100"/>
          <w:position w:val="0"/>
          <w:shd w:val="clear" w:color="auto" w:fill="auto"/>
          <w:lang w:val="pt-PT" w:eastAsia="pt-PT" w:bidi="pt-PT"/>
        </w:rPr>
        <w:t>DA POPULACAO</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 xml:space="preserve">10.301.2.110 ENC. PROG. - INCENT.FIN. AT. </w:t>
      </w:r>
      <w:r>
        <w:rPr>
          <w:color w:val="000000"/>
          <w:spacing w:val="0"/>
          <w:w w:val="100"/>
          <w:position w:val="0"/>
          <w:shd w:val="clear" w:color="auto" w:fill="auto"/>
          <w:lang w:val="pt-BR" w:eastAsia="pt-BR" w:bidi="pt-BR"/>
        </w:rPr>
        <w:t xml:space="preserve">SAUDE </w:t>
      </w:r>
      <w:r>
        <w:rPr>
          <w:color w:val="000000"/>
          <w:spacing w:val="0"/>
          <w:w w:val="100"/>
          <w:position w:val="0"/>
          <w:shd w:val="clear" w:color="auto" w:fill="auto"/>
          <w:lang w:val="pt-PT" w:eastAsia="pt-PT" w:bidi="pt-PT"/>
        </w:rPr>
        <w:t>BUCAL</w:t>
      </w:r>
    </w:p>
    <w:tbl>
      <w:tblPr>
        <w:tblOverlap w:val="never"/>
        <w:jc w:val="center"/>
        <w:tblLayout w:type="fixed"/>
      </w:tblPr>
      <w:tblGrid>
        <w:gridCol w:w="1128"/>
        <w:gridCol w:w="4546"/>
        <w:gridCol w:w="1474"/>
        <w:gridCol w:w="1445"/>
        <w:gridCol w:w="1421"/>
        <w:gridCol w:w="1426"/>
        <w:gridCol w:w="1421"/>
        <w:gridCol w:w="1301"/>
      </w:tblGrid>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20.900,00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21.736,00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22.561,97</w:t>
            </w:r>
          </w:p>
        </w:tc>
      </w:tr>
      <w:tr>
        <w:trPr>
          <w:trHeight w:val="25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20.900,00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21.736,00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22.561,97</w:t>
            </w:r>
          </w:p>
        </w:tc>
      </w:tr>
      <w:tr>
        <w:trPr>
          <w:trHeight w:val="331"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8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40.000,00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41.800,00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43.472,00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45.123,94</w:t>
            </w:r>
          </w:p>
        </w:tc>
      </w:tr>
      <w:tr>
        <w:trPr>
          <w:trHeight w:val="274"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 xml:space="preserve">0052 ATENCAO A </w:t>
            </w:r>
            <w:r>
              <w:rPr>
                <w:rFonts w:ascii="Arial" w:eastAsia="Arial" w:hAnsi="Arial" w:cs="Arial"/>
                <w:color w:val="000000"/>
                <w:spacing w:val="0"/>
                <w:w w:val="100"/>
                <w:position w:val="0"/>
                <w:shd w:val="clear" w:color="auto" w:fill="auto"/>
                <w:lang w:val="pt-BR" w:eastAsia="pt-BR" w:bidi="pt-BR"/>
              </w:rPr>
              <w:t xml:space="preserve">SAUDE </w:t>
            </w:r>
            <w:r>
              <w:rPr>
                <w:rFonts w:ascii="Arial" w:eastAsia="Arial" w:hAnsi="Arial" w:cs="Arial"/>
                <w:color w:val="000000"/>
                <w:spacing w:val="0"/>
                <w:w w:val="100"/>
                <w:position w:val="0"/>
                <w:shd w:val="clear" w:color="auto" w:fill="auto"/>
                <w:lang w:val="pt-PT" w:eastAsia="pt-PT" w:bidi="pt-PT"/>
              </w:rPr>
              <w:t>DA POPULACAO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10.302.2.111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ENC. PROG. - ASSIST.FIN. PISO SAL. ENFERM.</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52.250,00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54.340,00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56.404,92</w:t>
            </w:r>
          </w:p>
        </w:tc>
      </w:tr>
      <w:tr>
        <w:trPr>
          <w:trHeight w:val="25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52.250,00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54.340,00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56.404,92</w:t>
            </w:r>
          </w:p>
        </w:tc>
      </w:tr>
      <w:tr>
        <w:trPr>
          <w:trHeight w:val="336"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8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100.000,00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104.500,00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108.680,00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112.809,84</w:t>
            </w:r>
          </w:p>
        </w:tc>
      </w:tr>
      <w:tr>
        <w:trPr>
          <w:trHeight w:val="274"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 xml:space="preserve">0052 ATENCAO A </w:t>
            </w:r>
            <w:r>
              <w:rPr>
                <w:rFonts w:ascii="Arial" w:eastAsia="Arial" w:hAnsi="Arial" w:cs="Arial"/>
                <w:color w:val="000000"/>
                <w:spacing w:val="0"/>
                <w:w w:val="100"/>
                <w:position w:val="0"/>
                <w:shd w:val="clear" w:color="auto" w:fill="auto"/>
                <w:lang w:val="pt-BR" w:eastAsia="pt-BR" w:bidi="pt-BR"/>
              </w:rPr>
              <w:t xml:space="preserve">SAUDE </w:t>
            </w:r>
            <w:r>
              <w:rPr>
                <w:rFonts w:ascii="Arial" w:eastAsia="Arial" w:hAnsi="Arial" w:cs="Arial"/>
                <w:color w:val="000000"/>
                <w:spacing w:val="0"/>
                <w:w w:val="100"/>
                <w:position w:val="0"/>
                <w:shd w:val="clear" w:color="auto" w:fill="auto"/>
                <w:lang w:val="pt-PT" w:eastAsia="pt-PT" w:bidi="pt-PT"/>
              </w:rPr>
              <w:t>DA POPULACAO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10.301.2.112 ENC. PROG. - TRANSF.VENCIM. AG.COMB.</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6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83.600,00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86.944,00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90.247,87</w:t>
            </w:r>
          </w:p>
        </w:tc>
      </w:tr>
      <w:tr>
        <w:trPr>
          <w:trHeight w:val="24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100.000,00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104.500,00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108.680,00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112.809,84</w:t>
            </w:r>
          </w:p>
        </w:tc>
      </w:tr>
      <w:tr>
        <w:trPr>
          <w:trHeight w:val="331"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8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180.000,00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188.100,00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195.624,00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203.057,71</w:t>
            </w:r>
          </w:p>
        </w:tc>
      </w:tr>
      <w:tr>
        <w:trPr>
          <w:trHeight w:val="278"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 xml:space="preserve">0052 ATENCAO A </w:t>
            </w:r>
            <w:r>
              <w:rPr>
                <w:rFonts w:ascii="Arial" w:eastAsia="Arial" w:hAnsi="Arial" w:cs="Arial"/>
                <w:color w:val="000000"/>
                <w:spacing w:val="0"/>
                <w:w w:val="100"/>
                <w:position w:val="0"/>
                <w:shd w:val="clear" w:color="auto" w:fill="auto"/>
                <w:lang w:val="pt-BR" w:eastAsia="pt-BR" w:bidi="pt-BR"/>
              </w:rPr>
              <w:t xml:space="preserve">SAUDE </w:t>
            </w:r>
            <w:r>
              <w:rPr>
                <w:rFonts w:ascii="Arial" w:eastAsia="Arial" w:hAnsi="Arial" w:cs="Arial"/>
                <w:color w:val="000000"/>
                <w:spacing w:val="0"/>
                <w:w w:val="100"/>
                <w:position w:val="0"/>
                <w:shd w:val="clear" w:color="auto" w:fill="auto"/>
                <w:lang w:val="pt-PT" w:eastAsia="pt-PT" w:bidi="pt-PT"/>
              </w:rPr>
              <w:t>DA POPULACAO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10.302.2.113 ENC. PROG - FAEC - RED. FILAS DE CIRURGIAS</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62.700,00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65.208,00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67.685,90</w:t>
            </w:r>
          </w:p>
        </w:tc>
      </w:tr>
      <w:tr>
        <w:trPr>
          <w:trHeight w:val="25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73.150,00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76.076,00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78.966,89</w:t>
            </w:r>
          </w:p>
        </w:tc>
      </w:tr>
      <w:tr>
        <w:trPr>
          <w:trHeight w:val="336"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8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130.000,00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135.850,00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141.284,00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146.652,79</w:t>
            </w:r>
          </w:p>
        </w:tc>
      </w:tr>
      <w:tr>
        <w:trPr>
          <w:trHeight w:val="274"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 xml:space="preserve">0052 ATENCAO A </w:t>
            </w:r>
            <w:r>
              <w:rPr>
                <w:rFonts w:ascii="Arial" w:eastAsia="Arial" w:hAnsi="Arial" w:cs="Arial"/>
                <w:color w:val="000000"/>
                <w:spacing w:val="0"/>
                <w:w w:val="100"/>
                <w:position w:val="0"/>
                <w:shd w:val="clear" w:color="auto" w:fill="auto"/>
                <w:lang w:val="pt-BR" w:eastAsia="pt-BR" w:bidi="pt-BR"/>
              </w:rPr>
              <w:t xml:space="preserve">SAUDE </w:t>
            </w:r>
            <w:r>
              <w:rPr>
                <w:rFonts w:ascii="Arial" w:eastAsia="Arial" w:hAnsi="Arial" w:cs="Arial"/>
                <w:color w:val="000000"/>
                <w:spacing w:val="0"/>
                <w:w w:val="100"/>
                <w:position w:val="0"/>
                <w:shd w:val="clear" w:color="auto" w:fill="auto"/>
                <w:lang w:val="pt-PT" w:eastAsia="pt-PT" w:bidi="pt-PT"/>
              </w:rPr>
              <w:t>DA POPULACAO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10.301.2.177 ENC. PROG. - TRANSF. DO BLOCO DE MANUT.</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19.586.572,78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2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171.000,00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4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5.731.072,81</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8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25.488.645,59</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7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8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70.069.679,31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106.850.695,93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52.391.979,01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71.107.952,00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69.792.270,10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72.444.376,40</w:t>
            </w:r>
          </w:p>
        </w:tc>
      </w:tr>
    </w:tbl>
    <w:p>
      <w:pPr>
        <w:spacing w:lineRule="exact" w:line="1"/>
        <w:rPr>
          <w:sz w:val="2"/>
          <w:szCs w:val="2"/>
        </w:rPr>
      </w:pP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p>
      <w:pPr>
        <w:pStyle w:val="Style54"/>
        <w:keepNext/>
        <w:keepLines/>
        <w:widowControl w:val="0"/>
        <w:shd w:val="clear" w:color="auto" w:fill="auto"/>
        <w:bidi w:val="0"/>
        <w:spacing w:before="0" w:after="0" w:line="240" w:lineRule="auto"/>
        <w:ind w:left="840" w:right="0" w:firstLine="0"/>
        <w:jc w:val="left"/>
      </w:pPr>
      <w:bookmarkStart w:id="12" w:name="bookmark12"/>
      <w:r>
        <w:rPr>
          <w:color w:val="000000"/>
          <w:spacing w:val="0"/>
          <w:w w:val="100"/>
          <w:position w:val="0"/>
          <w:shd w:val="clear" w:color="auto" w:fill="auto"/>
          <w:lang w:val="pt-PT" w:eastAsia="pt-PT" w:bidi="pt-PT"/>
        </w:rPr>
        <w:t>02 PODER EXECUTIVO</w:t>
      </w:r>
      <w:bookmarkEnd w:id="12"/>
    </w:p>
    <w:p>
      <w:pPr>
        <w:pStyle w:val="Style54"/>
        <w:keepNext/>
        <w:keepLines/>
        <w:widowControl w:val="0"/>
        <w:shd w:val="clear" w:color="auto" w:fill="auto"/>
        <w:bidi w:val="0"/>
        <w:spacing w:before="0" w:after="140" w:line="240" w:lineRule="auto"/>
        <w:ind w:left="460" w:right="0" w:firstLine="0"/>
        <w:jc w:val="left"/>
      </w:pPr>
      <w:bookmarkStart w:id="13" w:name="bookmark13"/>
      <w:r>
        <w:rPr>
          <w:color w:val="000000"/>
          <w:spacing w:val="0"/>
          <w:w w:val="100"/>
          <w:position w:val="0"/>
          <w:shd w:val="clear" w:color="auto" w:fill="auto"/>
          <w:lang w:val="pt-PT" w:eastAsia="pt-PT" w:bidi="pt-PT"/>
        </w:rPr>
        <w:t>02.006 SEC. MUN. DE OBRAS,TRANSP E LIMP. PUBLICA- SEMOSP</w:t>
      </w:r>
      <w:bookmarkEnd w:id="13"/>
    </w:p>
    <w:p>
      <w:pPr>
        <w:pStyle w:val="Style29"/>
        <w:keepNext w:val="0"/>
        <w:keepLines w:val="0"/>
        <w:widowControl w:val="0"/>
        <w:shd w:val="clear" w:color="auto" w:fill="auto"/>
        <w:bidi w:val="0"/>
        <w:spacing w:before="0" w:after="0" w:line="240" w:lineRule="auto"/>
        <w:ind w:left="660" w:right="0" w:firstLine="0"/>
        <w:jc w:val="left"/>
      </w:pPr>
      <w:r>
        <w:rPr>
          <w:color w:val="000000"/>
          <w:spacing w:val="0"/>
          <w:w w:val="100"/>
          <w:position w:val="0"/>
          <w:shd w:val="clear" w:color="auto" w:fill="auto"/>
          <w:lang w:val="pt-PT" w:eastAsia="pt-PT" w:bidi="pt-PT"/>
        </w:rPr>
        <w:t>0091 MORAR MELHOR</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04.122.1.009 REFORMA E CONSERVACAO DE PREDIOS,</w:t>
      </w:r>
    </w:p>
    <w:tbl>
      <w:tblPr>
        <w:tblOverlap w:val="never"/>
        <w:jc w:val="center"/>
        <w:tblLayout w:type="fixed"/>
      </w:tblPr>
      <w:tblGrid>
        <w:gridCol w:w="6038"/>
        <w:gridCol w:w="1258"/>
        <w:gridCol w:w="1334"/>
        <w:gridCol w:w="1421"/>
        <w:gridCol w:w="1426"/>
        <w:gridCol w:w="1426"/>
        <w:gridCol w:w="1258"/>
      </w:tblGrid>
      <w:tr>
        <w:trPr>
          <w:trHeight w:val="202"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6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6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6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826.320,00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863.504,40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898.044,58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932.170,27</w:t>
            </w:r>
          </w:p>
        </w:tc>
      </w:tr>
      <w:tr>
        <w:trPr>
          <w:trHeight w:val="331"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6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929.610,00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971.442,45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1.010.300,15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1.048.691,55</w:t>
            </w:r>
          </w:p>
        </w:tc>
      </w:tr>
      <w:tr>
        <w:trPr>
          <w:trHeight w:val="552" w:hRule="exact"/>
        </w:trPr>
        <w:tc>
          <w:tcPr>
            <w:tcBorders/>
            <w:shd w:val="clear" w:color="auto" w:fill="FFFFFF"/>
            <w:vAlign w:val="bottom"/>
          </w:tcPr>
          <w:p>
            <w:pPr>
              <w:pStyle w:val="Style23"/>
              <w:keepNext w:val="0"/>
              <w:keepLines w:val="0"/>
              <w:widowControl w:val="0"/>
              <w:shd w:val="clear" w:color="auto" w:fill="auto"/>
              <w:bidi w:val="0"/>
              <w:spacing w:before="0" w:after="4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0091 MORAR MELHOR</w:t>
            </w:r>
          </w:p>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15.451.1.011 ABERTURA DE DREN. E PAVIM. DE RUAS E</w:t>
            </w:r>
          </w:p>
        </w:tc>
        <w:tc>
          <w:tcPr>
            <w:gridSpan w:val="6"/>
            <w:tcBorders/>
            <w:shd w:val="clear" w:color="auto" w:fill="FFFFFF"/>
            <w:vAlign w:val="top"/>
          </w:tcPr>
          <w:p>
            <w:pPr>
              <w:widowControl w:val="0"/>
              <w:rPr>
                <w:sz w:val="10"/>
                <w:szCs w:val="10"/>
              </w:rPr>
            </w:pPr>
          </w:p>
        </w:tc>
      </w:tr>
      <w:tr>
        <w:trPr>
          <w:trHeight w:val="302"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6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826.320,00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863.504,40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898.044,58</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932.170,27</w:t>
            </w:r>
          </w:p>
        </w:tc>
      </w:tr>
      <w:tr>
        <w:trPr>
          <w:trHeight w:val="331"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6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826.320,00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863.504,40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898.044,58</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932.170,27</w:t>
            </w:r>
          </w:p>
        </w:tc>
      </w:tr>
      <w:tr>
        <w:trPr>
          <w:trHeight w:val="552" w:hRule="exact"/>
        </w:trPr>
        <w:tc>
          <w:tcPr>
            <w:tcBorders/>
            <w:shd w:val="clear" w:color="auto" w:fill="FFFFFF"/>
            <w:vAlign w:val="bottom"/>
          </w:tcPr>
          <w:p>
            <w:pPr>
              <w:pStyle w:val="Style23"/>
              <w:keepNext w:val="0"/>
              <w:keepLines w:val="0"/>
              <w:widowControl w:val="0"/>
              <w:shd w:val="clear" w:color="auto" w:fill="auto"/>
              <w:bidi w:val="0"/>
              <w:spacing w:before="0" w:after="4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0091 MORAR MELHOR</w:t>
            </w:r>
          </w:p>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15.451.1.012 AMPL. REDE DE DISTRIB. ENERGIA ELETRICA NO</w:t>
            </w:r>
          </w:p>
        </w:tc>
        <w:tc>
          <w:tcPr>
            <w:gridSpan w:val="6"/>
            <w:tcBorders/>
            <w:shd w:val="clear" w:color="auto" w:fill="FFFFFF"/>
            <w:vAlign w:val="top"/>
          </w:tcPr>
          <w:p>
            <w:pPr>
              <w:widowControl w:val="0"/>
              <w:rPr>
                <w:sz w:val="10"/>
                <w:szCs w:val="10"/>
              </w:rPr>
            </w:pPr>
          </w:p>
        </w:tc>
      </w:tr>
      <w:tr>
        <w:trPr>
          <w:trHeight w:val="2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6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54.177,00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929.610,00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971.442,45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1.010.300,15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1.048.691,56</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 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6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206.580,00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215.876,10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224.511,14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233.042,56</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6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157.894,98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416.574,61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435.320,47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452.733,29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469.937,16</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6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530.571,70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554.447,43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576.625,33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598.537,09</w:t>
            </w:r>
          </w:p>
        </w:tc>
      </w:tr>
      <w:tr>
        <w:trPr>
          <w:trHeight w:val="326"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6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212.071,98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2.083.336,31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2.177.086,45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2.264.169,91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2.350.208,37</w:t>
            </w:r>
          </w:p>
        </w:tc>
      </w:tr>
      <w:tr>
        <w:trPr>
          <w:trHeight w:val="557" w:hRule="exact"/>
        </w:trPr>
        <w:tc>
          <w:tcPr>
            <w:tcBorders/>
            <w:shd w:val="clear" w:color="auto" w:fill="FFFFFF"/>
            <w:vAlign w:val="bottom"/>
          </w:tcPr>
          <w:p>
            <w:pPr>
              <w:pStyle w:val="Style23"/>
              <w:keepNext w:val="0"/>
              <w:keepLines w:val="0"/>
              <w:widowControl w:val="0"/>
              <w:shd w:val="clear" w:color="auto" w:fill="auto"/>
              <w:bidi w:val="0"/>
              <w:spacing w:before="0" w:after="4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0091 MORAR MELHOR</w:t>
            </w:r>
          </w:p>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15.451.1.013 REALIZ. DE OBRAS - DE INFRAEST. PARA O</w:t>
            </w:r>
          </w:p>
        </w:tc>
        <w:tc>
          <w:tcPr>
            <w:gridSpan w:val="6"/>
            <w:tcBorders/>
            <w:shd w:val="clear" w:color="auto" w:fill="FFFFFF"/>
            <w:vAlign w:val="top"/>
          </w:tcPr>
          <w:p>
            <w:pPr>
              <w:widowControl w:val="0"/>
              <w:rPr>
                <w:sz w:val="10"/>
                <w:szCs w:val="10"/>
              </w:rPr>
            </w:pPr>
          </w:p>
        </w:tc>
      </w:tr>
      <w:tr>
        <w:trPr>
          <w:trHeight w:val="302"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6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2.716.527,00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2.838.770,72</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2.952.321,55</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3.064.509,77</w:t>
            </w:r>
          </w:p>
        </w:tc>
      </w:tr>
      <w:tr>
        <w:trPr>
          <w:trHeight w:val="326"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6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2.716.527,00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2.838.770,72</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2.952.321,55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3.064.509,77</w:t>
            </w:r>
          </w:p>
        </w:tc>
      </w:tr>
      <w:tr>
        <w:trPr>
          <w:trHeight w:val="557" w:hRule="exact"/>
        </w:trPr>
        <w:tc>
          <w:tcPr>
            <w:tcBorders/>
            <w:shd w:val="clear" w:color="auto" w:fill="FFFFFF"/>
            <w:vAlign w:val="bottom"/>
          </w:tcPr>
          <w:p>
            <w:pPr>
              <w:pStyle w:val="Style23"/>
              <w:keepNext w:val="0"/>
              <w:keepLines w:val="0"/>
              <w:widowControl w:val="0"/>
              <w:shd w:val="clear" w:color="auto" w:fill="auto"/>
              <w:bidi w:val="0"/>
              <w:spacing w:before="0" w:after="4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0091 MORAR MELHOR</w:t>
            </w:r>
          </w:p>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15.451.1.014 RECUPERCAO DE RUAS E AVENIDAS</w:t>
            </w:r>
          </w:p>
        </w:tc>
        <w:tc>
          <w:tcPr>
            <w:gridSpan w:val="6"/>
            <w:tcBorders/>
            <w:shd w:val="clear" w:color="auto" w:fill="FFFFFF"/>
            <w:vAlign w:val="top"/>
          </w:tcPr>
          <w:p>
            <w:pPr>
              <w:widowControl w:val="0"/>
              <w:rPr>
                <w:sz w:val="10"/>
                <w:szCs w:val="10"/>
              </w:rPr>
            </w:pPr>
          </w:p>
        </w:tc>
      </w:tr>
      <w:tr>
        <w:trPr>
          <w:trHeight w:val="302"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6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1.017.406,50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1.063.189,79</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1.105.717,38</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1.147.734,64</w:t>
            </w:r>
          </w:p>
        </w:tc>
      </w:tr>
      <w:tr>
        <w:trPr>
          <w:trHeight w:val="298"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6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1.017.406,50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1.063.189,79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1.105.717,38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1.147.734,64</w:t>
            </w:r>
          </w:p>
        </w:tc>
      </w:tr>
    </w:tbl>
    <w:p>
      <w:pPr>
        <w:sectPr>
          <w:headerReference w:type="default" r:id="rId61"/>
          <w:footerReference w:type="default" r:id="rId62"/>
          <w:footnotePr>
            <w:pos w:val="pageBottom"/>
            <w:numFmt w:val="decimal"/>
            <w:numRestart w:val="continuous"/>
          </w:footnotePr>
          <w:pgSz w:w="16840" w:h="11900" w:orient="landscape"/>
          <w:pgMar w:top="2186" w:left="1166" w:right="1504" w:bottom="792" w:header="0" w:footer="364" w:gutter="0"/>
          <w:pgNumType w:start="12"/>
          <w:cols w:space="720"/>
          <w:noEndnote/>
          <w:rtlGutter w:val="0"/>
          <w:docGrid w:linePitch="360"/>
        </w:sectPr>
      </w:pPr>
    </w:p>
    <w:p>
      <w:pPr>
        <w:pStyle w:val="Style33"/>
        <w:keepNext w:val="0"/>
        <w:keepLines w:val="0"/>
        <w:widowControl w:val="0"/>
        <w:shd w:val="clear" w:color="auto" w:fill="auto"/>
        <w:bidi w:val="0"/>
        <w:spacing w:before="0" w:after="40" w:line="240" w:lineRule="auto"/>
        <w:ind w:left="2563"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33"/>
        <w:keepNext w:val="0"/>
        <w:keepLines w:val="0"/>
        <w:widowControl w:val="0"/>
        <w:shd w:val="clear" w:color="auto" w:fill="auto"/>
        <w:bidi w:val="0"/>
        <w:spacing w:before="0" w:after="40" w:line="240" w:lineRule="auto"/>
        <w:ind w:left="2563"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33"/>
        <w:keepNext w:val="0"/>
        <w:keepLines w:val="0"/>
        <w:widowControl w:val="0"/>
        <w:shd w:val="clear" w:color="auto" w:fill="auto"/>
        <w:bidi w:val="0"/>
        <w:spacing w:before="0" w:after="0" w:line="240" w:lineRule="auto"/>
        <w:ind w:left="2563"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33"/>
        <w:keepNext w:val="0"/>
        <w:keepLines w:val="0"/>
        <w:widowControl w:val="0"/>
        <w:shd w:val="clear" w:color="auto" w:fill="auto"/>
        <w:tabs>
          <w:tab w:pos="10104" w:val="left"/>
        </w:tabs>
        <w:bidi w:val="0"/>
        <w:spacing w:before="0" w:after="40" w:line="240" w:lineRule="auto"/>
        <w:ind w:left="0" w:right="0" w:firstLine="0"/>
        <w:jc w:val="both"/>
        <w:rPr>
          <w:sz w:val="20"/>
          <w:szCs w:val="20"/>
        </w:rPr>
      </w:pPr>
      <w:r>
        <w:rPr>
          <w:color w:val="000000"/>
          <w:spacing w:val="0"/>
          <w:w w:val="100"/>
          <w:position w:val="0"/>
          <w:sz w:val="20"/>
          <w:szCs w:val="20"/>
          <w:shd w:val="clear" w:color="auto" w:fill="auto"/>
          <w:lang w:val="pt-PT" w:eastAsia="pt-PT" w:bidi="pt-PT"/>
        </w:rPr>
        <w:t>METODOLOGIA E MEMÓRIA DE CÁLCULO DAS METAS ANUAIS</w:t>
        <w:tab/>
      </w:r>
      <w:r>
        <w:rPr>
          <w:rFonts w:ascii="Times New Roman" w:eastAsia="Times New Roman" w:hAnsi="Times New Roman" w:cs="Times New Roman"/>
          <w:color w:val="000000"/>
          <w:spacing w:val="0"/>
          <w:w w:val="100"/>
          <w:position w:val="0"/>
          <w:sz w:val="20"/>
          <w:szCs w:val="20"/>
          <w:shd w:val="clear" w:color="auto" w:fill="auto"/>
          <w:lang w:val="pt-PT" w:eastAsia="pt-PT" w:bidi="pt-PT"/>
        </w:rPr>
        <w:t>Página: 19</w:t>
      </w:r>
    </w:p>
    <w:tbl>
      <w:tblPr>
        <w:tblOverlap w:val="never"/>
        <w:jc w:val="center"/>
        <w:tblLayout w:type="fixed"/>
      </w:tblPr>
      <w:tblGrid>
        <w:gridCol w:w="1094"/>
        <w:gridCol w:w="4531"/>
        <w:gridCol w:w="1411"/>
        <w:gridCol w:w="1411"/>
        <w:gridCol w:w="1421"/>
        <w:gridCol w:w="1426"/>
        <w:gridCol w:w="1426"/>
        <w:gridCol w:w="1373"/>
      </w:tblGrid>
      <w:tr>
        <w:trPr>
          <w:trHeight w:val="302" w:hRule="exact"/>
        </w:trPr>
        <w:tc>
          <w:tcPr>
            <w:gridSpan w:val="6"/>
            <w:tcBorders/>
            <w:shd w:val="clear" w:color="auto" w:fill="FFFFFF"/>
            <w:vAlign w:val="bottom"/>
          </w:tcPr>
          <w:p>
            <w:pPr>
              <w:pStyle w:val="Style23"/>
              <w:keepNext w:val="0"/>
              <w:keepLines w:val="0"/>
              <w:widowControl w:val="0"/>
              <w:shd w:val="clear" w:color="auto" w:fill="auto"/>
              <w:bidi w:val="0"/>
              <w:spacing w:before="0" w:after="0" w:line="240" w:lineRule="auto"/>
              <w:ind w:left="258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II.b - Demonstrativo da Despesa por Órgão, Unidade, Programa e Projeto/Atividade</w:t>
            </w:r>
          </w:p>
        </w:tc>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140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c>
      </w:tr>
      <w:tr>
        <w:trPr>
          <w:trHeight w:val="360"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tcBorders>
              <w:top w:val="single" w:sz="4"/>
              <w:left w:val="single" w:sz="4"/>
            </w:tcBorders>
            <w:shd w:val="clear" w:color="auto" w:fill="FFFFFF"/>
            <w:vAlign w:val="top"/>
          </w:tcPr>
          <w:p>
            <w:pPr>
              <w:widowControl w:val="0"/>
              <w:rPr>
                <w:sz w:val="10"/>
                <w:szCs w:val="10"/>
              </w:rPr>
            </w:pPr>
          </w:p>
        </w:tc>
        <w:tc>
          <w:tcPr>
            <w:gridSpan w:val="2"/>
            <w:tcBorders>
              <w:top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30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0"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r>
        <w:trPr>
          <w:trHeight w:val="960" w:hRule="exact"/>
        </w:trPr>
        <w:tc>
          <w:tcPr>
            <w:gridSpan w:val="2"/>
            <w:tcBorders>
              <w:top w:val="single" w:sz="4"/>
            </w:tcBorders>
            <w:shd w:val="clear" w:color="auto" w:fill="FFFFFF"/>
            <w:vAlign w:val="bottom"/>
          </w:tcPr>
          <w:p>
            <w:pPr>
              <w:pStyle w:val="Style23"/>
              <w:keepNext w:val="0"/>
              <w:keepLines w:val="0"/>
              <w:widowControl w:val="0"/>
              <w:shd w:val="clear" w:color="auto" w:fill="auto"/>
              <w:bidi w:val="0"/>
              <w:spacing w:before="0" w:after="40" w:line="240" w:lineRule="auto"/>
              <w:ind w:left="620" w:right="0" w:firstLine="0"/>
              <w:jc w:val="left"/>
            </w:pPr>
            <w:r>
              <w:rPr>
                <w:rFonts w:ascii="Arial" w:eastAsia="Arial" w:hAnsi="Arial" w:cs="Arial"/>
                <w:color w:val="000000"/>
                <w:spacing w:val="0"/>
                <w:w w:val="100"/>
                <w:position w:val="0"/>
                <w:shd w:val="clear" w:color="auto" w:fill="auto"/>
                <w:lang w:val="pt-PT" w:eastAsia="pt-PT" w:bidi="pt-PT"/>
              </w:rPr>
              <w:t>0091 MORAR MELHOR</w:t>
            </w:r>
          </w:p>
          <w:p>
            <w:pPr>
              <w:pStyle w:val="Style23"/>
              <w:keepNext w:val="0"/>
              <w:keepLines w:val="0"/>
              <w:widowControl w:val="0"/>
              <w:shd w:val="clear" w:color="auto" w:fill="auto"/>
              <w:bidi w:val="0"/>
              <w:spacing w:before="0" w:after="8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15.452.1.015 ABERTURA, DRENAGEM E PAVIMENTACAO E</w:t>
            </w:r>
          </w:p>
          <w:p>
            <w:pPr>
              <w:pStyle w:val="Style23"/>
              <w:keepNext w:val="0"/>
              <w:keepLines w:val="0"/>
              <w:widowControl w:val="0"/>
              <w:shd w:val="clear" w:color="auto" w:fill="auto"/>
              <w:bidi w:val="0"/>
              <w:spacing w:before="0" w:after="6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8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4.048.751,00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00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0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0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4.048.751,00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bl>
    <w:p>
      <w:pPr>
        <w:widowControl w:val="0"/>
        <w:spacing w:after="59" w:line="1" w:lineRule="exact"/>
      </w:pPr>
    </w:p>
    <w:p>
      <w:pPr>
        <w:pStyle w:val="Style29"/>
        <w:keepNext w:val="0"/>
        <w:keepLines w:val="0"/>
        <w:widowControl w:val="0"/>
        <w:shd w:val="clear" w:color="auto" w:fill="auto"/>
        <w:bidi w:val="0"/>
        <w:spacing w:before="0" w:after="60" w:line="240" w:lineRule="auto"/>
        <w:ind w:left="680" w:right="0" w:firstLine="0"/>
        <w:jc w:val="left"/>
      </w:pPr>
      <w:r>
        <w:rPr>
          <w:color w:val="000000"/>
          <w:spacing w:val="0"/>
          <w:w w:val="100"/>
          <w:position w:val="0"/>
          <w:shd w:val="clear" w:color="auto" w:fill="auto"/>
          <w:lang w:val="pt-PT" w:eastAsia="pt-PT" w:bidi="pt-PT"/>
        </w:rPr>
        <w:t>0091 MORAR MELHOR</w:t>
      </w:r>
    </w:p>
    <w:p>
      <w:pPr>
        <w:pStyle w:val="Style29"/>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 xml:space="preserve">16.481.1.016 CONST. UNID. E SERV. </w:t>
      </w:r>
      <w:r>
        <w:rPr>
          <w:color w:val="000000"/>
          <w:spacing w:val="0"/>
          <w:w w:val="100"/>
          <w:position w:val="0"/>
          <w:shd w:val="clear" w:color="auto" w:fill="auto"/>
          <w:lang w:val="pt-BR" w:eastAsia="pt-BR" w:bidi="pt-BR"/>
        </w:rPr>
        <w:t xml:space="preserve">SANEAM. </w:t>
      </w:r>
      <w:r>
        <w:rPr>
          <w:color w:val="000000"/>
          <w:spacing w:val="0"/>
          <w:w w:val="100"/>
          <w:position w:val="0"/>
          <w:shd w:val="clear" w:color="auto" w:fill="auto"/>
          <w:lang w:val="pt-PT" w:eastAsia="pt-PT" w:bidi="pt-PT"/>
        </w:rPr>
        <w:t>BASICO NO</w:t>
      </w:r>
    </w:p>
    <w:tbl>
      <w:tblPr>
        <w:tblOverlap w:val="never"/>
        <w:jc w:val="center"/>
        <w:tblLayout w:type="fixed"/>
      </w:tblPr>
      <w:tblGrid>
        <w:gridCol w:w="5928"/>
        <w:gridCol w:w="1618"/>
        <w:gridCol w:w="1166"/>
        <w:gridCol w:w="1363"/>
        <w:gridCol w:w="1426"/>
        <w:gridCol w:w="1421"/>
        <w:gridCol w:w="1243"/>
      </w:tblGrid>
      <w:tr>
        <w:trPr>
          <w:trHeight w:val="24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157.632,00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164.725,44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171.314,46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177.824,41</w:t>
            </w:r>
          </w:p>
        </w:tc>
      </w:tr>
      <w:tr>
        <w:trPr>
          <w:trHeight w:val="331"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157.632,00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164.725,44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171.314,46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177.824,41</w:t>
            </w:r>
          </w:p>
        </w:tc>
      </w:tr>
      <w:tr>
        <w:trPr>
          <w:trHeight w:val="552" w:hRule="exact"/>
        </w:trPr>
        <w:tc>
          <w:tcPr>
            <w:tcBorders/>
            <w:shd w:val="clear" w:color="auto" w:fill="FFFFFF"/>
            <w:vAlign w:val="bottom"/>
          </w:tcPr>
          <w:p>
            <w:pPr>
              <w:pStyle w:val="Style23"/>
              <w:keepNext w:val="0"/>
              <w:keepLines w:val="0"/>
              <w:widowControl w:val="0"/>
              <w:shd w:val="clear" w:color="auto" w:fill="auto"/>
              <w:bidi w:val="0"/>
              <w:spacing w:before="0" w:after="40" w:line="240" w:lineRule="auto"/>
              <w:ind w:left="680" w:right="0" w:firstLine="0"/>
              <w:jc w:val="left"/>
            </w:pPr>
            <w:r>
              <w:rPr>
                <w:rFonts w:ascii="Arial" w:eastAsia="Arial" w:hAnsi="Arial" w:cs="Arial"/>
                <w:color w:val="000000"/>
                <w:spacing w:val="0"/>
                <w:w w:val="100"/>
                <w:position w:val="0"/>
                <w:shd w:val="clear" w:color="auto" w:fill="auto"/>
                <w:lang w:val="pt-PT" w:eastAsia="pt-PT" w:bidi="pt-PT"/>
              </w:rPr>
              <w:t>0091 MORAR MELHOR</w:t>
            </w:r>
          </w:p>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26.782.1.018 RECUPERACAO D ESTRADAS VICINAIS</w:t>
            </w:r>
          </w:p>
        </w:tc>
        <w:tc>
          <w:tcPr>
            <w:gridSpan w:val="6"/>
            <w:tcBorders/>
            <w:shd w:val="clear" w:color="auto" w:fill="FFFFFF"/>
            <w:vAlign w:val="top"/>
          </w:tcPr>
          <w:p>
            <w:pPr>
              <w:widowControl w:val="0"/>
              <w:rPr>
                <w:sz w:val="10"/>
                <w:szCs w:val="10"/>
              </w:rPr>
            </w:pP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1.941,00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77.467,50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80.953,54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84.191,68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87.390,96</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908.952,00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949.854,84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987.849,03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1.025.387,29</w:t>
            </w:r>
          </w:p>
        </w:tc>
      </w:tr>
      <w:tr>
        <w:trPr>
          <w:trHeight w:val="331"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3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8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1.941,00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986.419,50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1.030.808,38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1.072.040,71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1.112.778,25</w:t>
            </w:r>
          </w:p>
        </w:tc>
      </w:tr>
      <w:tr>
        <w:trPr>
          <w:trHeight w:val="552" w:hRule="exact"/>
        </w:trPr>
        <w:tc>
          <w:tcPr>
            <w:tcBorders/>
            <w:shd w:val="clear" w:color="auto" w:fill="FFFFFF"/>
            <w:vAlign w:val="bottom"/>
          </w:tcPr>
          <w:p>
            <w:pPr>
              <w:pStyle w:val="Style23"/>
              <w:keepNext w:val="0"/>
              <w:keepLines w:val="0"/>
              <w:widowControl w:val="0"/>
              <w:shd w:val="clear" w:color="auto" w:fill="auto"/>
              <w:bidi w:val="0"/>
              <w:spacing w:before="0" w:after="40" w:line="240" w:lineRule="auto"/>
              <w:ind w:left="680" w:right="0" w:firstLine="0"/>
              <w:jc w:val="left"/>
            </w:pPr>
            <w:r>
              <w:rPr>
                <w:rFonts w:ascii="Arial" w:eastAsia="Arial" w:hAnsi="Arial" w:cs="Arial"/>
                <w:color w:val="000000"/>
                <w:spacing w:val="0"/>
                <w:w w:val="100"/>
                <w:position w:val="0"/>
                <w:shd w:val="clear" w:color="auto" w:fill="auto"/>
                <w:lang w:val="pt-PT" w:eastAsia="pt-PT" w:bidi="pt-PT"/>
              </w:rPr>
              <w:t>0091 MORAR MELHOR</w:t>
            </w:r>
          </w:p>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 xml:space="preserve">17.511.1.023 REALIZ. INFRAEST. E SERV. </w:t>
            </w:r>
            <w:r>
              <w:rPr>
                <w:rFonts w:ascii="Arial" w:eastAsia="Arial" w:hAnsi="Arial" w:cs="Arial"/>
                <w:color w:val="000000"/>
                <w:spacing w:val="0"/>
                <w:w w:val="100"/>
                <w:position w:val="0"/>
                <w:shd w:val="clear" w:color="auto" w:fill="auto"/>
                <w:lang w:val="pt-BR" w:eastAsia="pt-BR" w:bidi="pt-BR"/>
              </w:rPr>
              <w:t xml:space="preserve">SANEAM. </w:t>
            </w:r>
            <w:r>
              <w:rPr>
                <w:rFonts w:ascii="Arial" w:eastAsia="Arial" w:hAnsi="Arial" w:cs="Arial"/>
                <w:color w:val="000000"/>
                <w:spacing w:val="0"/>
                <w:w w:val="100"/>
                <w:position w:val="0"/>
                <w:shd w:val="clear" w:color="auto" w:fill="auto"/>
                <w:lang w:val="pt-PT" w:eastAsia="pt-PT" w:bidi="pt-PT"/>
              </w:rPr>
              <w:t>BASICO NO</w:t>
            </w:r>
          </w:p>
        </w:tc>
        <w:tc>
          <w:tcPr>
            <w:gridSpan w:val="6"/>
            <w:tcBorders/>
            <w:shd w:val="clear" w:color="auto" w:fill="FFFFFF"/>
            <w:vAlign w:val="top"/>
          </w:tcPr>
          <w:p>
            <w:pPr>
              <w:widowControl w:val="0"/>
              <w:rPr>
                <w:sz w:val="10"/>
                <w:szCs w:val="10"/>
              </w:rPr>
            </w:pPr>
          </w:p>
        </w:tc>
      </w:tr>
      <w:tr>
        <w:trPr>
          <w:trHeight w:val="302"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568.095,00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593.659,28</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617.405,65</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640.867,06</w:t>
            </w:r>
          </w:p>
        </w:tc>
      </w:tr>
      <w:tr>
        <w:trPr>
          <w:trHeight w:val="336"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568.095,00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593.659,28</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617.405,65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640.867,06</w:t>
            </w:r>
          </w:p>
        </w:tc>
      </w:tr>
      <w:tr>
        <w:trPr>
          <w:trHeight w:val="552" w:hRule="exact"/>
        </w:trPr>
        <w:tc>
          <w:tcPr>
            <w:tcBorders/>
            <w:shd w:val="clear" w:color="auto" w:fill="FFFFFF"/>
            <w:vAlign w:val="bottom"/>
          </w:tcPr>
          <w:p>
            <w:pPr>
              <w:pStyle w:val="Style23"/>
              <w:keepNext w:val="0"/>
              <w:keepLines w:val="0"/>
              <w:widowControl w:val="0"/>
              <w:shd w:val="clear" w:color="auto" w:fill="auto"/>
              <w:bidi w:val="0"/>
              <w:spacing w:before="0" w:after="40" w:line="240" w:lineRule="auto"/>
              <w:ind w:left="680" w:right="0" w:firstLine="0"/>
              <w:jc w:val="left"/>
            </w:pPr>
            <w:r>
              <w:rPr>
                <w:rFonts w:ascii="Arial" w:eastAsia="Arial" w:hAnsi="Arial" w:cs="Arial"/>
                <w:color w:val="000000"/>
                <w:spacing w:val="0"/>
                <w:w w:val="100"/>
                <w:position w:val="0"/>
                <w:shd w:val="clear" w:color="auto" w:fill="auto"/>
                <w:lang w:val="pt-PT" w:eastAsia="pt-PT" w:bidi="pt-PT"/>
              </w:rPr>
              <w:t>0034 ATENCAO COMUNITARIA</w:t>
            </w:r>
          </w:p>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18.541.1.026 ADEQUACAO DO ATERRO SANITARIO MUNICIPAL</w:t>
            </w:r>
          </w:p>
        </w:tc>
        <w:tc>
          <w:tcPr>
            <w:gridSpan w:val="6"/>
            <w:tcBorders/>
            <w:shd w:val="clear" w:color="auto" w:fill="FFFFFF"/>
            <w:vAlign w:val="top"/>
          </w:tcPr>
          <w:p>
            <w:pPr>
              <w:widowControl w:val="0"/>
              <w:rPr>
                <w:sz w:val="10"/>
                <w:szCs w:val="10"/>
              </w:rPr>
            </w:pP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 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46.480,50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48.572,12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50.515,00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52.434,57</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67.138,50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70.159,73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72.966,12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75.738,83</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180.757,50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188.891,59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196.447,25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203.912,25</w:t>
            </w:r>
          </w:p>
        </w:tc>
      </w:tr>
      <w:tr>
        <w:trPr>
          <w:trHeight w:val="25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 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87.796,50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91.747,34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95.417,23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99.043,08</w:t>
            </w:r>
          </w:p>
        </w:tc>
      </w:tr>
      <w:tr>
        <w:trPr>
          <w:trHeight w:val="336"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382.173,00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399.370,78</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415.345,60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431.128,73</w:t>
            </w:r>
          </w:p>
        </w:tc>
      </w:tr>
      <w:tr>
        <w:trPr>
          <w:trHeight w:val="547" w:hRule="exact"/>
        </w:trPr>
        <w:tc>
          <w:tcPr>
            <w:tcBorders/>
            <w:shd w:val="clear" w:color="auto" w:fill="FFFFFF"/>
            <w:vAlign w:val="top"/>
          </w:tcPr>
          <w:p>
            <w:pPr>
              <w:pStyle w:val="Style23"/>
              <w:keepNext w:val="0"/>
              <w:keepLines w:val="0"/>
              <w:widowControl w:val="0"/>
              <w:shd w:val="clear" w:color="auto" w:fill="auto"/>
              <w:bidi w:val="0"/>
              <w:spacing w:before="0" w:after="40" w:line="240" w:lineRule="auto"/>
              <w:ind w:left="680" w:right="0" w:firstLine="0"/>
              <w:jc w:val="left"/>
            </w:pPr>
            <w:r>
              <w:rPr>
                <w:rFonts w:ascii="Arial" w:eastAsia="Arial" w:hAnsi="Arial" w:cs="Arial"/>
                <w:color w:val="000000"/>
                <w:spacing w:val="0"/>
                <w:w w:val="100"/>
                <w:position w:val="0"/>
                <w:shd w:val="clear" w:color="auto" w:fill="auto"/>
                <w:lang w:val="pt-PT" w:eastAsia="pt-PT" w:bidi="pt-PT"/>
              </w:rPr>
              <w:t>0091 MORAR MELHOR</w:t>
            </w:r>
          </w:p>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04.122.1.031 CONSTRUCAO DE CENTROS DE CONVIVENCIA</w:t>
            </w:r>
          </w:p>
        </w:tc>
        <w:tc>
          <w:tcPr>
            <w:gridSpan w:val="6"/>
            <w:tcBorders/>
            <w:shd w:val="clear" w:color="auto" w:fill="FFFFFF"/>
            <w:vAlign w:val="top"/>
          </w:tcPr>
          <w:p>
            <w:pPr>
              <w:widowControl w:val="0"/>
              <w:rPr>
                <w:sz w:val="10"/>
                <w:szCs w:val="10"/>
              </w:rPr>
            </w:pPr>
          </w:p>
        </w:tc>
      </w:tr>
      <w:tr>
        <w:trPr>
          <w:trHeight w:val="302"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98"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3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bl>
    <w:p>
      <w:pPr>
        <w:sectPr>
          <w:headerReference w:type="default" r:id="rId63"/>
          <w:footerReference w:type="default" r:id="rId64"/>
          <w:footnotePr>
            <w:pos w:val="pageBottom"/>
            <w:numFmt w:val="decimal"/>
            <w:numRestart w:val="continuous"/>
          </w:footnotePr>
          <w:pgSz w:w="16840" w:h="11900" w:orient="landscape"/>
          <w:pgMar w:top="656" w:left="1158" w:right="1518" w:bottom="656" w:header="228" w:footer="228" w:gutter="0"/>
          <w:pgNumType w:start="58"/>
          <w:cols w:space="720"/>
          <w:noEndnote/>
          <w:rtlGutter w:val="0"/>
          <w:docGrid w:linePitch="360"/>
        </w:sectPr>
      </w:pP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13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0091 MORAR MELHOR</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04.122.1.033 REFORMA, AMPLIACAO E AQUISICAO DE EQUIP.</w:t>
      </w:r>
    </w:p>
    <w:tbl>
      <w:tblPr>
        <w:tblOverlap w:val="never"/>
        <w:jc w:val="left"/>
        <w:tblLayout w:type="fixed"/>
      </w:tblPr>
      <w:tblGrid>
        <w:gridCol w:w="5731"/>
        <w:gridCol w:w="1469"/>
        <w:gridCol w:w="1507"/>
        <w:gridCol w:w="1421"/>
        <w:gridCol w:w="1368"/>
        <w:gridCol w:w="1421"/>
        <w:gridCol w:w="1262"/>
      </w:tblGrid>
      <w:tr>
        <w:trPr>
          <w:trHeight w:val="245" w:hRule="exact"/>
        </w:trPr>
        <w:tc>
          <w:tcPr>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331" w:hRule="exact"/>
        </w:trPr>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78" w:hRule="exact"/>
        </w:trPr>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0091 MORAR MELHOR</w:t>
            </w: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r>
      <w:tr>
        <w:trPr>
          <w:trHeight w:val="274" w:hRule="exact"/>
        </w:trPr>
        <w:tc>
          <w:tcPr>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04.122.1.034 REF., ADEQ. E CONST. FEIRAS E MERCADOS</w:t>
            </w: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r>
      <w:tr>
        <w:trPr>
          <w:trHeight w:val="302" w:hRule="exact"/>
        </w:trPr>
        <w:tc>
          <w:tcPr>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728.194,50</w:t>
            </w:r>
          </w:p>
        </w:tc>
        <w:tc>
          <w:tcPr>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760.963,25</w:t>
            </w:r>
          </w:p>
        </w:tc>
        <w:tc>
          <w:tcPr>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791.401,78</w:t>
            </w:r>
          </w:p>
        </w:tc>
        <w:tc>
          <w:tcPr>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821.475,05</w:t>
            </w:r>
          </w:p>
        </w:tc>
      </w:tr>
      <w:tr>
        <w:trPr>
          <w:trHeight w:val="331" w:hRule="exact"/>
        </w:trPr>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728.194,50</w:t>
            </w:r>
          </w:p>
        </w:tc>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760.963,25</w:t>
            </w:r>
          </w:p>
        </w:tc>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791.401,78</w:t>
            </w:r>
          </w:p>
        </w:tc>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821.475,05</w:t>
            </w:r>
          </w:p>
        </w:tc>
      </w:tr>
      <w:tr>
        <w:trPr>
          <w:trHeight w:val="278" w:hRule="exact"/>
        </w:trPr>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0091 MORAR MELHOR</w:t>
            </w: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r>
      <w:tr>
        <w:trPr>
          <w:trHeight w:val="274" w:hRule="exact"/>
        </w:trPr>
        <w:tc>
          <w:tcPr>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04.122.1.035 CONSTRUCAO DE QUADRAS POLIESPORTIVAS</w:t>
            </w: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r>
      <w:tr>
        <w:trPr>
          <w:trHeight w:val="302" w:hRule="exact"/>
        </w:trPr>
        <w:tc>
          <w:tcPr>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903.787,50</w:t>
            </w:r>
          </w:p>
        </w:tc>
        <w:tc>
          <w:tcPr>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944.457,94</w:t>
            </w:r>
          </w:p>
        </w:tc>
        <w:tc>
          <w:tcPr>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982.236,26</w:t>
            </w:r>
          </w:p>
        </w:tc>
        <w:tc>
          <w:tcPr>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1.019.561,24</w:t>
            </w:r>
          </w:p>
        </w:tc>
      </w:tr>
      <w:tr>
        <w:trPr>
          <w:trHeight w:val="331" w:hRule="exact"/>
        </w:trPr>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903.787,50</w:t>
            </w:r>
          </w:p>
        </w:tc>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944.457,94</w:t>
            </w:r>
          </w:p>
        </w:tc>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982.236,26</w:t>
            </w:r>
          </w:p>
        </w:tc>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1.019.561,24</w:t>
            </w:r>
          </w:p>
        </w:tc>
      </w:tr>
      <w:tr>
        <w:trPr>
          <w:trHeight w:val="274" w:hRule="exact"/>
        </w:trPr>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0091 MORAR MELHOR</w:t>
            </w: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r>
      <w:tr>
        <w:trPr>
          <w:trHeight w:val="278" w:hRule="exact"/>
        </w:trPr>
        <w:tc>
          <w:tcPr>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04.122.1.037 CONSTRUCAO DE ALDEIAS DO CONHECIMENTO</w:t>
            </w: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r>
      <w:tr>
        <w:trPr>
          <w:trHeight w:val="302" w:hRule="exact"/>
        </w:trPr>
        <w:tc>
          <w:tcPr>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31" w:hRule="exact"/>
        </w:trPr>
        <w:tc>
          <w:tcPr>
            <w:tcBorders>
              <w:top w:val="single" w:sz="4"/>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74" w:hRule="exact"/>
        </w:trPr>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0091 MORAR MELHOR</w:t>
            </w: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r>
      <w:tr>
        <w:trPr>
          <w:trHeight w:val="274" w:hRule="exact"/>
        </w:trPr>
        <w:tc>
          <w:tcPr>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15.451.1.038 MANUT. CONSERV. ILUMINACAO PUBLICA DO</w:t>
            </w: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r>
      <w:tr>
        <w:trPr>
          <w:trHeight w:val="254" w:hRule="exact"/>
        </w:trPr>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653.930,75</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1.008.980,93</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77.467,50</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80.953,54</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84.191,68</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87.390,96</w:t>
            </w:r>
          </w:p>
        </w:tc>
      </w:tr>
      <w:tr>
        <w:trPr>
          <w:trHeight w:val="216" w:hRule="exact"/>
        </w:trPr>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430.048,75</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692.006,16</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54" w:hRule="exact"/>
        </w:trPr>
        <w:tc>
          <w:tcPr>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82.632,00</w:t>
            </w:r>
          </w:p>
        </w:tc>
        <w:tc>
          <w:tcPr>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86.350,44</w:t>
            </w:r>
          </w:p>
        </w:tc>
        <w:tc>
          <w:tcPr>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89.804,46</w:t>
            </w:r>
          </w:p>
        </w:tc>
        <w:tc>
          <w:tcPr>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93.217,03</w:t>
            </w:r>
          </w:p>
        </w:tc>
      </w:tr>
      <w:tr>
        <w:trPr>
          <w:trHeight w:val="326" w:hRule="exact"/>
        </w:trPr>
        <w:tc>
          <w:tcPr>
            <w:tcBorders>
              <w:top w:val="single" w:sz="4"/>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1.083.979,50</w:t>
            </w:r>
          </w:p>
        </w:tc>
        <w:tc>
          <w:tcPr>
            <w:tcBorders>
              <w:top w:val="single" w:sz="4"/>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1.700.987,09</w:t>
            </w:r>
          </w:p>
        </w:tc>
        <w:tc>
          <w:tcPr>
            <w:tcBorders>
              <w:top w:val="single" w:sz="4"/>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160.099,50</w:t>
            </w:r>
          </w:p>
        </w:tc>
        <w:tc>
          <w:tcPr>
            <w:tcBorders>
              <w:top w:val="single" w:sz="4"/>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167.303,98</w:t>
            </w:r>
          </w:p>
        </w:tc>
        <w:tc>
          <w:tcPr>
            <w:tcBorders>
              <w:top w:val="single" w:sz="4"/>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173.996,14</w:t>
            </w:r>
          </w:p>
        </w:tc>
        <w:tc>
          <w:tcPr>
            <w:tcBorders>
              <w:top w:val="single" w:sz="4"/>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180.607,99</w:t>
            </w:r>
          </w:p>
        </w:tc>
      </w:tr>
      <w:tr>
        <w:trPr>
          <w:trHeight w:val="283" w:hRule="exact"/>
        </w:trPr>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0091 MORAR MELHOR</w:t>
            </w: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r>
      <w:tr>
        <w:trPr>
          <w:trHeight w:val="274" w:hRule="exact"/>
        </w:trPr>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15.452.1.039 CONST., ADEQ. E RECUP. DE ESTRADAS E</w:t>
            </w: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c>
          <w:tcPr>
            <w:tcBorders/>
            <w:shd w:val="clear" w:color="auto" w:fill="FFFFFF"/>
            <w:vAlign w:val="top"/>
          </w:tcPr>
          <w:p>
            <w:pPr>
              <w:framePr w:w="14179" w:h="6802" w:vSpace="298" w:wrap="notBeside" w:vAnchor="text" w:hAnchor="text" w:y="1"/>
              <w:widowControl w:val="0"/>
              <w:rPr>
                <w:sz w:val="10"/>
                <w:szCs w:val="10"/>
              </w:rPr>
            </w:pPr>
          </w:p>
        </w:tc>
      </w:tr>
      <w:tr>
        <w:trPr>
          <w:trHeight w:val="254" w:hRule="exact"/>
        </w:trPr>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180.757,50</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188.891,59</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196.447,25</w:t>
            </w:r>
          </w:p>
        </w:tc>
        <w:tc>
          <w:tcPr>
            <w:tcBorders/>
            <w:shd w:val="clear" w:color="auto" w:fill="FFFFFF"/>
            <w:vAlign w:val="bottom"/>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203.912,25</w:t>
            </w:r>
          </w:p>
        </w:tc>
      </w:tr>
      <w:tr>
        <w:trPr>
          <w:trHeight w:val="259" w:hRule="exact"/>
        </w:trPr>
        <w:tc>
          <w:tcPr>
            <w:tcBorders>
              <w:bottom w:val="single" w:sz="4"/>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bottom w:val="single" w:sz="4"/>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3.526.231,80</w:t>
            </w:r>
          </w:p>
        </w:tc>
        <w:tc>
          <w:tcPr>
            <w:tcBorders>
              <w:bottom w:val="single" w:sz="4"/>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15.549.088,53</w:t>
            </w:r>
          </w:p>
        </w:tc>
        <w:tc>
          <w:tcPr>
            <w:tcBorders>
              <w:bottom w:val="single" w:sz="4"/>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1.124.981,85</w:t>
            </w:r>
          </w:p>
        </w:tc>
        <w:tc>
          <w:tcPr>
            <w:tcBorders>
              <w:bottom w:val="single" w:sz="4"/>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1.175.606,03</w:t>
            </w:r>
          </w:p>
        </w:tc>
        <w:tc>
          <w:tcPr>
            <w:tcBorders>
              <w:bottom w:val="single" w:sz="4"/>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1.222.630,27</w:t>
            </w:r>
          </w:p>
        </w:tc>
        <w:tc>
          <w:tcPr>
            <w:tcBorders>
              <w:bottom w:val="single" w:sz="4"/>
            </w:tcBorders>
            <w:shd w:val="clear" w:color="auto" w:fill="FFFFFF"/>
            <w:vAlign w:val="top"/>
          </w:tcPr>
          <w:p>
            <w:pPr>
              <w:pStyle w:val="Style23"/>
              <w:keepNext w:val="0"/>
              <w:keepLines w:val="0"/>
              <w:framePr w:w="14179" w:h="6802" w:vSpace="298"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1.269.090,22</w:t>
            </w:r>
          </w:p>
        </w:tc>
      </w:tr>
    </w:tbl>
    <w:p>
      <w:pPr>
        <w:pStyle w:val="Style33"/>
        <w:keepNext w:val="0"/>
        <w:keepLines w:val="0"/>
        <w:framePr w:w="8074" w:h="221" w:hSpace="6105" w:wrap="notBeside" w:vAnchor="text" w:hAnchor="text" w:x="6039" w:y="6860"/>
        <w:widowControl w:val="0"/>
        <w:shd w:val="clear" w:color="auto" w:fill="auto"/>
        <w:tabs>
          <w:tab w:pos="1325" w:val="left"/>
          <w:tab w:pos="2822" w:val="left"/>
          <w:tab w:pos="4248" w:val="left"/>
          <w:tab w:pos="5674" w:val="left"/>
          <w:tab w:pos="7099" w:val="left"/>
        </w:tabs>
        <w:bidi w:val="0"/>
        <w:spacing w:before="0" w:after="0" w:line="240" w:lineRule="auto"/>
        <w:ind w:left="0" w:right="0" w:firstLine="0"/>
        <w:jc w:val="both"/>
      </w:pPr>
      <w:r>
        <w:rPr>
          <w:color w:val="000000"/>
          <w:spacing w:val="0"/>
          <w:w w:val="100"/>
          <w:position w:val="0"/>
          <w:shd w:val="clear" w:color="auto" w:fill="auto"/>
          <w:lang w:val="pt-PT" w:eastAsia="pt-PT" w:bidi="pt-PT"/>
        </w:rPr>
        <w:t>3.526.231,80</w:t>
        <w:tab/>
        <w:t>15.549.088,53</w:t>
        <w:tab/>
        <w:t>1.305.739,35</w:t>
        <w:tab/>
        <w:t>1.364.497,62</w:t>
        <w:tab/>
        <w:t>1.419.077,52</w:t>
        <w:tab/>
        <w:t>1.473.002,47</w:t>
      </w:r>
    </w:p>
    <w:p>
      <w:pPr>
        <w:pStyle w:val="Style33"/>
        <w:keepNext w:val="0"/>
        <w:keepLines w:val="0"/>
        <w:framePr w:w="2102" w:h="254" w:hSpace="12077" w:wrap="notBeside" w:vAnchor="text" w:hAnchor="text" w:x="3313" w:y="6846"/>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Total do Projeto/Atividade</w:t>
      </w:r>
    </w:p>
    <w:p>
      <w:pPr>
        <w:widowControl w:val="0"/>
        <w:spacing w:line="1" w:lineRule="exact"/>
        <w:sectPr>
          <w:headerReference w:type="default" r:id="rId65"/>
          <w:footerReference w:type="default" r:id="rId66"/>
          <w:footnotePr>
            <w:pos w:val="pageBottom"/>
            <w:numFmt w:val="decimal"/>
            <w:numRestart w:val="continuous"/>
          </w:footnotePr>
          <w:pgSz w:w="16840" w:h="11900" w:orient="landscape"/>
          <w:pgMar w:top="2067" w:left="1162" w:right="1498" w:bottom="1293" w:header="0" w:footer="865" w:gutter="0"/>
          <w:pgNumType w:start="20"/>
          <w:cols w:space="720"/>
          <w:noEndnote/>
          <w:rtlGutter w:val="0"/>
          <w:docGrid w:linePitch="360"/>
        </w:sectPr>
      </w:pPr>
    </w:p>
    <w:p>
      <w:pPr>
        <w:pStyle w:val="Style59"/>
        <w:keepNext/>
        <w:keepLines/>
        <w:widowControl w:val="0"/>
        <w:shd w:val="clear" w:color="auto" w:fill="auto"/>
        <w:bidi w:val="0"/>
        <w:spacing w:before="0" w:line="240" w:lineRule="auto"/>
        <w:ind w:right="0" w:firstLine="0"/>
        <w:jc w:val="left"/>
      </w:pPr>
      <w:bookmarkStart w:id="14" w:name="bookmark14"/>
      <w:r>
        <w:rPr>
          <w:color w:val="000000"/>
          <w:spacing w:val="0"/>
          <w:w w:val="100"/>
          <w:position w:val="0"/>
          <w:shd w:val="clear" w:color="auto" w:fill="auto"/>
          <w:lang w:val="pt-PT" w:eastAsia="pt-PT" w:bidi="pt-PT"/>
        </w:rPr>
        <w:t>Prefeitura Municipal de Maués</w:t>
      </w:r>
      <w:bookmarkEnd w:id="14"/>
    </w:p>
    <w:p>
      <w:pPr>
        <w:pStyle w:val="Style29"/>
        <w:keepNext w:val="0"/>
        <w:keepLines w:val="0"/>
        <w:widowControl w:val="0"/>
        <w:shd w:val="clear" w:color="auto" w:fill="auto"/>
        <w:bidi w:val="0"/>
        <w:spacing w:before="0" w:after="0" w:line="295" w:lineRule="auto"/>
        <w:ind w:left="2620" w:right="0" w:firstLine="0"/>
        <w:jc w:val="left"/>
      </w:pPr>
      <w:r>
        <w:rPr>
          <w:color w:val="000000"/>
          <w:spacing w:val="0"/>
          <w:w w:val="100"/>
          <w:position w:val="0"/>
          <w:shd w:val="clear" w:color="auto" w:fill="auto"/>
          <w:lang w:val="pt-PT" w:eastAsia="pt-PT" w:bidi="pt-PT"/>
        </w:rPr>
        <w:t>ESTADO DO AMAZONAS</w:t>
      </w:r>
    </w:p>
    <w:p>
      <w:pPr>
        <w:pStyle w:val="Style8"/>
        <w:keepNext w:val="0"/>
        <w:keepLines w:val="0"/>
        <w:widowControl w:val="0"/>
        <w:shd w:val="clear" w:color="auto" w:fill="auto"/>
        <w:bidi w:val="0"/>
        <w:spacing w:before="0" w:after="0" w:line="266" w:lineRule="auto"/>
        <w:ind w:left="2620" w:right="0" w:firstLine="0"/>
        <w:jc w:val="left"/>
      </w:pPr>
      <w:r>
        <w:rPr>
          <w:color w:val="000000"/>
          <w:spacing w:val="0"/>
          <w:w w:val="100"/>
          <w:position w:val="0"/>
          <w:shd w:val="clear" w:color="auto" w:fill="auto"/>
          <w:lang w:val="pt-PT" w:eastAsia="pt-PT" w:bidi="pt-PT"/>
        </w:rPr>
        <w:t xml:space="preserve">LEI DE DIRETRIZES </w:t>
      </w:r>
      <w:r>
        <w:rPr>
          <w:color w:val="000000"/>
          <w:spacing w:val="0"/>
          <w:w w:val="100"/>
          <w:position w:val="0"/>
          <w:shd w:val="clear" w:color="auto" w:fill="auto"/>
          <w:lang w:val="pt-BR" w:eastAsia="pt-BR" w:bidi="pt-BR"/>
        </w:rPr>
        <w:t xml:space="preserve">ORÇAMENTÁRIAS </w:t>
      </w:r>
      <w:r>
        <w:rPr>
          <w:color w:val="000000"/>
          <w:spacing w:val="0"/>
          <w:w w:val="100"/>
          <w:position w:val="0"/>
          <w:shd w:val="clear" w:color="auto" w:fill="auto"/>
          <w:lang w:val="pt-PT" w:eastAsia="pt-PT" w:bidi="pt-PT"/>
        </w:rPr>
        <w:t>- 2026</w:t>
      </w:r>
    </w:p>
    <w:p>
      <w:pPr>
        <w:pStyle w:val="Style8"/>
        <w:keepNext w:val="0"/>
        <w:keepLines w:val="0"/>
        <w:widowControl w:val="0"/>
        <w:shd w:val="clear" w:color="auto" w:fill="auto"/>
        <w:bidi w:val="0"/>
        <w:spacing w:before="0" w:after="0" w:line="266" w:lineRule="auto"/>
        <w:ind w:left="2620" w:right="5420" w:firstLine="0"/>
        <w:jc w:val="left"/>
      </w:pPr>
      <w:r>
        <mc:AlternateContent>
          <mc:Choice Requires="wps">
            <w:drawing>
              <wp:anchor distT="0" distB="12700" distL="114300" distR="114300" simplePos="0" relativeHeight="125829425" behindDoc="0" locked="0" layoutInCell="1" allowOverlap="1">
                <wp:simplePos x="0" y="0"/>
                <wp:positionH relativeFrom="page">
                  <wp:posOffset>4334510</wp:posOffset>
                </wp:positionH>
                <wp:positionV relativeFrom="paragraph">
                  <wp:posOffset>304800</wp:posOffset>
                </wp:positionV>
                <wp:extent cx="5376545" cy="463550"/>
                <wp:wrapTopAndBottom/>
                <wp:docPr id="125" name="Shape 125"/>
                <a:graphic xmlns:a="http://schemas.openxmlformats.org/drawingml/2006/main">
                  <a:graphicData uri="http://schemas.microsoft.com/office/word/2010/wordprocessingShape">
                    <wps:wsp>
                      <wps:cNvSpPr txBox="1"/>
                      <wps:spPr>
                        <a:xfrm>
                          <a:ext cx="5376545" cy="463550"/>
                        </a:xfrm>
                        <a:prstGeom prst="rect"/>
                        <a:noFill/>
                      </wps:spPr>
                      <wps:txbx>
                        <w:txbxContent>
                          <w:tbl>
                            <w:tblPr>
                              <w:tblOverlap w:val="never"/>
                              <w:jc w:val="left"/>
                              <w:tblLayout w:type="fixed"/>
                            </w:tblPr>
                            <w:tblGrid>
                              <w:gridCol w:w="1411"/>
                              <w:gridCol w:w="1411"/>
                              <w:gridCol w:w="1421"/>
                              <w:gridCol w:w="1426"/>
                              <w:gridCol w:w="1426"/>
                              <w:gridCol w:w="1373"/>
                            </w:tblGrid>
                            <w:tr>
                              <w:trPr>
                                <w:tblHeader/>
                                <w:trHeight w:val="365" w:hRule="exact"/>
                              </w:trPr>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line="1" w:lineRule="exact"/>
                            </w:pPr>
                          </w:p>
                        </w:txbxContent>
                      </wps:txbx>
                      <wps:bodyPr lIns="0" tIns="0" rIns="0" bIns="0">
                        <a:noAutoFit/>
                      </wps:bodyPr>
                    </wps:wsp>
                  </a:graphicData>
                </a:graphic>
              </wp:anchor>
            </w:drawing>
          </mc:Choice>
          <mc:Fallback>
            <w:pict>
              <v:shape id="_x0000_s1151" type="#_x0000_t202" style="position:absolute;margin-left:341.30000000000001pt;margin-top:24.pt;width:423.35000000000002pt;height:36.5pt;z-index:-125829328;mso-wrap-distance-left:9.pt;mso-wrap-distance-right:9.pt;mso-wrap-distance-bottom:1.pt;mso-position-horizontal-relative:page" filled="f" stroked="f">
                <v:textbox inset="0,0,0,0">
                  <w:txbxContent>
                    <w:tbl>
                      <w:tblPr>
                        <w:tblOverlap w:val="never"/>
                        <w:jc w:val="left"/>
                        <w:tblLayout w:type="fixed"/>
                      </w:tblPr>
                      <w:tblGrid>
                        <w:gridCol w:w="1411"/>
                        <w:gridCol w:w="1411"/>
                        <w:gridCol w:w="1421"/>
                        <w:gridCol w:w="1426"/>
                        <w:gridCol w:w="1426"/>
                        <w:gridCol w:w="1373"/>
                      </w:tblGrid>
                      <w:tr>
                        <w:trPr>
                          <w:tblHeader/>
                          <w:trHeight w:val="365" w:hRule="exact"/>
                        </w:trPr>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line="1" w:lineRule="exact"/>
                      </w:pPr>
                    </w:p>
                  </w:txbxContent>
                </v:textbox>
                <w10:wrap type="topAndBottom" anchorx="page"/>
              </v:shape>
            </w:pict>
          </mc:Fallback>
        </mc:AlternateContent>
      </w:r>
      <w:r>
        <mc:AlternateContent>
          <mc:Choice Requires="wps">
            <w:drawing>
              <wp:anchor distT="0" distB="2540" distL="114300" distR="2129155" simplePos="0" relativeHeight="125829427" behindDoc="0" locked="0" layoutInCell="1" allowOverlap="1">
                <wp:simplePos x="0" y="0"/>
                <wp:positionH relativeFrom="page">
                  <wp:posOffset>793115</wp:posOffset>
                </wp:positionH>
                <wp:positionV relativeFrom="paragraph">
                  <wp:posOffset>444500</wp:posOffset>
                </wp:positionV>
                <wp:extent cx="628015" cy="173990"/>
                <wp:wrapTopAndBottom/>
                <wp:docPr id="127" name="Shape 127"/>
                <a:graphic xmlns:a="http://schemas.openxmlformats.org/drawingml/2006/main">
                  <a:graphicData uri="http://schemas.microsoft.com/office/word/2010/wordprocessingShape">
                    <wps:wsp>
                      <wps:cNvSpPr txBox="1"/>
                      <wps:spPr>
                        <a:xfrm>
                          <a:ext cx="628015" cy="1739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CÓDIGOS</w:t>
                            </w:r>
                          </w:p>
                        </w:txbxContent>
                      </wps:txbx>
                      <wps:bodyPr wrap="none" lIns="0" tIns="0" rIns="0" bIns="0">
                        <a:noAutoFit/>
                      </wps:bodyPr>
                    </wps:wsp>
                  </a:graphicData>
                </a:graphic>
              </wp:anchor>
            </w:drawing>
          </mc:Choice>
          <mc:Fallback>
            <w:pict>
              <v:shape id="_x0000_s1153" type="#_x0000_t202" style="position:absolute;margin-left:62.450000000000003pt;margin-top:35.pt;width:49.450000000000003pt;height:13.699999999999999pt;z-index:-125829326;mso-wrap-distance-left:9.pt;mso-wrap-distance-right:167.65000000000001pt;mso-wrap-distance-bottom:0.200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CÓDIGOS</w:t>
                      </w:r>
                    </w:p>
                  </w:txbxContent>
                </v:textbox>
                <w10:wrap type="topAndBottom" anchorx="page"/>
              </v:shape>
            </w:pict>
          </mc:Fallback>
        </mc:AlternateContent>
      </w:r>
      <w:r>
        <mc:AlternateContent>
          <mc:Choice Requires="wps">
            <w:drawing>
              <wp:anchor distT="0" distB="0" distL="1708150" distR="114935" simplePos="0" relativeHeight="125829429" behindDoc="0" locked="0" layoutInCell="1" allowOverlap="1">
                <wp:simplePos x="0" y="0"/>
                <wp:positionH relativeFrom="page">
                  <wp:posOffset>2386965</wp:posOffset>
                </wp:positionH>
                <wp:positionV relativeFrom="paragraph">
                  <wp:posOffset>444500</wp:posOffset>
                </wp:positionV>
                <wp:extent cx="1048385" cy="176530"/>
                <wp:wrapTopAndBottom/>
                <wp:docPr id="129" name="Shape 129"/>
                <a:graphic xmlns:a="http://schemas.openxmlformats.org/drawingml/2006/main">
                  <a:graphicData uri="http://schemas.microsoft.com/office/word/2010/wordprocessingShape">
                    <wps:wsp>
                      <wps:cNvSpPr txBox="1"/>
                      <wps:spPr>
                        <a:xfrm>
                          <a:ext cx="1048385" cy="1765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xbxContent>
                      </wps:txbx>
                      <wps:bodyPr wrap="none" lIns="0" tIns="0" rIns="0" bIns="0">
                        <a:noAutoFit/>
                      </wps:bodyPr>
                    </wps:wsp>
                  </a:graphicData>
                </a:graphic>
              </wp:anchor>
            </w:drawing>
          </mc:Choice>
          <mc:Fallback>
            <w:pict>
              <v:shape id="_x0000_s1155" type="#_x0000_t202" style="position:absolute;margin-left:187.94999999999999pt;margin-top:35.pt;width:82.549999999999997pt;height:13.9pt;z-index:-125829324;mso-wrap-distance-left:134.5pt;mso-wrap-distance-right:9.0500000000000007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xbxContent>
                </v:textbox>
                <w10:wrap type="topAndBottom" anchorx="page"/>
              </v:shape>
            </w:pict>
          </mc:Fallback>
        </mc:AlternateContent>
      </w:r>
      <w:r>
        <w:rPr>
          <w:color w:val="000000"/>
          <w:spacing w:val="0"/>
          <w:w w:val="100"/>
          <w:position w:val="0"/>
          <w:shd w:val="clear" w:color="auto" w:fill="auto"/>
          <w:lang w:val="pt-PT" w:eastAsia="pt-PT" w:bidi="pt-PT"/>
        </w:rPr>
        <w:t>METODOLOGIA E MEMÓRIA DE CÁLCULO DAS METAS ANUAIS II.b - Demonstrativo da Despesa por Órgão, Unidade, Programa e Pi</w:t>
      </w:r>
    </w:p>
    <w:p>
      <w:pPr>
        <w:pStyle w:val="Style29"/>
        <w:keepNext w:val="0"/>
        <w:keepLines w:val="0"/>
        <w:widowControl w:val="0"/>
        <w:shd w:val="clear" w:color="auto" w:fill="auto"/>
        <w:bidi w:val="0"/>
        <w:spacing w:before="120" w:after="40" w:line="240" w:lineRule="auto"/>
        <w:ind w:left="680" w:right="0" w:firstLine="0"/>
        <w:jc w:val="left"/>
      </w:pPr>
      <w:r>
        <w:rPr>
          <w:color w:val="000000"/>
          <w:spacing w:val="0"/>
          <w:w w:val="100"/>
          <w:position w:val="0"/>
          <w:shd w:val="clear" w:color="auto" w:fill="auto"/>
          <w:lang w:val="pt-PT" w:eastAsia="pt-PT" w:bidi="pt-PT"/>
        </w:rPr>
        <w:t>0011 APOIO ADMINISTRATIVO</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04.122.2.018 MANUTENCAO E FUNCIONAMENTO DA SEMOSP</w:t>
      </w:r>
    </w:p>
    <w:tbl>
      <w:tblPr>
        <w:tblOverlap w:val="never"/>
        <w:jc w:val="center"/>
        <w:tblLayout w:type="fixed"/>
      </w:tblPr>
      <w:tblGrid>
        <w:gridCol w:w="1138"/>
        <w:gridCol w:w="4555"/>
        <w:gridCol w:w="1512"/>
        <w:gridCol w:w="1445"/>
        <w:gridCol w:w="1421"/>
        <w:gridCol w:w="1426"/>
        <w:gridCol w:w="1426"/>
        <w:gridCol w:w="1253"/>
      </w:tblGrid>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310.560,86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175.593,00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183.494,69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190.834,48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198.086,19</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6.773.044,57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8.086.036,66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323.814,15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336.766,72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349.563,86</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72.070,00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82.632,00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86.350,44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89.804,46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93.217,03</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3.1.90.94.00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Trabalhistas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14.382,09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35.178,68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34.358,69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291.303,22</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3.3.90.08.00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Benefícios Assistenciais Servidor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15.199,80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9.120,00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960,00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557.766,00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582.865,47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606.180,09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629.214,93</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2.769.534,59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2.833.087,70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1.666.590,74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1.741.587,32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1.811.250,81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1.880.078,34</w:t>
            </w:r>
          </w:p>
        </w:tc>
      </w:tr>
      <w:tr>
        <w:trPr>
          <w:trHeight w:val="23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568.095,00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593.659,28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617.405,65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640.867,06</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1.570.008,00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1.640.658,36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1.706.284,69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1.771.123,51</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2.458.554,49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1.632.232,62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1.859.220,00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1.942.884,90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2.020.600,30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2.097.383,11</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54.743,70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57.207,17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59.495,46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61.756,29</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7.817,29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306.462,93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54.743,70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57.207,17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59.495,46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61.756,29</w:t>
            </w:r>
          </w:p>
        </w:tc>
      </w:tr>
      <w:tr>
        <w:trPr>
          <w:trHeight w:val="22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3.3.90.93.00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e Restituições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1.255.157,89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98.426,11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44.414,70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46.413,36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48.269,89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50.104,15</w:t>
            </w:r>
          </w:p>
        </w:tc>
      </w:tr>
      <w:tr>
        <w:trPr>
          <w:trHeight w:val="24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98.374,36</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92.961,00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97.144,25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101.030,02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104.869,16</w:t>
            </w:r>
          </w:p>
        </w:tc>
      </w:tr>
      <w:tr>
        <w:trPr>
          <w:trHeight w:val="322"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13.802.974,83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13.007.584,50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7.398.152,84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7.731.069,75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8.040.312,55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8.345.844,44</w:t>
            </w:r>
          </w:p>
        </w:tc>
      </w:tr>
      <w:tr>
        <w:trPr>
          <w:trHeight w:val="283"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0091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MORAR MELHOR</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17.512.2.020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ENCARGOS COM A COLETA DE LIXO 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56.809,50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59.365,93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61.740,57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64.086,71</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1.165.212,84</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331"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1.131.025,50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1.181.921,65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1.229.198,52</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1.275.908,07</w:t>
            </w:r>
          </w:p>
        </w:tc>
      </w:tr>
      <w:tr>
        <w:trPr>
          <w:trHeight w:val="278"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0011</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APOIO ADMINISTRATIVO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26.122.2.021</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IMPLEMENT. E OPERACION. DE ACOES DE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56.809,50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59.365,93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61.740,57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64.086,71</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56.809,50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59.365,93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61.740,57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64.086,71</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67.138,50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70.159,73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72.966,12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75.738,83</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180.757,50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188.891,59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196.447,26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203.912,25</w:t>
            </w:r>
          </w:p>
        </w:tc>
      </w:tr>
    </w:tbl>
    <w:p>
      <w:pPr>
        <w:sectPr>
          <w:headerReference w:type="default" r:id="rId67"/>
          <w:footerReference w:type="default" r:id="rId68"/>
          <w:footnotePr>
            <w:pos w:val="pageBottom"/>
            <w:numFmt w:val="decimal"/>
            <w:numRestart w:val="continuous"/>
          </w:footnotePr>
          <w:pgSz w:w="16840" w:h="11900" w:orient="landscape"/>
          <w:pgMar w:top="656" w:left="1158" w:right="1508" w:bottom="656" w:header="0" w:footer="228" w:gutter="0"/>
          <w:cols w:space="720"/>
          <w:noEndnote/>
          <w:rtlGutter w:val="0"/>
          <w:docGrid w:linePitch="360"/>
        </w:sectPr>
      </w:pP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13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0034 ATENCAO COMUNITARIA</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18.541.2.059 OPERAC. E MANUT. ATERRO SANITARIO DO</w:t>
      </w:r>
    </w:p>
    <w:tbl>
      <w:tblPr>
        <w:tblOverlap w:val="never"/>
        <w:jc w:val="left"/>
        <w:tblLayout w:type="fixed"/>
      </w:tblPr>
      <w:tblGrid>
        <w:gridCol w:w="6038"/>
        <w:gridCol w:w="1310"/>
        <w:gridCol w:w="1301"/>
        <w:gridCol w:w="1421"/>
        <w:gridCol w:w="1426"/>
        <w:gridCol w:w="1426"/>
        <w:gridCol w:w="1248"/>
      </w:tblGrid>
      <w:tr>
        <w:trPr>
          <w:trHeight w:val="192" w:hRule="exact"/>
        </w:trPr>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 Diárias - Civil</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16" w:hRule="exact"/>
        </w:trPr>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 Outros Serviços de Terc. - Pessoa Física</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54" w:hRule="exact"/>
        </w:trPr>
        <w:tc>
          <w:tcPr>
            <w:tcBorders/>
            <w:shd w:val="clear" w:color="auto" w:fill="FFFFFF"/>
            <w:vAlign w:val="top"/>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67.138,50</w:t>
            </w:r>
          </w:p>
        </w:tc>
        <w:tc>
          <w:tcPr>
            <w:tcBorders/>
            <w:shd w:val="clear" w:color="auto" w:fill="FFFFFF"/>
            <w:vAlign w:val="top"/>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70.159,73</w:t>
            </w:r>
          </w:p>
        </w:tc>
        <w:tc>
          <w:tcPr>
            <w:tcBorders/>
            <w:shd w:val="clear" w:color="auto" w:fill="FFFFFF"/>
            <w:vAlign w:val="top"/>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72.966,12</w:t>
            </w:r>
          </w:p>
        </w:tc>
        <w:tc>
          <w:tcPr>
            <w:tcBorders/>
            <w:shd w:val="clear" w:color="auto" w:fill="FFFFFF"/>
            <w:vAlign w:val="top"/>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75.738,83</w:t>
            </w:r>
          </w:p>
        </w:tc>
      </w:tr>
      <w:tr>
        <w:trPr>
          <w:trHeight w:val="331" w:hRule="exact"/>
        </w:trPr>
        <w:tc>
          <w:tcPr>
            <w:tcBorders>
              <w:top w:val="single" w:sz="4"/>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top w:val="single" w:sz="4"/>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107.938,04</w:t>
            </w:r>
          </w:p>
        </w:tc>
        <w:tc>
          <w:tcPr>
            <w:tcBorders>
              <w:top w:val="single" w:sz="4"/>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top w:val="single" w:sz="4"/>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116.521,29</w:t>
            </w:r>
          </w:p>
        </w:tc>
      </w:tr>
      <w:tr>
        <w:trPr>
          <w:trHeight w:val="278" w:hRule="exact"/>
        </w:trPr>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0011 APOIO ADMINISTRATIVO</w:t>
            </w: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r>
      <w:tr>
        <w:trPr>
          <w:trHeight w:val="278" w:hRule="exact"/>
        </w:trPr>
        <w:tc>
          <w:tcPr>
            <w:tcBorders/>
            <w:shd w:val="clear" w:color="auto" w:fill="FFFFFF"/>
            <w:vAlign w:val="top"/>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04.451.2.158 OPERAC. E MANUT. DO PORTO DE MAUES</w:t>
            </w: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r>
      <w:tr>
        <w:trPr>
          <w:trHeight w:val="250" w:hRule="exact"/>
        </w:trPr>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 Vencimentos e Vant. Fixas - Pessoal Civil</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307.267,09</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321.094,11</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333.937,87</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346.627,51</w:t>
            </w:r>
          </w:p>
        </w:tc>
      </w:tr>
      <w:tr>
        <w:trPr>
          <w:trHeight w:val="211" w:hRule="exact"/>
        </w:trPr>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 Obrigações Patronais</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55.514,82</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58.012,99</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60.333,51</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62.626,18</w:t>
            </w:r>
          </w:p>
        </w:tc>
      </w:tr>
      <w:tr>
        <w:trPr>
          <w:trHeight w:val="206" w:hRule="exact"/>
        </w:trPr>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148.737,60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155.430,79</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161.648,02</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167.790,64</w:t>
            </w:r>
          </w:p>
        </w:tc>
      </w:tr>
      <w:tr>
        <w:trPr>
          <w:trHeight w:val="216" w:hRule="exact"/>
        </w:trPr>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 Outros Serviços de Terc. - Pessoa Física</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32.381,42</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33.676,68</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34.956,39</w:t>
            </w:r>
          </w:p>
        </w:tc>
      </w:tr>
      <w:tr>
        <w:trPr>
          <w:trHeight w:val="211" w:hRule="exact"/>
        </w:trPr>
        <w:tc>
          <w:tcPr>
            <w:tcBorders/>
            <w:shd w:val="clear" w:color="auto" w:fill="FFFFFF"/>
            <w:vAlign w:val="top"/>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495.792,00</w:t>
            </w:r>
          </w:p>
        </w:tc>
        <w:tc>
          <w:tcPr>
            <w:tcBorders/>
            <w:shd w:val="clear" w:color="auto" w:fill="FFFFFF"/>
            <w:vAlign w:val="top"/>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518.102,64</w:t>
            </w:r>
          </w:p>
        </w:tc>
        <w:tc>
          <w:tcPr>
            <w:tcBorders/>
            <w:shd w:val="clear" w:color="auto" w:fill="FFFFFF"/>
            <w:vAlign w:val="top"/>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538.826,75</w:t>
            </w:r>
          </w:p>
        </w:tc>
        <w:tc>
          <w:tcPr>
            <w:tcBorders/>
            <w:shd w:val="clear" w:color="auto" w:fill="FFFFFF"/>
            <w:vAlign w:val="top"/>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559.302,17</w:t>
            </w:r>
          </w:p>
        </w:tc>
      </w:tr>
      <w:tr>
        <w:trPr>
          <w:trHeight w:val="250" w:hRule="exact"/>
        </w:trPr>
        <w:tc>
          <w:tcPr>
            <w:tcBorders/>
            <w:shd w:val="clear" w:color="auto" w:fill="FFFFFF"/>
            <w:vAlign w:val="top"/>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 Equipamentos e Material Permanente</w:t>
            </w:r>
          </w:p>
        </w:tc>
        <w:tc>
          <w:tcPr>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247.896,00</w:t>
            </w:r>
          </w:p>
        </w:tc>
        <w:tc>
          <w:tcPr>
            <w:tcBorders/>
            <w:shd w:val="clear" w:color="auto" w:fill="FFFFFF"/>
            <w:vAlign w:val="top"/>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259.051,32</w:t>
            </w:r>
          </w:p>
        </w:tc>
        <w:tc>
          <w:tcPr>
            <w:tcBorders/>
            <w:shd w:val="clear" w:color="auto" w:fill="FFFFFF"/>
            <w:vAlign w:val="top"/>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269.413,37</w:t>
            </w:r>
          </w:p>
        </w:tc>
        <w:tc>
          <w:tcPr>
            <w:tcBorders/>
            <w:shd w:val="clear" w:color="auto" w:fill="FFFFFF"/>
            <w:vAlign w:val="top"/>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279.651,08</w:t>
            </w:r>
          </w:p>
        </w:tc>
      </w:tr>
      <w:tr>
        <w:trPr>
          <w:trHeight w:val="331" w:hRule="exact"/>
        </w:trPr>
        <w:tc>
          <w:tcPr>
            <w:tcBorders>
              <w:top w:val="single" w:sz="4"/>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7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1.286.194,51</w:t>
            </w:r>
          </w:p>
        </w:tc>
        <w:tc>
          <w:tcPr>
            <w:tcBorders>
              <w:top w:val="single" w:sz="4"/>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1.344.073,27</w:t>
            </w:r>
          </w:p>
        </w:tc>
        <w:tc>
          <w:tcPr>
            <w:tcBorders>
              <w:top w:val="single" w:sz="4"/>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1.397.836,20</w:t>
            </w:r>
          </w:p>
        </w:tc>
        <w:tc>
          <w:tcPr>
            <w:tcBorders>
              <w:top w:val="single" w:sz="4"/>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1.450.953,97</w:t>
            </w:r>
          </w:p>
        </w:tc>
      </w:tr>
      <w:tr>
        <w:trPr>
          <w:trHeight w:val="278" w:hRule="exact"/>
        </w:trPr>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0091 MORAR MELHOR</w:t>
            </w: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r>
      <w:tr>
        <w:trPr>
          <w:trHeight w:val="278" w:hRule="exact"/>
        </w:trPr>
        <w:tc>
          <w:tcPr>
            <w:tcBorders/>
            <w:shd w:val="clear" w:color="auto" w:fill="FFFFFF"/>
            <w:vAlign w:val="top"/>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04.122.2.178 MANUTENCAO E FUNCIONAMENTO DO LICEU DE</w:t>
            </w: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c>
          <w:tcPr>
            <w:tcBorders/>
            <w:shd w:val="clear" w:color="auto" w:fill="FFFFFF"/>
            <w:vAlign w:val="top"/>
          </w:tcPr>
          <w:p>
            <w:pPr>
              <w:framePr w:w="14170" w:h="4594" w:vSpace="365" w:wrap="notBeside" w:vAnchor="text" w:hAnchor="text" w:y="1"/>
              <w:widowControl w:val="0"/>
              <w:rPr>
                <w:sz w:val="10"/>
                <w:szCs w:val="10"/>
              </w:rPr>
            </w:pPr>
          </w:p>
        </w:tc>
      </w:tr>
      <w:tr>
        <w:trPr>
          <w:trHeight w:val="298" w:hRule="exact"/>
        </w:trPr>
        <w:tc>
          <w:tcPr>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53.040,00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02" w:hRule="exact"/>
        </w:trPr>
        <w:tc>
          <w:tcPr>
            <w:tcBorders>
              <w:top w:val="single" w:sz="4"/>
              <w:bottom w:val="single" w:sz="4"/>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bottom w:val="single" w:sz="4"/>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6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p>
            <w:pPr>
              <w:pStyle w:val="Style23"/>
              <w:keepNext w:val="0"/>
              <w:keepLines w:val="0"/>
              <w:framePr w:w="14170" w:h="4594" w:vSpace="365" w:wrap="notBeside" w:vAnchor="text" w:hAnchor="text" w:y="1"/>
              <w:widowControl w:val="0"/>
              <w:shd w:val="clear" w:color="auto" w:fill="auto"/>
              <w:tabs>
                <w:tab w:pos="8088" w:val="left"/>
              </w:tabs>
              <w:bidi w:val="0"/>
              <w:spacing w:before="0" w:after="0" w:line="192" w:lineRule="auto"/>
              <w:ind w:left="-480" w:right="0" w:firstLine="0"/>
              <w:jc w:val="left"/>
              <w:rPr>
                <w:sz w:val="16"/>
                <w:szCs w:val="16"/>
              </w:rPr>
            </w:pPr>
            <w:r>
              <w:rPr>
                <w:sz w:val="18"/>
                <w:szCs w:val="18"/>
                <w:u w:val="single"/>
              </w:rPr>
              <w:t xml:space="preserve"> </w:t>
              <w:tab/>
            </w:r>
          </w:p>
        </w:tc>
        <w:tc>
          <w:tcPr>
            <w:tcBorders>
              <w:top w:val="single" w:sz="4"/>
              <w:bottom w:val="single" w:sz="4"/>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53.040,00</w:t>
            </w:r>
          </w:p>
        </w:tc>
        <w:tc>
          <w:tcPr>
            <w:tcBorders>
              <w:top w:val="single" w:sz="4"/>
              <w:bottom w:val="single" w:sz="4"/>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bottom w:val="single" w:sz="4"/>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bottom w:val="single" w:sz="4"/>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bottom w:val="single" w:sz="4"/>
            </w:tcBorders>
            <w:shd w:val="clear" w:color="auto" w:fill="FFFFFF"/>
            <w:vAlign w:val="bottom"/>
          </w:tcPr>
          <w:p>
            <w:pPr>
              <w:pStyle w:val="Style23"/>
              <w:keepNext w:val="0"/>
              <w:keepLines w:val="0"/>
              <w:framePr w:w="14170" w:h="4594" w:vSpace="365" w:wrap="notBeside" w:vAnchor="text" w:hAnchor="text" w:y="1"/>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bl>
    <w:p>
      <w:pPr>
        <w:pStyle w:val="Style33"/>
        <w:keepNext w:val="0"/>
        <w:keepLines w:val="0"/>
        <w:framePr w:w="1411" w:h="245" w:hSpace="12759" w:wrap="notBeside" w:vAnchor="text" w:hAnchor="text" w:x="3313" w:y="4715"/>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Total da Unidade</w:t>
      </w:r>
    </w:p>
    <w:p>
      <w:pPr>
        <w:pStyle w:val="Style33"/>
        <w:keepNext w:val="0"/>
        <w:keepLines w:val="0"/>
        <w:framePr w:w="3850" w:h="221" w:hSpace="10320" w:wrap="notBeside" w:vAnchor="text" w:hAnchor="text" w:x="5958" w:y="4729"/>
        <w:widowControl w:val="0"/>
        <w:shd w:val="clear" w:color="auto" w:fill="auto"/>
        <w:tabs>
          <w:tab w:pos="1397" w:val="left"/>
          <w:tab w:pos="2808" w:val="left"/>
        </w:tabs>
        <w:bidi w:val="0"/>
        <w:spacing w:before="0" w:after="0" w:line="240" w:lineRule="auto"/>
        <w:ind w:left="0" w:right="0" w:firstLine="0"/>
        <w:jc w:val="both"/>
      </w:pPr>
      <w:r>
        <w:rPr>
          <w:color w:val="000000"/>
          <w:spacing w:val="0"/>
          <w:w w:val="100"/>
          <w:position w:val="0"/>
          <w:shd w:val="clear" w:color="auto" w:fill="auto"/>
          <w:lang w:val="pt-PT" w:eastAsia="pt-PT" w:bidi="pt-PT"/>
        </w:rPr>
        <w:t>18.415.127,13</w:t>
        <w:tab/>
        <w:t>34.571.523,10</w:t>
        <w:tab/>
        <w:t>22.968.050,51</w:t>
      </w:r>
    </w:p>
    <w:p>
      <w:pPr>
        <w:pStyle w:val="Style33"/>
        <w:keepNext w:val="0"/>
        <w:keepLines w:val="0"/>
        <w:framePr w:w="3917" w:h="221" w:hSpace="10253" w:wrap="notBeside" w:vAnchor="text" w:hAnchor="text" w:x="10196" w:y="4729"/>
        <w:widowControl w:val="0"/>
        <w:shd w:val="clear" w:color="auto" w:fill="auto"/>
        <w:tabs>
          <w:tab w:pos="1421" w:val="left"/>
          <w:tab w:pos="2842" w:val="left"/>
        </w:tabs>
        <w:bidi w:val="0"/>
        <w:spacing w:before="0" w:after="0" w:line="240" w:lineRule="auto"/>
        <w:ind w:left="0" w:right="0" w:firstLine="0"/>
        <w:jc w:val="both"/>
      </w:pPr>
      <w:r>
        <w:rPr>
          <w:color w:val="000000"/>
          <w:spacing w:val="0"/>
          <w:w w:val="100"/>
          <w:position w:val="0"/>
          <w:shd w:val="clear" w:color="auto" w:fill="auto"/>
          <w:lang w:val="pt-PT" w:eastAsia="pt-PT" w:bidi="pt-PT"/>
        </w:rPr>
        <w:t>24.001.612,84</w:t>
        <w:tab/>
        <w:t>24.961.677,37</w:t>
        <w:tab/>
        <w:t>25.910.221,12</w:t>
      </w:r>
    </w:p>
    <w:p>
      <w:pPr>
        <w:widowControl w:val="0"/>
        <w:spacing w:line="1" w:lineRule="exact"/>
      </w:pPr>
      <w:r>
        <w:br w:type="page"/>
      </w:r>
    </w:p>
    <w:p>
      <w:pPr>
        <w:widowControl w:val="0"/>
        <w:spacing w:line="1" w:lineRule="exact"/>
      </w:pPr>
      <w:r>
        <mc:AlternateContent>
          <mc:Choice Requires="wps">
            <w:drawing>
              <wp:anchor distT="130810" distB="158750" distL="0" distR="0" simplePos="0" relativeHeight="125829431" behindDoc="0" locked="0" layoutInCell="1" allowOverlap="1">
                <wp:simplePos x="0" y="0"/>
                <wp:positionH relativeFrom="page">
                  <wp:posOffset>802005</wp:posOffset>
                </wp:positionH>
                <wp:positionV relativeFrom="paragraph">
                  <wp:posOffset>130810</wp:posOffset>
                </wp:positionV>
                <wp:extent cx="628015" cy="173990"/>
                <wp:wrapTopAndBottom/>
                <wp:docPr id="133" name="Shape 133"/>
                <a:graphic xmlns:a="http://schemas.openxmlformats.org/drawingml/2006/main">
                  <a:graphicData uri="http://schemas.microsoft.com/office/word/2010/wordprocessingShape">
                    <wps:wsp>
                      <wps:cNvSpPr txBox="1"/>
                      <wps:spPr>
                        <a:xfrm>
                          <a:ext cx="628015" cy="1739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CÓDIGOS</w:t>
                            </w:r>
                          </w:p>
                        </w:txbxContent>
                      </wps:txbx>
                      <wps:bodyPr wrap="none" lIns="0" tIns="0" rIns="0" bIns="0">
                        <a:noAutoFit/>
                      </wps:bodyPr>
                    </wps:wsp>
                  </a:graphicData>
                </a:graphic>
              </wp:anchor>
            </w:drawing>
          </mc:Choice>
          <mc:Fallback>
            <w:pict>
              <v:shape id="_x0000_s1159" type="#_x0000_t202" style="position:absolute;margin-left:63.149999999999999pt;margin-top:10.300000000000001pt;width:49.450000000000003pt;height:13.699999999999999pt;z-index:-125829322;mso-wrap-distance-left:0;mso-wrap-distance-top:10.300000000000001pt;mso-wrap-distance-right:0;mso-wrap-distance-bottom:12.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CÓDIGOS</w:t>
                      </w:r>
                    </w:p>
                  </w:txbxContent>
                </v:textbox>
                <w10:wrap type="topAndBottom" anchorx="page"/>
              </v:shape>
            </w:pict>
          </mc:Fallback>
        </mc:AlternateContent>
      </w:r>
      <w:r>
        <mc:AlternateContent>
          <mc:Choice Requires="wps">
            <w:drawing>
              <wp:anchor distT="130810" distB="156210" distL="0" distR="0" simplePos="0" relativeHeight="125829433" behindDoc="0" locked="0" layoutInCell="1" allowOverlap="1">
                <wp:simplePos x="0" y="0"/>
                <wp:positionH relativeFrom="page">
                  <wp:posOffset>2395855</wp:posOffset>
                </wp:positionH>
                <wp:positionV relativeFrom="paragraph">
                  <wp:posOffset>130810</wp:posOffset>
                </wp:positionV>
                <wp:extent cx="1048385" cy="176530"/>
                <wp:wrapTopAndBottom/>
                <wp:docPr id="135" name="Shape 135"/>
                <a:graphic xmlns:a="http://schemas.openxmlformats.org/drawingml/2006/main">
                  <a:graphicData uri="http://schemas.microsoft.com/office/word/2010/wordprocessingShape">
                    <wps:wsp>
                      <wps:cNvSpPr txBox="1"/>
                      <wps:spPr>
                        <a:xfrm>
                          <a:ext cx="1048385" cy="1765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xbxContent>
                      </wps:txbx>
                      <wps:bodyPr wrap="none" lIns="0" tIns="0" rIns="0" bIns="0">
                        <a:noAutoFit/>
                      </wps:bodyPr>
                    </wps:wsp>
                  </a:graphicData>
                </a:graphic>
              </wp:anchor>
            </w:drawing>
          </mc:Choice>
          <mc:Fallback>
            <w:pict>
              <v:shape id="_x0000_s1161" type="#_x0000_t202" style="position:absolute;margin-left:188.65000000000001pt;margin-top:10.300000000000001pt;width:82.549999999999997pt;height:13.9pt;z-index:-125829320;mso-wrap-distance-left:0;mso-wrap-distance-top:10.300000000000001pt;mso-wrap-distance-right:0;mso-wrap-distance-bottom:12.3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xbxContent>
                </v:textbox>
                <w10:wrap type="topAndBottom" anchorx="page"/>
              </v:shape>
            </w:pict>
          </mc:Fallback>
        </mc:AlternateContent>
      </w:r>
      <w:r>
        <mc:AlternateContent>
          <mc:Choice Requires="wps">
            <w:drawing>
              <wp:anchor distT="0" distB="0" distL="0" distR="0" simplePos="0" relativeHeight="125829435" behindDoc="0" locked="0" layoutInCell="1" allowOverlap="1">
                <wp:simplePos x="0" y="0"/>
                <wp:positionH relativeFrom="page">
                  <wp:posOffset>4344035</wp:posOffset>
                </wp:positionH>
                <wp:positionV relativeFrom="paragraph">
                  <wp:posOffset>0</wp:posOffset>
                </wp:positionV>
                <wp:extent cx="5376545" cy="463550"/>
                <wp:wrapTopAndBottom/>
                <wp:docPr id="137" name="Shape 137"/>
                <a:graphic xmlns:a="http://schemas.openxmlformats.org/drawingml/2006/main">
                  <a:graphicData uri="http://schemas.microsoft.com/office/word/2010/wordprocessingShape">
                    <wps:wsp>
                      <wps:cNvSpPr txBox="1"/>
                      <wps:spPr>
                        <a:xfrm>
                          <a:ext cx="5376545" cy="463550"/>
                        </a:xfrm>
                        <a:prstGeom prst="rect"/>
                        <a:noFill/>
                      </wps:spPr>
                      <wps:txbx>
                        <w:txbxContent>
                          <w:tbl>
                            <w:tblPr>
                              <w:tblOverlap w:val="never"/>
                              <w:jc w:val="left"/>
                              <w:tblLayout w:type="fixed"/>
                            </w:tblPr>
                            <w:tblGrid>
                              <w:gridCol w:w="1411"/>
                              <w:gridCol w:w="1411"/>
                              <w:gridCol w:w="1421"/>
                              <w:gridCol w:w="1426"/>
                              <w:gridCol w:w="1426"/>
                              <w:gridCol w:w="1373"/>
                            </w:tblGrid>
                            <w:tr>
                              <w:trPr>
                                <w:tblHeader/>
                                <w:trHeight w:val="365" w:hRule="exact"/>
                              </w:trPr>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line="1" w:lineRule="exact"/>
                            </w:pPr>
                          </w:p>
                        </w:txbxContent>
                      </wps:txbx>
                      <wps:bodyPr lIns="0" tIns="0" rIns="0" bIns="0">
                        <a:noAutoFit/>
                      </wps:bodyPr>
                    </wps:wsp>
                  </a:graphicData>
                </a:graphic>
              </wp:anchor>
            </w:drawing>
          </mc:Choice>
          <mc:Fallback>
            <w:pict>
              <v:shape id="_x0000_s1163" type="#_x0000_t202" style="position:absolute;margin-left:342.05000000000001pt;margin-top:0;width:423.35000000000002pt;height:36.5pt;z-index:-125829318;mso-wrap-distance-left:0;mso-wrap-distance-right:0;mso-position-horizontal-relative:page" filled="f" stroked="f">
                <v:textbox inset="0,0,0,0">
                  <w:txbxContent>
                    <w:tbl>
                      <w:tblPr>
                        <w:tblOverlap w:val="never"/>
                        <w:jc w:val="left"/>
                        <w:tblLayout w:type="fixed"/>
                      </w:tblPr>
                      <w:tblGrid>
                        <w:gridCol w:w="1411"/>
                        <w:gridCol w:w="1411"/>
                        <w:gridCol w:w="1421"/>
                        <w:gridCol w:w="1426"/>
                        <w:gridCol w:w="1426"/>
                        <w:gridCol w:w="1373"/>
                      </w:tblGrid>
                      <w:tr>
                        <w:trPr>
                          <w:tblHeader/>
                          <w:trHeight w:val="365" w:hRule="exact"/>
                        </w:trPr>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line="1" w:lineRule="exact"/>
                      </w:pPr>
                    </w:p>
                  </w:txbxContent>
                </v:textbox>
                <w10:wrap type="topAndBottom" anchorx="page"/>
              </v:shape>
            </w:pict>
          </mc:Fallback>
        </mc:AlternateContent>
      </w:r>
    </w:p>
    <w:p>
      <w:pPr>
        <w:pStyle w:val="Style54"/>
        <w:keepNext/>
        <w:keepLines/>
        <w:widowControl w:val="0"/>
        <w:shd w:val="clear" w:color="auto" w:fill="auto"/>
        <w:bidi w:val="0"/>
        <w:spacing w:before="0" w:after="0" w:line="240" w:lineRule="auto"/>
        <w:ind w:left="860" w:right="0" w:firstLine="0"/>
        <w:jc w:val="left"/>
      </w:pPr>
      <w:bookmarkStart w:id="15" w:name="bookmark15"/>
      <w:r>
        <w:rPr>
          <w:color w:val="000000"/>
          <w:spacing w:val="0"/>
          <w:w w:val="100"/>
          <w:position w:val="0"/>
          <w:shd w:val="clear" w:color="auto" w:fill="auto"/>
          <w:lang w:val="pt-PT" w:eastAsia="pt-PT" w:bidi="pt-PT"/>
        </w:rPr>
        <w:t>02 PODER EXECUTIVO</w:t>
      </w:r>
      <w:bookmarkEnd w:id="15"/>
    </w:p>
    <w:p>
      <w:pPr>
        <w:pStyle w:val="Style54"/>
        <w:keepNext/>
        <w:keepLines/>
        <w:widowControl w:val="0"/>
        <w:shd w:val="clear" w:color="auto" w:fill="auto"/>
        <w:bidi w:val="0"/>
        <w:spacing w:before="0" w:after="140" w:line="240" w:lineRule="auto"/>
        <w:ind w:left="460" w:right="0" w:firstLine="0"/>
        <w:jc w:val="left"/>
      </w:pPr>
      <w:bookmarkStart w:id="16" w:name="bookmark16"/>
      <w:r>
        <w:rPr>
          <w:color w:val="000000"/>
          <w:spacing w:val="0"/>
          <w:w w:val="100"/>
          <w:position w:val="0"/>
          <w:shd w:val="clear" w:color="auto" w:fill="auto"/>
          <w:lang w:val="pt-PT" w:eastAsia="pt-PT" w:bidi="pt-PT"/>
        </w:rPr>
        <w:t>02.007 SEC. MUN. DE FOMENTO PRO. ABASTERCIMENTO - SEPROR</w:t>
      </w:r>
      <w:bookmarkEnd w:id="16"/>
    </w:p>
    <w:p>
      <w:pPr>
        <w:pStyle w:val="Style29"/>
        <w:keepNext w:val="0"/>
        <w:keepLines w:val="0"/>
        <w:widowControl w:val="0"/>
        <w:shd w:val="clear" w:color="auto" w:fill="auto"/>
        <w:bidi w:val="0"/>
        <w:spacing w:before="0" w:after="0" w:line="240" w:lineRule="auto"/>
        <w:ind w:left="680" w:right="0" w:firstLine="0"/>
        <w:jc w:val="left"/>
      </w:pPr>
      <w:r>
        <w:rPr>
          <w:color w:val="000000"/>
          <w:spacing w:val="0"/>
          <w:w w:val="100"/>
          <w:position w:val="0"/>
          <w:shd w:val="clear" w:color="auto" w:fill="auto"/>
          <w:lang w:val="pt-PT" w:eastAsia="pt-PT" w:bidi="pt-PT"/>
        </w:rPr>
        <w:t>0011 APOIO ADMINISTRATIVO</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20.122.2.022 MANUTENCAO E FUNCIONAMENTO DA SEPROR</w:t>
      </w:r>
    </w:p>
    <w:tbl>
      <w:tblPr>
        <w:tblOverlap w:val="never"/>
        <w:jc w:val="center"/>
        <w:tblLayout w:type="fixed"/>
      </w:tblPr>
      <w:tblGrid>
        <w:gridCol w:w="1114"/>
        <w:gridCol w:w="4531"/>
        <w:gridCol w:w="1517"/>
        <w:gridCol w:w="1406"/>
        <w:gridCol w:w="1421"/>
        <w:gridCol w:w="1426"/>
        <w:gridCol w:w="1426"/>
        <w:gridCol w:w="1200"/>
      </w:tblGrid>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165.264,00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172.700,88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179.608,92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186.434,06</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1.345.792,31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1.454.066,20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671.385,00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701.597,33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729.661,22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757.388,35</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9.117,17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3.1.90.94.00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Trabalhistas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9.708,33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10.159,17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3.3.90.08.00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Benefícios Assistenciais Servidor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3.350,16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10.440,00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472.854,99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627.393,93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300.850,00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291.303,22</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77.467,50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80.953,54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84.191,68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87.390,96</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800.315,15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320.216,10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271.575,01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283.795,89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295.147,73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306.363,34</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9.768,05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8.960,73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2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3.3.90.93.00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e Restituições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104.914,65</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462.010,26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2"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Obras e Instalações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5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5.022.098,40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203.400,00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841.813,50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879.695,11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914.882,91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949.648,46</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8.096.018,22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3.083.397,38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2.502.639,01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2.615.257,78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2.719.868,10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2.823.223,10</w:t>
            </w:r>
          </w:p>
        </w:tc>
      </w:tr>
    </w:tbl>
    <w:p>
      <w:pPr>
        <w:widowControl w:val="0"/>
        <w:spacing w:after="79" w:line="1" w:lineRule="exact"/>
      </w:pPr>
    </w:p>
    <w:p>
      <w:pPr>
        <w:pStyle w:val="Style29"/>
        <w:keepNext w:val="0"/>
        <w:keepLines w:val="0"/>
        <w:widowControl w:val="0"/>
        <w:shd w:val="clear" w:color="auto" w:fill="auto"/>
        <w:bidi w:val="0"/>
        <w:spacing w:before="0" w:after="0" w:line="240" w:lineRule="auto"/>
        <w:ind w:left="680" w:right="0" w:firstLine="0"/>
        <w:jc w:val="left"/>
      </w:pPr>
      <w:r>
        <w:rPr>
          <w:color w:val="000000"/>
          <w:spacing w:val="0"/>
          <w:w w:val="100"/>
          <w:position w:val="0"/>
          <w:shd w:val="clear" w:color="auto" w:fill="auto"/>
          <w:lang w:val="pt-PT" w:eastAsia="pt-PT" w:bidi="pt-PT"/>
        </w:rPr>
        <w:t>0124 PRODUTIVIDADE RURAL</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20.605.2.023 IMPLEMENT. DE ACOES DE APOIO E ASSIST. A</w:t>
      </w:r>
    </w:p>
    <w:tbl>
      <w:tblPr>
        <w:tblOverlap w:val="never"/>
        <w:jc w:val="center"/>
        <w:tblLayout w:type="fixed"/>
      </w:tblPr>
      <w:tblGrid>
        <w:gridCol w:w="1195"/>
        <w:gridCol w:w="4690"/>
        <w:gridCol w:w="1421"/>
        <w:gridCol w:w="1454"/>
        <w:gridCol w:w="1382"/>
        <w:gridCol w:w="1421"/>
        <w:gridCol w:w="1430"/>
        <w:gridCol w:w="1128"/>
      </w:tblGrid>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205.000,00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17.490,00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2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326"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17.490,00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205.000,00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98.125,50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102.541,14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106.642,79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110.695,23</w:t>
            </w:r>
          </w:p>
        </w:tc>
      </w:tr>
      <w:tr>
        <w:trPr>
          <w:trHeight w:val="278"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80" w:right="0" w:firstLine="0"/>
              <w:jc w:val="left"/>
            </w:pPr>
            <w:r>
              <w:rPr>
                <w:rFonts w:ascii="Arial" w:eastAsia="Arial" w:hAnsi="Arial" w:cs="Arial"/>
                <w:color w:val="000000"/>
                <w:spacing w:val="0"/>
                <w:w w:val="100"/>
                <w:position w:val="0"/>
                <w:shd w:val="clear" w:color="auto" w:fill="auto"/>
                <w:lang w:val="pt-PT" w:eastAsia="pt-PT" w:bidi="pt-PT"/>
              </w:rPr>
              <w:t>0124 PRODUTIVIDADE RURAL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20.605.2.024 IMPLEMENTACAO DE ACOES DE APOIO E ASSIST.</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bl>
    <w:p>
      <w:pPr>
        <w:sectPr>
          <w:headerReference w:type="default" r:id="rId69"/>
          <w:footerReference w:type="default" r:id="rId70"/>
          <w:footnotePr>
            <w:pos w:val="pageBottom"/>
            <w:numFmt w:val="decimal"/>
            <w:numRestart w:val="continuous"/>
          </w:footnotePr>
          <w:pgSz w:w="16840" w:h="11900" w:orient="landscape"/>
          <w:pgMar w:top="2136" w:left="1148" w:right="1522" w:bottom="979" w:header="0" w:footer="551" w:gutter="0"/>
          <w:cols w:space="720"/>
          <w:noEndnote/>
          <w:rtlGutter w:val="0"/>
          <w:docGrid w:linePitch="360"/>
        </w:sectPr>
      </w:pPr>
    </w:p>
    <w:p>
      <w:pPr>
        <w:pStyle w:val="Style33"/>
        <w:keepNext w:val="0"/>
        <w:keepLines w:val="0"/>
        <w:widowControl w:val="0"/>
        <w:shd w:val="clear" w:color="auto" w:fill="auto"/>
        <w:bidi w:val="0"/>
        <w:spacing w:before="0" w:after="40" w:line="240" w:lineRule="auto"/>
        <w:ind w:left="2563"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33"/>
        <w:keepNext w:val="0"/>
        <w:keepLines w:val="0"/>
        <w:widowControl w:val="0"/>
        <w:shd w:val="clear" w:color="auto" w:fill="auto"/>
        <w:bidi w:val="0"/>
        <w:spacing w:before="0" w:after="40" w:line="240" w:lineRule="auto"/>
        <w:ind w:left="2563"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33"/>
        <w:keepNext w:val="0"/>
        <w:keepLines w:val="0"/>
        <w:widowControl w:val="0"/>
        <w:shd w:val="clear" w:color="auto" w:fill="auto"/>
        <w:bidi w:val="0"/>
        <w:spacing w:before="0" w:after="0" w:line="240" w:lineRule="auto"/>
        <w:ind w:left="2563"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33"/>
        <w:keepNext w:val="0"/>
        <w:keepLines w:val="0"/>
        <w:widowControl w:val="0"/>
        <w:shd w:val="clear" w:color="auto" w:fill="auto"/>
        <w:tabs>
          <w:tab w:pos="10104" w:val="left"/>
        </w:tabs>
        <w:bidi w:val="0"/>
        <w:spacing w:before="0" w:after="40" w:line="240" w:lineRule="auto"/>
        <w:ind w:left="0" w:right="0" w:firstLine="0"/>
        <w:jc w:val="both"/>
        <w:rPr>
          <w:sz w:val="20"/>
          <w:szCs w:val="20"/>
        </w:rPr>
      </w:pPr>
      <w:r>
        <w:rPr>
          <w:color w:val="000000"/>
          <w:spacing w:val="0"/>
          <w:w w:val="100"/>
          <w:position w:val="0"/>
          <w:sz w:val="20"/>
          <w:szCs w:val="20"/>
          <w:shd w:val="clear" w:color="auto" w:fill="auto"/>
          <w:lang w:val="pt-PT" w:eastAsia="pt-PT" w:bidi="pt-PT"/>
        </w:rPr>
        <w:t>METODOLOGIA E MEMÓRIA DE CÁLCULO DAS METAS ANUAIS</w:t>
        <w:tab/>
      </w:r>
      <w:r>
        <w:rPr>
          <w:rFonts w:ascii="Times New Roman" w:eastAsia="Times New Roman" w:hAnsi="Times New Roman" w:cs="Times New Roman"/>
          <w:color w:val="000000"/>
          <w:spacing w:val="0"/>
          <w:w w:val="100"/>
          <w:position w:val="0"/>
          <w:sz w:val="20"/>
          <w:szCs w:val="20"/>
          <w:shd w:val="clear" w:color="auto" w:fill="auto"/>
          <w:lang w:val="pt-PT" w:eastAsia="pt-PT" w:bidi="pt-PT"/>
        </w:rPr>
        <w:t>Página: 24</w:t>
      </w:r>
    </w:p>
    <w:tbl>
      <w:tblPr>
        <w:tblOverlap w:val="never"/>
        <w:jc w:val="center"/>
        <w:tblLayout w:type="fixed"/>
      </w:tblPr>
      <w:tblGrid>
        <w:gridCol w:w="1094"/>
        <w:gridCol w:w="4531"/>
        <w:gridCol w:w="1411"/>
        <w:gridCol w:w="1411"/>
        <w:gridCol w:w="1421"/>
        <w:gridCol w:w="1426"/>
        <w:gridCol w:w="1426"/>
        <w:gridCol w:w="1373"/>
      </w:tblGrid>
      <w:tr>
        <w:trPr>
          <w:trHeight w:val="302" w:hRule="exact"/>
        </w:trPr>
        <w:tc>
          <w:tcPr>
            <w:gridSpan w:val="6"/>
            <w:tcBorders/>
            <w:shd w:val="clear" w:color="auto" w:fill="FFFFFF"/>
            <w:vAlign w:val="bottom"/>
          </w:tcPr>
          <w:p>
            <w:pPr>
              <w:pStyle w:val="Style23"/>
              <w:keepNext w:val="0"/>
              <w:keepLines w:val="0"/>
              <w:widowControl w:val="0"/>
              <w:shd w:val="clear" w:color="auto" w:fill="auto"/>
              <w:bidi w:val="0"/>
              <w:spacing w:before="0" w:after="0" w:line="240" w:lineRule="auto"/>
              <w:ind w:left="258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II.b - Demonstrativo da Despesa por Órgão, Unidade, Programa e Projeto/Atividade</w:t>
            </w:r>
          </w:p>
        </w:tc>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140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c>
      </w:tr>
      <w:tr>
        <w:trPr>
          <w:trHeight w:val="360"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0"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r>
        <w:trPr>
          <w:trHeight w:val="317"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2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77.467,50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80.953,55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84.191,70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87.391,00</w:t>
            </w:r>
          </w:p>
        </w:tc>
      </w:tr>
      <w:tr>
        <w:trPr>
          <w:trHeight w:val="27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8.113.508,22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3.288.397,38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2.678.232,01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2.798.752,47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2.910.702,59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3.021.309,33</w:t>
            </w:r>
          </w:p>
        </w:tc>
      </w:tr>
    </w:tbl>
    <w:p>
      <w:pPr>
        <w:sectPr>
          <w:headerReference w:type="default" r:id="rId71"/>
          <w:footerReference w:type="default" r:id="rId72"/>
          <w:footnotePr>
            <w:pos w:val="pageBottom"/>
            <w:numFmt w:val="decimal"/>
            <w:numRestart w:val="continuous"/>
          </w:footnotePr>
          <w:pgSz w:w="16840" w:h="11900" w:orient="landscape"/>
          <w:pgMar w:top="657" w:left="1201" w:right="1547" w:bottom="657" w:header="229" w:footer="229" w:gutter="0"/>
          <w:pgNumType w:start="63"/>
          <w:cols w:space="720"/>
          <w:noEndnote/>
          <w:rtlGutter w:val="0"/>
          <w:docGrid w:linePitch="360"/>
        </w:sectPr>
      </w:pP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p>
      <w:pPr>
        <w:pStyle w:val="Style54"/>
        <w:keepNext/>
        <w:keepLines/>
        <w:widowControl w:val="0"/>
        <w:shd w:val="clear" w:color="auto" w:fill="auto"/>
        <w:bidi w:val="0"/>
        <w:spacing w:before="0" w:after="0" w:line="240" w:lineRule="auto"/>
        <w:ind w:left="840" w:right="0" w:firstLine="0"/>
        <w:jc w:val="left"/>
      </w:pPr>
      <w:bookmarkStart w:id="17" w:name="bookmark17"/>
      <w:r>
        <w:rPr>
          <w:color w:val="000000"/>
          <w:spacing w:val="0"/>
          <w:w w:val="100"/>
          <w:position w:val="0"/>
          <w:shd w:val="clear" w:color="auto" w:fill="auto"/>
          <w:lang w:val="pt-PT" w:eastAsia="pt-PT" w:bidi="pt-PT"/>
        </w:rPr>
        <w:t>02 PODER EXECUTIVO</w:t>
      </w:r>
      <w:bookmarkEnd w:id="17"/>
    </w:p>
    <w:p>
      <w:pPr>
        <w:pStyle w:val="Style54"/>
        <w:keepNext/>
        <w:keepLines/>
        <w:widowControl w:val="0"/>
        <w:shd w:val="clear" w:color="auto" w:fill="auto"/>
        <w:bidi w:val="0"/>
        <w:spacing w:before="0" w:after="140" w:line="240" w:lineRule="auto"/>
        <w:ind w:left="460" w:right="0" w:firstLine="0"/>
        <w:jc w:val="left"/>
      </w:pPr>
      <w:bookmarkStart w:id="18" w:name="bookmark18"/>
      <w:r>
        <w:rPr>
          <w:color w:val="000000"/>
          <w:spacing w:val="0"/>
          <w:w w:val="100"/>
          <w:position w:val="0"/>
          <w:shd w:val="clear" w:color="auto" w:fill="auto"/>
          <w:lang w:val="pt-PT" w:eastAsia="pt-PT" w:bidi="pt-PT"/>
        </w:rPr>
        <w:t>02.008 SEC. MUNICIPAL DE CULTURA E TURISMO - SETUR</w:t>
      </w:r>
      <w:bookmarkEnd w:id="18"/>
    </w:p>
    <w:p>
      <w:pPr>
        <w:pStyle w:val="Style29"/>
        <w:keepNext w:val="0"/>
        <w:keepLines w:val="0"/>
        <w:widowControl w:val="0"/>
        <w:shd w:val="clear" w:color="auto" w:fill="auto"/>
        <w:bidi w:val="0"/>
        <w:spacing w:before="0" w:after="0" w:line="240" w:lineRule="auto"/>
        <w:ind w:left="660" w:right="0" w:firstLine="0"/>
        <w:jc w:val="left"/>
      </w:pPr>
      <w:r>
        <w:rPr>
          <w:color w:val="000000"/>
          <w:spacing w:val="0"/>
          <w:w w:val="100"/>
          <w:position w:val="0"/>
          <w:shd w:val="clear" w:color="auto" w:fill="auto"/>
          <w:lang w:val="pt-PT" w:eastAsia="pt-PT" w:bidi="pt-PT"/>
        </w:rPr>
        <w:t>0071 PROMOCAO CULTURAL</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13.392.2.025 ENCARGOS COM A REALIZACAO DE EVENTOS</w:t>
      </w:r>
    </w:p>
    <w:tbl>
      <w:tblPr>
        <w:tblOverlap w:val="never"/>
        <w:jc w:val="center"/>
        <w:tblLayout w:type="fixed"/>
      </w:tblPr>
      <w:tblGrid>
        <w:gridCol w:w="1128"/>
        <w:gridCol w:w="4589"/>
        <w:gridCol w:w="1517"/>
        <w:gridCol w:w="1406"/>
        <w:gridCol w:w="1416"/>
        <w:gridCol w:w="1426"/>
        <w:gridCol w:w="1426"/>
        <w:gridCol w:w="1262"/>
      </w:tblGrid>
      <w:tr>
        <w:trPr>
          <w:trHeight w:val="2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3.3.50.43.00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Subvenções Sociais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240.000,00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94.703,43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160.099,50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167.303,98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173.996,14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180.607,99</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31.282,00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160.099,50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167.303,98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173.996,14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180.607,99</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Premiações Cult., Artíst.,Cient.,Desp.e Outras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122.000,00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323.814,15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336.766,72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349.563,86</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113.619,00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118.731,86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123.481,13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128.173,41</w:t>
            </w:r>
          </w:p>
        </w:tc>
      </w:tr>
      <w:tr>
        <w:trPr>
          <w:trHeight w:val="22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144.577,55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151.083,54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157.126,88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163.097,70</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1.993.959,15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458.472,34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291.303,22</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418.600,00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1.093.295,71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129.112,50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134.922,56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140.319,46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145.651,60</w:t>
            </w:r>
          </w:p>
        </w:tc>
      </w:tr>
      <w:tr>
        <w:trPr>
          <w:trHeight w:val="2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3.3.90.93.00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e Restituições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16.605,69</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26"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8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2.822.446,84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1.667.871,48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1.327.248,05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1.386.974,23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1.442.453,20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1.497.266,42</w:t>
            </w:r>
          </w:p>
        </w:tc>
      </w:tr>
      <w:tr>
        <w:trPr>
          <w:trHeight w:val="283"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PROMOCAO CULTURAL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13.392.2.026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MANUT. SECRETARIA MUN. DE CULTURA 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9"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645.562,50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674.612,81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701.597,32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728.258,02</w:t>
            </w:r>
          </w:p>
        </w:tc>
      </w:tr>
      <w:tr>
        <w:trPr>
          <w:trHeight w:val="197"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1.158.273,70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1.263.670,52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521.614,50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545.087,15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566.890,64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588.432,48</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17.717,98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53.710,80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58.372,90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60.591,07</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Outras Despesas Variáveis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87.796,50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91.747,34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95.417,23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99.043,08</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3.649,78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34.956,39</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3.3.90.08.00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Benefícios Assistenciais Servidor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3.412,20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18.080,00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12.240,00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77.467,50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80.953,54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84.191,68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87.390,96</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54.150,57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61.148,21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206.580,00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215.876,10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224.511,14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233.042,56</w:t>
            </w:r>
          </w:p>
        </w:tc>
      </w:tr>
      <w:tr>
        <w:trPr>
          <w:trHeight w:val="22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1.660,00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77.467,50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80.953,54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84.191,68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87.390,96</w:t>
            </w:r>
          </w:p>
        </w:tc>
      </w:tr>
      <w:tr>
        <w:trPr>
          <w:trHeight w:val="2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Serviços de Consultoria</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17.600,00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723.030,00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755.566,35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785.789,00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815.648,98</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1.023.717,60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512.220,91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429.705,35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449.042,09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467.003,77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484.749,91</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5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7.343,29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11.025,84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8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2.302.192,92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1.874.717,68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3.008.856,65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3.144.255,20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3.270.025,39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3.394.286,33</w:t>
            </w:r>
          </w:p>
        </w:tc>
      </w:tr>
    </w:tbl>
    <w:p>
      <w:pPr>
        <w:spacing w:lineRule="exact" w:line="1"/>
        <w:rPr>
          <w:sz w:val="2"/>
          <w:szCs w:val="2"/>
        </w:rPr>
      </w:pP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13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0143 TURISMO SUSTENTAVEL</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23.695.2.027 IMPLEMENTACAO DE ACOES DE PROMOCAO</w:t>
      </w:r>
    </w:p>
    <w:tbl>
      <w:tblPr>
        <w:tblOverlap w:val="never"/>
        <w:jc w:val="center"/>
        <w:tblLayout w:type="fixed"/>
      </w:tblPr>
      <w:tblGrid>
        <w:gridCol w:w="5736"/>
        <w:gridCol w:w="1507"/>
        <w:gridCol w:w="1406"/>
        <w:gridCol w:w="1416"/>
        <w:gridCol w:w="1426"/>
        <w:gridCol w:w="1426"/>
        <w:gridCol w:w="1253"/>
      </w:tblGrid>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77.467,50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80.953,54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84.191,68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87.390,96</w:t>
            </w:r>
          </w:p>
        </w:tc>
      </w:tr>
      <w:tr>
        <w:trPr>
          <w:trHeight w:val="22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 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 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331"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160.099,50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167.303,98</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173.996,14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180.608,00</w:t>
            </w:r>
          </w:p>
        </w:tc>
      </w:tr>
      <w:tr>
        <w:trPr>
          <w:trHeight w:val="278"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0071 PROMOCAO CULTURAL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13.392.2.114 ENC. COM AÇÕES DO REC. ALDIR BLANC</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3.3.90.31.00 Premiações Cult., Artíst.,Cient.,Desp.e Outras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104.500,00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108.680,00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112.809,84</w:t>
            </w:r>
          </w:p>
        </w:tc>
      </w:tr>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 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104.500,00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108.680,00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112.809,84</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104.500,00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108.680,00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112.809,84</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3.3.90.48.00 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104.500,00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108.680,00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112.809,84</w:t>
            </w:r>
          </w:p>
        </w:tc>
      </w:tr>
      <w:tr>
        <w:trPr>
          <w:trHeight w:val="25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 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35.569,43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37.170,05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38.656,85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40.125,81</w:t>
            </w:r>
          </w:p>
        </w:tc>
      </w:tr>
      <w:tr>
        <w:trPr>
          <w:trHeight w:val="331"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435.569,43</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455.170,05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473.376,85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491.365,17</w:t>
            </w:r>
          </w:p>
        </w:tc>
      </w:tr>
      <w:tr>
        <w:trPr>
          <w:trHeight w:val="278"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0071 PROMOCAO CULTURAL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04.122.2.162 MANUTENCAO E FUNCIONAMENTO DO LICEU DE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 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72.303,00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75.556,64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78.578,91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81.564,91</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 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11.652,13</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20.658,00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21.587,61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22.451,11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11.652,13</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185.922,00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194.288,49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202.060,03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209.738,31</w:t>
            </w:r>
          </w:p>
        </w:tc>
      </w:tr>
      <w:tr>
        <w:trPr>
          <w:trHeight w:val="336"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299.541,00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313.020,36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325.541,17</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337.911,73</w:t>
            </w:r>
          </w:p>
        </w:tc>
      </w:tr>
      <w:tr>
        <w:trPr>
          <w:trHeight w:val="27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0071 PROMOCAO CULTURAL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13.392.2.208 ENCARGOS COM AÇÕES DO RECURSO ALDIR</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9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3.3.90.31.00 Premiações Cult., Artíst.,Cient.,Desp.e Outras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24.367,97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74"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24.367,97</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83"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5.124.639,76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3.566.957,13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5.231.314,63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5.466.723,82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5.685.392,75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5.901.437,65</w:t>
            </w:r>
          </w:p>
        </w:tc>
      </w:tr>
    </w:tbl>
    <w:p>
      <w:pPr>
        <w:spacing w:lineRule="exact" w:line="1"/>
        <w:rPr>
          <w:sz w:val="2"/>
          <w:szCs w:val="2"/>
        </w:rPr>
      </w:pP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p>
      <w:pPr>
        <w:pStyle w:val="Style54"/>
        <w:keepNext/>
        <w:keepLines/>
        <w:widowControl w:val="0"/>
        <w:shd w:val="clear" w:color="auto" w:fill="auto"/>
        <w:bidi w:val="0"/>
        <w:spacing w:before="0" w:after="0" w:line="240" w:lineRule="auto"/>
        <w:ind w:left="840" w:right="0" w:firstLine="0"/>
        <w:jc w:val="left"/>
      </w:pPr>
      <w:bookmarkStart w:id="19" w:name="bookmark19"/>
      <w:r>
        <w:rPr>
          <w:color w:val="000000"/>
          <w:spacing w:val="0"/>
          <w:w w:val="100"/>
          <w:position w:val="0"/>
          <w:shd w:val="clear" w:color="auto" w:fill="auto"/>
          <w:lang w:val="pt-PT" w:eastAsia="pt-PT" w:bidi="pt-PT"/>
        </w:rPr>
        <w:t>02 PODER EXECUTIVO</w:t>
      </w:r>
      <w:bookmarkEnd w:id="19"/>
    </w:p>
    <w:p>
      <w:pPr>
        <w:pStyle w:val="Style54"/>
        <w:keepNext/>
        <w:keepLines/>
        <w:widowControl w:val="0"/>
        <w:shd w:val="clear" w:color="auto" w:fill="auto"/>
        <w:bidi w:val="0"/>
        <w:spacing w:before="0" w:after="140" w:line="240" w:lineRule="auto"/>
        <w:ind w:left="460" w:right="0" w:firstLine="0"/>
        <w:jc w:val="left"/>
      </w:pPr>
      <w:bookmarkStart w:id="20" w:name="bookmark20"/>
      <w:r>
        <w:rPr>
          <w:color w:val="000000"/>
          <w:spacing w:val="0"/>
          <w:w w:val="100"/>
          <w:position w:val="0"/>
          <w:shd w:val="clear" w:color="auto" w:fill="auto"/>
          <w:lang w:val="pt-PT" w:eastAsia="pt-PT" w:bidi="pt-PT"/>
        </w:rPr>
        <w:t>02.009 SEC. MUN. DESENV. E MEIO AMBIENTE - SEDEMA</w:t>
      </w:r>
      <w:bookmarkEnd w:id="20"/>
    </w:p>
    <w:p>
      <w:pPr>
        <w:pStyle w:val="Style29"/>
        <w:keepNext w:val="0"/>
        <w:keepLines w:val="0"/>
        <w:widowControl w:val="0"/>
        <w:shd w:val="clear" w:color="auto" w:fill="auto"/>
        <w:bidi w:val="0"/>
        <w:spacing w:before="0" w:after="0" w:line="240" w:lineRule="auto"/>
        <w:ind w:left="660" w:right="0" w:firstLine="0"/>
        <w:jc w:val="left"/>
      </w:pPr>
      <w:r>
        <w:rPr>
          <w:color w:val="000000"/>
          <w:spacing w:val="0"/>
          <w:w w:val="100"/>
          <w:position w:val="0"/>
          <w:shd w:val="clear" w:color="auto" w:fill="auto"/>
          <w:lang w:val="pt-PT" w:eastAsia="pt-PT" w:bidi="pt-PT"/>
        </w:rPr>
        <w:t>0011 APOIO ADMINISTRATIVO</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17.512.2.028 EXECUCAO DE PROJETOS DE GESTAO INT. DE</w:t>
      </w:r>
    </w:p>
    <w:tbl>
      <w:tblPr>
        <w:tblOverlap w:val="never"/>
        <w:jc w:val="center"/>
        <w:tblLayout w:type="fixed"/>
      </w:tblPr>
      <w:tblGrid>
        <w:gridCol w:w="1128"/>
        <w:gridCol w:w="4651"/>
        <w:gridCol w:w="1512"/>
        <w:gridCol w:w="1411"/>
        <w:gridCol w:w="1421"/>
        <w:gridCol w:w="1426"/>
        <w:gridCol w:w="1426"/>
        <w:gridCol w:w="1186"/>
      </w:tblGrid>
      <w:tr>
        <w:trPr>
          <w:trHeight w:val="202"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2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197"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2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3.3.90.47.00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Obrigações Tributárias e Contributivas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331"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8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36.151,50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37.778,31</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39.289,46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40.782,48</w:t>
            </w:r>
          </w:p>
        </w:tc>
      </w:tr>
      <w:tr>
        <w:trPr>
          <w:trHeight w:val="27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0011 .</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APOIO ADMINISTRATIVO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18.122.2.029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MANUTENCAO E FUNCIONAMENTO DA SEDEMA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367.950,24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394.254,34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161.907,08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168.383,36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174.781,93</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5.130,78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41.316,00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43.175,22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44.902,23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46.608,51</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793,19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138.240,07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103.270,28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22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1.050,00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77.467,50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80.953,54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84.191,68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87.390,96</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163.403,48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109.764,63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92.961,00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97.144,25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101.030,02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104.869,16</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2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3.3.90.93.00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e Restituições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332.407,49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4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8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686.967,76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952.296,74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588.753,00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615.246,89</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639.856,77</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664.171,34</w:t>
            </w:r>
          </w:p>
        </w:tc>
      </w:tr>
      <w:tr>
        <w:trPr>
          <w:trHeight w:val="27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8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686.967,76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952.296,74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624.904,50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653.025,20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679.146,23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704.953,82</w:t>
            </w:r>
          </w:p>
        </w:tc>
      </w:tr>
    </w:tbl>
    <w:p>
      <w:pPr>
        <w:spacing w:lineRule="exact" w:line="1"/>
        <w:rPr>
          <w:sz w:val="2"/>
          <w:szCs w:val="2"/>
        </w:rPr>
      </w:pP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p>
      <w:pPr>
        <w:pStyle w:val="Style54"/>
        <w:keepNext/>
        <w:keepLines/>
        <w:widowControl w:val="0"/>
        <w:shd w:val="clear" w:color="auto" w:fill="auto"/>
        <w:bidi w:val="0"/>
        <w:spacing w:before="0" w:after="0" w:line="240" w:lineRule="auto"/>
        <w:ind w:left="860" w:right="0" w:firstLine="0"/>
        <w:jc w:val="left"/>
      </w:pPr>
      <w:bookmarkStart w:id="21" w:name="bookmark21"/>
      <w:r>
        <w:rPr>
          <w:color w:val="000000"/>
          <w:spacing w:val="0"/>
          <w:w w:val="100"/>
          <w:position w:val="0"/>
          <w:shd w:val="clear" w:color="auto" w:fill="auto"/>
          <w:lang w:val="pt-PT" w:eastAsia="pt-PT" w:bidi="pt-PT"/>
        </w:rPr>
        <w:t>02 PODER EXECUTIVO</w:t>
      </w:r>
      <w:bookmarkEnd w:id="21"/>
    </w:p>
    <w:p>
      <w:pPr>
        <w:pStyle w:val="Style54"/>
        <w:keepNext/>
        <w:keepLines/>
        <w:widowControl w:val="0"/>
        <w:shd w:val="clear" w:color="auto" w:fill="auto"/>
        <w:bidi w:val="0"/>
        <w:spacing w:before="0" w:after="140" w:line="240" w:lineRule="auto"/>
        <w:ind w:left="460" w:right="0" w:firstLine="0"/>
        <w:jc w:val="left"/>
      </w:pPr>
      <w:bookmarkStart w:id="22" w:name="bookmark22"/>
      <w:r>
        <w:rPr>
          <w:color w:val="000000"/>
          <w:spacing w:val="0"/>
          <w:w w:val="100"/>
          <w:position w:val="0"/>
          <w:shd w:val="clear" w:color="auto" w:fill="auto"/>
          <w:lang w:val="pt-PT" w:eastAsia="pt-PT" w:bidi="pt-PT"/>
        </w:rPr>
        <w:t>02.010 SEC. MUN. DE ASSISTENCIA SOCIAL - SEMAS</w:t>
      </w:r>
      <w:bookmarkEnd w:id="22"/>
    </w:p>
    <w:p>
      <w:pPr>
        <w:pStyle w:val="Style29"/>
        <w:keepNext w:val="0"/>
        <w:keepLines w:val="0"/>
        <w:widowControl w:val="0"/>
        <w:shd w:val="clear" w:color="auto" w:fill="auto"/>
        <w:bidi w:val="0"/>
        <w:spacing w:before="0" w:after="0" w:line="240" w:lineRule="auto"/>
        <w:ind w:left="660" w:right="0" w:firstLine="0"/>
        <w:jc w:val="left"/>
      </w:pPr>
      <w:r>
        <w:rPr>
          <w:color w:val="000000"/>
          <w:spacing w:val="0"/>
          <w:w w:val="100"/>
          <w:position w:val="0"/>
          <w:shd w:val="clear" w:color="auto" w:fill="auto"/>
          <w:lang w:val="pt-PT" w:eastAsia="pt-PT" w:bidi="pt-PT"/>
        </w:rPr>
        <w:t>0034 ATENCAO COMUNITARIA</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08.244.2.034 MANUT. E FUNC. DA SEC. MUNICIPAL DE ASSIST.</w:t>
      </w:r>
    </w:p>
    <w:tbl>
      <w:tblPr>
        <w:tblOverlap w:val="never"/>
        <w:jc w:val="center"/>
        <w:tblLayout w:type="fixed"/>
      </w:tblPr>
      <w:tblGrid>
        <w:gridCol w:w="1114"/>
        <w:gridCol w:w="4536"/>
        <w:gridCol w:w="1517"/>
        <w:gridCol w:w="1411"/>
        <w:gridCol w:w="1478"/>
        <w:gridCol w:w="1426"/>
        <w:gridCol w:w="1363"/>
        <w:gridCol w:w="1258"/>
      </w:tblGrid>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918.362,78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1.012.548,00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123.948,00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129.525,66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134.706,69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139.825,54</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1.321.956,71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1.487.483,82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361.515,00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377.783,18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392.894,51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407.824,50</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43.952,22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82.632,00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86.350,44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89.804,46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93.217,03</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Trabalhistas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33.600,66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7.142,70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6.595,65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3.3.90.08.00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Benefícios Assistenciais Servidor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3.225,08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28.200,00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20.240,00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1.516.152,55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683.056,10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87.796,50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91.747,34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95.417,23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99.043,08</w:t>
            </w:r>
          </w:p>
        </w:tc>
      </w:tr>
      <w:tr>
        <w:trPr>
          <w:trHeight w:val="22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740,00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69.280,33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148.955,96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98.125,50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102.541,15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106.642,80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110.695,23</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436.588,25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596.793,56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87.796,50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91.747,34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95.417,23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99.043,08</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3.3.90.47.00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Tributárias e Contributivas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5.247,09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4.249,30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3.3.90.93.00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e Restituições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137,90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4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4.380.814,14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3.964.894,52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1.069.051,50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1.117.158,82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1.161.845,19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1.205.995,33</w:t>
            </w:r>
          </w:p>
        </w:tc>
      </w:tr>
    </w:tbl>
    <w:p>
      <w:pPr>
        <w:widowControl w:val="0"/>
        <w:spacing w:after="59" w:line="1" w:lineRule="exact"/>
      </w:pPr>
    </w:p>
    <w:p>
      <w:pPr>
        <w:pStyle w:val="Style29"/>
        <w:keepNext w:val="0"/>
        <w:keepLines w:val="0"/>
        <w:widowControl w:val="0"/>
        <w:shd w:val="clear" w:color="auto" w:fill="auto"/>
        <w:bidi w:val="0"/>
        <w:spacing w:before="0" w:after="0" w:line="240" w:lineRule="auto"/>
        <w:ind w:left="660" w:right="0" w:firstLine="0"/>
        <w:jc w:val="left"/>
      </w:pPr>
      <w:r>
        <w:rPr>
          <w:color w:val="000000"/>
          <w:spacing w:val="0"/>
          <w:w w:val="100"/>
          <w:position w:val="0"/>
          <w:shd w:val="clear" w:color="auto" w:fill="auto"/>
          <w:lang w:val="pt-PT" w:eastAsia="pt-PT" w:bidi="pt-PT"/>
        </w:rPr>
        <w:t>0034 ATENCAO COMUNITARIA</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08.244.2.035 IMPLEMENT. E OPERAC. DAS ACOES DE</w:t>
      </w:r>
    </w:p>
    <w:tbl>
      <w:tblPr>
        <w:tblOverlap w:val="never"/>
        <w:jc w:val="center"/>
        <w:tblLayout w:type="fixed"/>
      </w:tblPr>
      <w:tblGrid>
        <w:gridCol w:w="1109"/>
        <w:gridCol w:w="4200"/>
        <w:gridCol w:w="1848"/>
        <w:gridCol w:w="1474"/>
        <w:gridCol w:w="1421"/>
        <w:gridCol w:w="1421"/>
        <w:gridCol w:w="1430"/>
        <w:gridCol w:w="1128"/>
      </w:tblGrid>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3.3.50.43.00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Subvenções Sociais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120.000,00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3.3.90.04.00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19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277.400,75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167.545,60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129.112,50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134.922,56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140.319,46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145.651,60</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2.219.773,82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2.502.063,48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206.580,00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215.876,10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224.511,14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233.042,56</w:t>
            </w:r>
          </w:p>
        </w:tc>
      </w:tr>
      <w:tr>
        <w:trPr>
          <w:trHeight w:val="22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86.904,00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67.138,50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70.159,73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72.966,12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75.738,83</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35.500,00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12.262,54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100.200,00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109.800,00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84.345,00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30"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3.3.90.93.00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e Restituições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bl>
    <w:p>
      <w:pPr>
        <w:sectPr>
          <w:headerReference w:type="default" r:id="rId73"/>
          <w:footerReference w:type="default" r:id="rId74"/>
          <w:footnotePr>
            <w:pos w:val="pageBottom"/>
            <w:numFmt w:val="decimal"/>
            <w:numRestart w:val="continuous"/>
          </w:footnotePr>
          <w:pgSz w:w="16840" w:h="11900" w:orient="landscape"/>
          <w:pgMar w:top="2171" w:left="1162" w:right="1498" w:bottom="845" w:header="0" w:footer="417" w:gutter="0"/>
          <w:pgNumType w:start="25"/>
          <w:cols w:space="720"/>
          <w:noEndnote/>
          <w:rtlGutter w:val="0"/>
          <w:docGrid w:linePitch="360"/>
        </w:sectPr>
      </w:pPr>
    </w:p>
    <w:p>
      <w:pPr>
        <w:pStyle w:val="Style59"/>
        <w:keepNext/>
        <w:keepLines/>
        <w:widowControl w:val="0"/>
        <w:shd w:val="clear" w:color="auto" w:fill="auto"/>
        <w:bidi w:val="0"/>
        <w:spacing w:before="0" w:after="0" w:line="240" w:lineRule="auto"/>
        <w:ind w:right="0" w:firstLine="0"/>
        <w:jc w:val="left"/>
      </w:pPr>
      <w:bookmarkStart w:id="23" w:name="bookmark23"/>
      <w:r>
        <w:rPr>
          <w:color w:val="000000"/>
          <w:spacing w:val="0"/>
          <w:w w:val="100"/>
          <w:position w:val="0"/>
          <w:shd w:val="clear" w:color="auto" w:fill="auto"/>
          <w:lang w:val="pt-PT" w:eastAsia="pt-PT" w:bidi="pt-PT"/>
        </w:rPr>
        <w:t>Prefeitura Municipal de Maués</w:t>
      </w:r>
      <w:bookmarkEnd w:id="23"/>
    </w:p>
    <w:p>
      <w:pPr>
        <w:pStyle w:val="Style29"/>
        <w:keepNext w:val="0"/>
        <w:keepLines w:val="0"/>
        <w:widowControl w:val="0"/>
        <w:shd w:val="clear" w:color="auto" w:fill="auto"/>
        <w:bidi w:val="0"/>
        <w:spacing w:before="0" w:after="0" w:line="240" w:lineRule="auto"/>
        <w:ind w:left="2620" w:right="0" w:firstLine="0"/>
        <w:jc w:val="left"/>
      </w:pPr>
      <w:r>
        <w:rPr>
          <w:color w:val="000000"/>
          <w:spacing w:val="0"/>
          <w:w w:val="100"/>
          <w:position w:val="0"/>
          <w:shd w:val="clear" w:color="auto" w:fill="auto"/>
          <w:lang w:val="pt-PT" w:eastAsia="pt-PT" w:bidi="pt-PT"/>
        </w:rPr>
        <w:t>ESTADO DO AMAZONAS</w:t>
      </w:r>
    </w:p>
    <w:p>
      <w:pPr>
        <w:pStyle w:val="Style33"/>
        <w:keepNext w:val="0"/>
        <w:keepLines w:val="0"/>
        <w:widowControl w:val="0"/>
        <w:shd w:val="clear" w:color="auto" w:fill="auto"/>
        <w:bidi w:val="0"/>
        <w:spacing w:before="0" w:after="0" w:line="240" w:lineRule="auto"/>
        <w:ind w:left="2563"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33"/>
        <w:keepNext w:val="0"/>
        <w:keepLines w:val="0"/>
        <w:widowControl w:val="0"/>
        <w:shd w:val="clear" w:color="auto" w:fill="auto"/>
        <w:bidi w:val="0"/>
        <w:spacing w:before="0" w:after="0" w:line="240" w:lineRule="auto"/>
        <w:ind w:left="2563"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33"/>
        <w:keepNext w:val="0"/>
        <w:keepLines w:val="0"/>
        <w:widowControl w:val="0"/>
        <w:shd w:val="clear" w:color="auto" w:fill="auto"/>
        <w:bidi w:val="0"/>
        <w:spacing w:before="0" w:after="0" w:line="240" w:lineRule="auto"/>
        <w:ind w:left="2563"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tbl>
      <w:tblPr>
        <w:tblOverlap w:val="never"/>
        <w:jc w:val="center"/>
        <w:tblLayout w:type="fixed"/>
      </w:tblPr>
      <w:tblGrid>
        <w:gridCol w:w="1190"/>
        <w:gridCol w:w="4536"/>
        <w:gridCol w:w="1512"/>
        <w:gridCol w:w="1406"/>
        <w:gridCol w:w="1421"/>
        <w:gridCol w:w="1426"/>
        <w:gridCol w:w="1426"/>
        <w:gridCol w:w="1253"/>
      </w:tblGrid>
      <w:tr>
        <w:trPr>
          <w:trHeight w:val="245"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1.840.233,78</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26"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2.924.123,57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4.751.905,40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511.285,50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534.293,34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555.665,07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576.780,35</w:t>
            </w:r>
          </w:p>
        </w:tc>
      </w:tr>
      <w:tr>
        <w:trPr>
          <w:trHeight w:val="283"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center"/>
            </w:pPr>
            <w:r>
              <w:rPr>
                <w:rFonts w:ascii="Arial" w:eastAsia="Arial" w:hAnsi="Arial" w:cs="Arial"/>
                <w:color w:val="000000"/>
                <w:spacing w:val="0"/>
                <w:w w:val="100"/>
                <w:position w:val="0"/>
                <w:shd w:val="clear" w:color="auto" w:fill="auto"/>
                <w:lang w:val="pt-PT" w:eastAsia="pt-PT" w:bidi="pt-PT"/>
              </w:rPr>
              <w:t>0033 ATENCAO A CRIANCA E AO ADOLESCENTE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08.244.2.053 ENCARGOS COM O CONSELHO TUTELAR</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6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226.123,90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255.651,07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361.515,00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377.783,18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392.894,51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407.824,50</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77.467,50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80.953,54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84.191,68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87.390,96</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36.151,50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37.778,32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39.289,45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40.782,45</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3.1.90.94.00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Trabalhistas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161.907,08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168.383,36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174.781,93</w:t>
            </w:r>
          </w:p>
        </w:tc>
      </w:tr>
      <w:tr>
        <w:trPr>
          <w:trHeight w:val="22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10.020,00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16.526,40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17.270,09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17.960,89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18.643,40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5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150.739,00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386.882,90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285.651,07</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755.049,90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789.027,16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820.588,26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851.770,64</w:t>
            </w:r>
          </w:p>
        </w:tc>
      </w:tr>
      <w:tr>
        <w:trPr>
          <w:trHeight w:val="27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7.691.820,61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9.002.450,99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2.335.386,90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2.440.479,32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2.538.098,52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2.634.546,32</w:t>
            </w:r>
          </w:p>
        </w:tc>
      </w:tr>
    </w:tbl>
    <w:p>
      <w:pPr>
        <w:sectPr>
          <w:headerReference w:type="default" r:id="rId75"/>
          <w:footerReference w:type="default" r:id="rId76"/>
          <w:footnotePr>
            <w:pos w:val="pageBottom"/>
            <w:numFmt w:val="decimal"/>
            <w:numRestart w:val="continuous"/>
          </w:footnotePr>
          <w:pgSz w:w="16840" w:h="11900" w:orient="landscape"/>
          <w:pgMar w:top="657" w:left="1162" w:right="1508" w:bottom="657" w:header="0" w:footer="229" w:gutter="0"/>
          <w:cols w:space="720"/>
          <w:noEndnote/>
          <w:rtlGutter w:val="0"/>
          <w:docGrid w:linePitch="360"/>
        </w:sectPr>
      </w:pP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0"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r>
        <w:trPr>
          <w:trHeight w:val="346" w:hRule="exact"/>
        </w:trPr>
        <w:tc>
          <w:tcPr>
            <w:gridSpan w:val="2"/>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820" w:right="0" w:firstLine="0"/>
              <w:jc w:val="left"/>
              <w:rPr>
                <w:sz w:val="20"/>
                <w:szCs w:val="20"/>
              </w:rPr>
            </w:pPr>
            <w:r>
              <w:rPr>
                <w:rFonts w:ascii="Arial" w:eastAsia="Arial" w:hAnsi="Arial" w:cs="Arial"/>
                <w:b/>
                <w:bCs/>
                <w:color w:val="000000"/>
                <w:spacing w:val="0"/>
                <w:w w:val="100"/>
                <w:position w:val="0"/>
                <w:sz w:val="20"/>
                <w:szCs w:val="20"/>
                <w:shd w:val="clear" w:color="auto" w:fill="auto"/>
                <w:lang w:val="pt-PT" w:eastAsia="pt-PT" w:bidi="pt-PT"/>
              </w:rPr>
              <w:t>02 PODER EXECUTIVO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r>
      <w:tr>
        <w:trPr>
          <w:trHeight w:val="312"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80" w:right="0" w:firstLine="0"/>
              <w:jc w:val="center"/>
              <w:rPr>
                <w:sz w:val="20"/>
                <w:szCs w:val="20"/>
              </w:rPr>
            </w:pPr>
            <w:r>
              <w:rPr>
                <w:rFonts w:ascii="Arial" w:eastAsia="Arial" w:hAnsi="Arial" w:cs="Arial"/>
                <w:b/>
                <w:bCs/>
                <w:color w:val="000000"/>
                <w:spacing w:val="0"/>
                <w:w w:val="100"/>
                <w:position w:val="0"/>
                <w:sz w:val="20"/>
                <w:szCs w:val="20"/>
                <w:shd w:val="clear" w:color="auto" w:fill="auto"/>
                <w:lang w:val="pt-PT" w:eastAsia="pt-PT" w:bidi="pt-PT"/>
              </w:rPr>
              <w:t>02.011 CONTROLADORIA GERAL DO MUNICIPIO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1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0011</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APOIO ADMINISTRATIVO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04.122.2.036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MANUT. E FUNC. CONTROLADORIA GERAL DO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185.973,33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181.854,99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185.922,00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194.288,49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202.060,03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209.738,31</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1.264,35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34.956,39</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3.1.90.94.00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Trabalhistas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2.192,77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6.960,00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20.658,00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21.587,61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22.451,11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52.622,37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26.224,03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11.361,90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11.873,19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12.348,12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12.817,35</w:t>
            </w:r>
          </w:p>
        </w:tc>
      </w:tr>
      <w:tr>
        <w:trPr>
          <w:trHeight w:val="22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31.243,90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25.644,49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5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20.658,00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21.587,61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22.451,11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280.596,72</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244.603,51</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393.534,90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411.243,98</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427.693,75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443.946,13</w:t>
            </w:r>
          </w:p>
        </w:tc>
      </w:tr>
      <w:tr>
        <w:trPr>
          <w:trHeight w:val="27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280.596,72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244.603,51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393.534,90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411.243,98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427.693,75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443.946,13</w:t>
            </w:r>
          </w:p>
        </w:tc>
      </w:tr>
    </w:tbl>
    <w:p>
      <w:pPr>
        <w:widowControl w:val="0"/>
        <w:spacing w:line="1" w:lineRule="exact"/>
      </w:pP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p>
      <w:pPr>
        <w:pStyle w:val="Style54"/>
        <w:keepNext/>
        <w:keepLines/>
        <w:widowControl w:val="0"/>
        <w:shd w:val="clear" w:color="auto" w:fill="auto"/>
        <w:bidi w:val="0"/>
        <w:spacing w:before="0" w:after="0" w:line="240" w:lineRule="auto"/>
        <w:ind w:left="820" w:right="0" w:firstLine="0"/>
        <w:jc w:val="left"/>
      </w:pPr>
      <w:bookmarkStart w:id="24" w:name="bookmark24"/>
      <w:r>
        <w:rPr>
          <w:color w:val="000000"/>
          <w:spacing w:val="0"/>
          <w:w w:val="100"/>
          <w:position w:val="0"/>
          <w:shd w:val="clear" w:color="auto" w:fill="auto"/>
          <w:lang w:val="pt-PT" w:eastAsia="pt-PT" w:bidi="pt-PT"/>
        </w:rPr>
        <w:t>02 PODER EXECUTIVO</w:t>
      </w:r>
      <w:bookmarkEnd w:id="24"/>
    </w:p>
    <w:p>
      <w:pPr>
        <w:pStyle w:val="Style54"/>
        <w:keepNext/>
        <w:keepLines/>
        <w:widowControl w:val="0"/>
        <w:shd w:val="clear" w:color="auto" w:fill="auto"/>
        <w:bidi w:val="0"/>
        <w:spacing w:before="0" w:after="140" w:line="240" w:lineRule="auto"/>
        <w:ind w:left="420" w:right="0" w:firstLine="0"/>
        <w:jc w:val="left"/>
      </w:pPr>
      <w:bookmarkStart w:id="25" w:name="bookmark25"/>
      <w:r>
        <w:rPr>
          <w:color w:val="000000"/>
          <w:spacing w:val="0"/>
          <w:w w:val="100"/>
          <w:position w:val="0"/>
          <w:shd w:val="clear" w:color="auto" w:fill="auto"/>
          <w:lang w:val="pt-PT" w:eastAsia="pt-PT" w:bidi="pt-PT"/>
        </w:rPr>
        <w:t>02.012 PROCURADORIA GERAL DO MUNICIPIO</w:t>
      </w:r>
      <w:bookmarkEnd w:id="25"/>
    </w:p>
    <w:p>
      <w:pPr>
        <w:pStyle w:val="Style29"/>
        <w:keepNext w:val="0"/>
        <w:keepLines w:val="0"/>
        <w:widowControl w:val="0"/>
        <w:shd w:val="clear" w:color="auto" w:fill="auto"/>
        <w:bidi w:val="0"/>
        <w:spacing w:before="0" w:after="0" w:line="240" w:lineRule="auto"/>
        <w:ind w:left="620" w:right="0" w:firstLine="0"/>
        <w:jc w:val="left"/>
      </w:pPr>
      <w:r>
        <w:rPr>
          <w:color w:val="000000"/>
          <w:spacing w:val="0"/>
          <w:w w:val="100"/>
          <w:position w:val="0"/>
          <w:shd w:val="clear" w:color="auto" w:fill="auto"/>
          <w:lang w:val="pt-PT" w:eastAsia="pt-PT" w:bidi="pt-PT"/>
        </w:rPr>
        <w:t>0005 ACAO JURIDICA</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03.092.2.037 FUNCIONAM. PROCURADORIA GERAL DO</w:t>
      </w:r>
    </w:p>
    <w:tbl>
      <w:tblPr>
        <w:tblOverlap w:val="never"/>
        <w:jc w:val="center"/>
        <w:tblLayout w:type="fixed"/>
      </w:tblPr>
      <w:tblGrid>
        <w:gridCol w:w="1114"/>
        <w:gridCol w:w="4598"/>
        <w:gridCol w:w="1512"/>
        <w:gridCol w:w="1406"/>
        <w:gridCol w:w="1421"/>
        <w:gridCol w:w="1426"/>
        <w:gridCol w:w="1426"/>
        <w:gridCol w:w="1200"/>
      </w:tblGrid>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828.529,91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879.092,14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361.515,00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377.783,18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392.894,51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407.824,50</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14.074,87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1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Sentenças Judiciais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197"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9.920,00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3.905,15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6.197,40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6.476,28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6.735,33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6.991,27</w:t>
            </w:r>
          </w:p>
        </w:tc>
      </w:tr>
      <w:tr>
        <w:trPr>
          <w:trHeight w:val="22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123.948,00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129.525,66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134.706,69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139.825,54</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113.619,00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118.731,86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123.481,13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128.173,41</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38.788,93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47.037,81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139.441,50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145.716,37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151.545,02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157.303,73</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2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e Restituições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12.200,00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17.290,00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4.4.90.61.00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Aquisição de Imóveis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62.000,00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987.213,71</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943.435,10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873.833,40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913.155,91</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949.682,15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985.770,08</w:t>
            </w:r>
          </w:p>
        </w:tc>
      </w:tr>
      <w:tr>
        <w:trPr>
          <w:trHeight w:val="27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987.213,71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943.435,10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873.833,40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913.155,91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949.682,15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985.770,08</w:t>
            </w:r>
          </w:p>
        </w:tc>
      </w:tr>
    </w:tbl>
    <w:p>
      <w:pPr>
        <w:widowControl w:val="0"/>
        <w:spacing w:line="1" w:lineRule="exact"/>
      </w:pP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0"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r>
        <w:trPr>
          <w:trHeight w:val="346" w:hRule="exact"/>
        </w:trPr>
        <w:tc>
          <w:tcPr>
            <w:gridSpan w:val="2"/>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820" w:right="0" w:firstLine="0"/>
              <w:jc w:val="left"/>
              <w:rPr>
                <w:sz w:val="20"/>
                <w:szCs w:val="20"/>
              </w:rPr>
            </w:pPr>
            <w:r>
              <w:rPr>
                <w:rFonts w:ascii="Arial" w:eastAsia="Arial" w:hAnsi="Arial" w:cs="Arial"/>
                <w:b/>
                <w:bCs/>
                <w:color w:val="000000"/>
                <w:spacing w:val="0"/>
                <w:w w:val="100"/>
                <w:position w:val="0"/>
                <w:sz w:val="20"/>
                <w:szCs w:val="20"/>
                <w:shd w:val="clear" w:color="auto" w:fill="auto"/>
                <w:lang w:val="pt-PT" w:eastAsia="pt-PT" w:bidi="pt-PT"/>
              </w:rPr>
              <w:t>02 PODER EXECUTIVO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r>
      <w:tr>
        <w:trPr>
          <w:trHeight w:val="312" w:hRule="exact"/>
        </w:trPr>
        <w:tc>
          <w:tcPr>
            <w:gridSpan w:val="3"/>
            <w:tcBorders/>
            <w:shd w:val="clear" w:color="auto" w:fill="FFFFFF"/>
            <w:vAlign w:val="top"/>
          </w:tcPr>
          <w:p>
            <w:pPr>
              <w:pStyle w:val="Style23"/>
              <w:keepNext w:val="0"/>
              <w:keepLines w:val="0"/>
              <w:widowControl w:val="0"/>
              <w:shd w:val="clear" w:color="auto" w:fill="auto"/>
              <w:bidi w:val="0"/>
              <w:spacing w:before="0" w:after="0" w:line="240" w:lineRule="auto"/>
              <w:ind w:left="420" w:right="0" w:firstLine="0"/>
              <w:jc w:val="left"/>
              <w:rPr>
                <w:sz w:val="20"/>
                <w:szCs w:val="20"/>
              </w:rPr>
            </w:pPr>
            <w:r>
              <w:rPr>
                <w:rFonts w:ascii="Arial" w:eastAsia="Arial" w:hAnsi="Arial" w:cs="Arial"/>
                <w:b/>
                <w:bCs/>
                <w:color w:val="000000"/>
                <w:spacing w:val="0"/>
                <w:w w:val="100"/>
                <w:position w:val="0"/>
                <w:sz w:val="20"/>
                <w:szCs w:val="20"/>
                <w:shd w:val="clear" w:color="auto" w:fill="auto"/>
                <w:lang w:val="pt-PT" w:eastAsia="pt-PT" w:bidi="pt-PT"/>
              </w:rPr>
              <w:t>02.013 SECRETARIA MUNICIPAL DE GOVERNO EM MANAUS</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1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0011</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APOIO ADMINISTRATIVO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04.122.2.038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FUNC. DA SEC. MUNICIPAL DE GOVERNO EM</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402.362,39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448.916,75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206.580,00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215.876,10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224.511,14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233.042,56</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5.326,29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34.956,39</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1.166,95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3.3.90.08.00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Benefícios Assistenciais Servidor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1.240,80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1.440,00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113.619,00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118.731,86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123.481,13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128.173,41</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385.401,95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225.927,52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180.757,50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188.891,59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196.447,25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203.912,25</w:t>
            </w:r>
          </w:p>
        </w:tc>
      </w:tr>
      <w:tr>
        <w:trPr>
          <w:trHeight w:val="22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170.428,50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178.097,78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185.221,69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192.260,11</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66.495,00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24.180,00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371.844,00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388.576,98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404.120,06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419.476,62</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209.871,79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271.592,96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180.757,50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188.891,59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196.447,25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203.912,25</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3.3.90.47.00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Obrigações Tributárias e Contributivas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161.907,08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168.383,36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174.781,93</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682,01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1.071.306,38</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973.298,03</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1.621.653,00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1.694.627,41</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1.762.412,49</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1.829.384,17</w:t>
            </w:r>
          </w:p>
        </w:tc>
      </w:tr>
      <w:tr>
        <w:trPr>
          <w:trHeight w:val="27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1.071.306,38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973.298,03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1.621.653,00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1.694.627,41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1.762.412,49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1.829.384,17</w:t>
            </w:r>
          </w:p>
        </w:tc>
      </w:tr>
    </w:tbl>
    <w:p>
      <w:pPr>
        <w:widowControl w:val="0"/>
        <w:spacing w:line="1" w:lineRule="exact"/>
      </w:pP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0"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r>
        <w:trPr>
          <w:trHeight w:val="346" w:hRule="exact"/>
        </w:trPr>
        <w:tc>
          <w:tcPr>
            <w:gridSpan w:val="2"/>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820" w:right="0" w:firstLine="0"/>
              <w:jc w:val="left"/>
              <w:rPr>
                <w:sz w:val="20"/>
                <w:szCs w:val="20"/>
              </w:rPr>
            </w:pPr>
            <w:r>
              <w:rPr>
                <w:rFonts w:ascii="Arial" w:eastAsia="Arial" w:hAnsi="Arial" w:cs="Arial"/>
                <w:b/>
                <w:bCs/>
                <w:color w:val="000000"/>
                <w:spacing w:val="0"/>
                <w:w w:val="100"/>
                <w:position w:val="0"/>
                <w:sz w:val="20"/>
                <w:szCs w:val="20"/>
                <w:shd w:val="clear" w:color="auto" w:fill="auto"/>
                <w:lang w:val="pt-PT" w:eastAsia="pt-PT" w:bidi="pt-PT"/>
              </w:rPr>
              <w:t>02 PODER EXECUTIVO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r>
      <w:tr>
        <w:trPr>
          <w:trHeight w:val="312" w:hRule="exact"/>
        </w:trPr>
        <w:tc>
          <w:tcPr>
            <w:gridSpan w:val="3"/>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b/>
                <w:bCs/>
                <w:color w:val="000000"/>
                <w:spacing w:val="0"/>
                <w:w w:val="100"/>
                <w:position w:val="0"/>
                <w:sz w:val="20"/>
                <w:szCs w:val="20"/>
                <w:shd w:val="clear" w:color="auto" w:fill="auto"/>
                <w:lang w:val="pt-PT" w:eastAsia="pt-PT" w:bidi="pt-PT"/>
              </w:rPr>
              <w:t>02.014 SECRETARIA MUN. DE GERACAO DE EMPREGO E REDA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1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0041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PROMOCAO DO TRABALHO E GERACAO DE RENDA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11.333.2.039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MANUTENCAO E FUNCIONAMENTO DA SEGER</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457.865,40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467.085,12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268.554,00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291.864,49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302.955,34</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7.066,28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50.612,10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52.889,64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55.005,23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57.095,43</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1.424,13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12.394,80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12.952,57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13.470,67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13.982,56</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323.814,15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336.766,72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349.563,86</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21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206.580,00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215.876,10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224.511,14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233.042,56</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53.468,62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96.574,13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149.770,50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156.510,17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162.770,58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168.955,86</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2.059,80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2.332,56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521.884,23</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565.991,81</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1.240.512,90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1.296.335,98</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1.348.189,43</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1.399.420,64</w:t>
            </w:r>
          </w:p>
        </w:tc>
      </w:tr>
      <w:tr>
        <w:trPr>
          <w:trHeight w:val="27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521.884,23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565.991,81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1.240.512,90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1.296.335,98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1.348.189,43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1.399.420,64</w:t>
            </w:r>
          </w:p>
        </w:tc>
      </w:tr>
    </w:tbl>
    <w:p>
      <w:pPr>
        <w:spacing w:lineRule="exact" w:line="1"/>
        <w:rPr>
          <w:sz w:val="2"/>
          <w:szCs w:val="2"/>
        </w:rPr>
      </w:pPr>
      <w:r>
        <w:br w:type="page"/>
      </w:r>
    </w:p>
    <w:p>
      <w:pPr>
        <w:widowControl w:val="0"/>
        <w:spacing w:line="1" w:lineRule="exact"/>
      </w:pPr>
      <w:r>
        <mc:AlternateContent>
          <mc:Choice Requires="wps">
            <w:drawing>
              <wp:anchor distT="130810" distB="158750" distL="0" distR="0" simplePos="0" relativeHeight="125829437" behindDoc="0" locked="0" layoutInCell="1" allowOverlap="1">
                <wp:simplePos x="0" y="0"/>
                <wp:positionH relativeFrom="page">
                  <wp:posOffset>797560</wp:posOffset>
                </wp:positionH>
                <wp:positionV relativeFrom="paragraph">
                  <wp:posOffset>130810</wp:posOffset>
                </wp:positionV>
                <wp:extent cx="628015" cy="173990"/>
                <wp:wrapTopAndBottom/>
                <wp:docPr id="149" name="Shape 149"/>
                <a:graphic xmlns:a="http://schemas.openxmlformats.org/drawingml/2006/main">
                  <a:graphicData uri="http://schemas.microsoft.com/office/word/2010/wordprocessingShape">
                    <wps:wsp>
                      <wps:cNvSpPr txBox="1"/>
                      <wps:spPr>
                        <a:xfrm>
                          <a:ext cx="628015" cy="1739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CÓDIGOS</w:t>
                            </w:r>
                          </w:p>
                        </w:txbxContent>
                      </wps:txbx>
                      <wps:bodyPr wrap="none" lIns="0" tIns="0" rIns="0" bIns="0">
                        <a:noAutoFit/>
                      </wps:bodyPr>
                    </wps:wsp>
                  </a:graphicData>
                </a:graphic>
              </wp:anchor>
            </w:drawing>
          </mc:Choice>
          <mc:Fallback>
            <w:pict>
              <v:shape id="_x0000_s1175" type="#_x0000_t202" style="position:absolute;margin-left:62.799999999999997pt;margin-top:10.300000000000001pt;width:49.450000000000003pt;height:13.699999999999999pt;z-index:-125829316;mso-wrap-distance-left:0;mso-wrap-distance-top:10.300000000000001pt;mso-wrap-distance-right:0;mso-wrap-distance-bottom:12.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CÓDIGOS</w:t>
                      </w:r>
                    </w:p>
                  </w:txbxContent>
                </v:textbox>
                <w10:wrap type="topAndBottom" anchorx="page"/>
              </v:shape>
            </w:pict>
          </mc:Fallback>
        </mc:AlternateContent>
      </w:r>
      <w:r>
        <mc:AlternateContent>
          <mc:Choice Requires="wps">
            <w:drawing>
              <wp:anchor distT="130810" distB="156210" distL="0" distR="0" simplePos="0" relativeHeight="125829439" behindDoc="0" locked="0" layoutInCell="1" allowOverlap="1">
                <wp:simplePos x="0" y="0"/>
                <wp:positionH relativeFrom="page">
                  <wp:posOffset>2391410</wp:posOffset>
                </wp:positionH>
                <wp:positionV relativeFrom="paragraph">
                  <wp:posOffset>130810</wp:posOffset>
                </wp:positionV>
                <wp:extent cx="1048385" cy="176530"/>
                <wp:wrapTopAndBottom/>
                <wp:docPr id="151" name="Shape 151"/>
                <a:graphic xmlns:a="http://schemas.openxmlformats.org/drawingml/2006/main">
                  <a:graphicData uri="http://schemas.microsoft.com/office/word/2010/wordprocessingShape">
                    <wps:wsp>
                      <wps:cNvSpPr txBox="1"/>
                      <wps:spPr>
                        <a:xfrm>
                          <a:ext cx="1048385" cy="1765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xbxContent>
                      </wps:txbx>
                      <wps:bodyPr wrap="none" lIns="0" tIns="0" rIns="0" bIns="0">
                        <a:noAutoFit/>
                      </wps:bodyPr>
                    </wps:wsp>
                  </a:graphicData>
                </a:graphic>
              </wp:anchor>
            </w:drawing>
          </mc:Choice>
          <mc:Fallback>
            <w:pict>
              <v:shape id="_x0000_s1177" type="#_x0000_t202" style="position:absolute;margin-left:188.30000000000001pt;margin-top:10.300000000000001pt;width:82.549999999999997pt;height:13.9pt;z-index:-125829314;mso-wrap-distance-left:0;mso-wrap-distance-top:10.300000000000001pt;mso-wrap-distance-right:0;mso-wrap-distance-bottom:12.3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xbxContent>
                </v:textbox>
                <w10:wrap type="topAndBottom" anchorx="page"/>
              </v:shape>
            </w:pict>
          </mc:Fallback>
        </mc:AlternateContent>
      </w:r>
      <w:r>
        <mc:AlternateContent>
          <mc:Choice Requires="wps">
            <w:drawing>
              <wp:anchor distT="0" distB="0" distL="0" distR="0" simplePos="0" relativeHeight="125829441" behindDoc="0" locked="0" layoutInCell="1" allowOverlap="1">
                <wp:simplePos x="0" y="0"/>
                <wp:positionH relativeFrom="page">
                  <wp:posOffset>4339590</wp:posOffset>
                </wp:positionH>
                <wp:positionV relativeFrom="paragraph">
                  <wp:posOffset>0</wp:posOffset>
                </wp:positionV>
                <wp:extent cx="5376545" cy="463550"/>
                <wp:wrapTopAndBottom/>
                <wp:docPr id="153" name="Shape 153"/>
                <a:graphic xmlns:a="http://schemas.openxmlformats.org/drawingml/2006/main">
                  <a:graphicData uri="http://schemas.microsoft.com/office/word/2010/wordprocessingShape">
                    <wps:wsp>
                      <wps:cNvSpPr txBox="1"/>
                      <wps:spPr>
                        <a:xfrm>
                          <a:ext cx="5376545" cy="463550"/>
                        </a:xfrm>
                        <a:prstGeom prst="rect"/>
                        <a:noFill/>
                      </wps:spPr>
                      <wps:txbx>
                        <w:txbxContent>
                          <w:tbl>
                            <w:tblPr>
                              <w:tblOverlap w:val="never"/>
                              <w:jc w:val="left"/>
                              <w:tblLayout w:type="fixed"/>
                            </w:tblPr>
                            <w:tblGrid>
                              <w:gridCol w:w="1411"/>
                              <w:gridCol w:w="1411"/>
                              <w:gridCol w:w="1421"/>
                              <w:gridCol w:w="1426"/>
                              <w:gridCol w:w="1426"/>
                              <w:gridCol w:w="1373"/>
                            </w:tblGrid>
                            <w:tr>
                              <w:trPr>
                                <w:tblHeader/>
                                <w:trHeight w:val="365" w:hRule="exact"/>
                              </w:trPr>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line="1" w:lineRule="exact"/>
                            </w:pPr>
                          </w:p>
                        </w:txbxContent>
                      </wps:txbx>
                      <wps:bodyPr lIns="0" tIns="0" rIns="0" bIns="0">
                        <a:noAutoFit/>
                      </wps:bodyPr>
                    </wps:wsp>
                  </a:graphicData>
                </a:graphic>
              </wp:anchor>
            </w:drawing>
          </mc:Choice>
          <mc:Fallback>
            <w:pict>
              <v:shape id="_x0000_s1179" type="#_x0000_t202" style="position:absolute;margin-left:341.69999999999999pt;margin-top:0;width:423.35000000000002pt;height:36.5pt;z-index:-125829312;mso-wrap-distance-left:0;mso-wrap-distance-right:0;mso-position-horizontal-relative:page" filled="f" stroked="f">
                <v:textbox inset="0,0,0,0">
                  <w:txbxContent>
                    <w:tbl>
                      <w:tblPr>
                        <w:tblOverlap w:val="never"/>
                        <w:jc w:val="left"/>
                        <w:tblLayout w:type="fixed"/>
                      </w:tblPr>
                      <w:tblGrid>
                        <w:gridCol w:w="1411"/>
                        <w:gridCol w:w="1411"/>
                        <w:gridCol w:w="1421"/>
                        <w:gridCol w:w="1426"/>
                        <w:gridCol w:w="1426"/>
                        <w:gridCol w:w="1373"/>
                      </w:tblGrid>
                      <w:tr>
                        <w:trPr>
                          <w:tblHeader/>
                          <w:trHeight w:val="365" w:hRule="exact"/>
                        </w:trPr>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line="1" w:lineRule="exact"/>
                      </w:pPr>
                    </w:p>
                  </w:txbxContent>
                </v:textbox>
                <w10:wrap type="topAndBottom" anchorx="page"/>
              </v:shape>
            </w:pict>
          </mc:Fallback>
        </mc:AlternateContent>
      </w:r>
    </w:p>
    <w:p>
      <w:pPr>
        <w:pStyle w:val="Style54"/>
        <w:keepNext/>
        <w:keepLines/>
        <w:widowControl w:val="0"/>
        <w:shd w:val="clear" w:color="auto" w:fill="auto"/>
        <w:bidi w:val="0"/>
        <w:spacing w:before="0" w:after="0" w:line="240" w:lineRule="auto"/>
        <w:ind w:left="860" w:right="0" w:firstLine="0"/>
        <w:jc w:val="left"/>
      </w:pPr>
      <w:bookmarkStart w:id="26" w:name="bookmark26"/>
      <w:r>
        <w:rPr>
          <w:color w:val="000000"/>
          <w:spacing w:val="0"/>
          <w:w w:val="100"/>
          <w:position w:val="0"/>
          <w:shd w:val="clear" w:color="auto" w:fill="auto"/>
          <w:lang w:val="pt-PT" w:eastAsia="pt-PT" w:bidi="pt-PT"/>
        </w:rPr>
        <w:t>02 PODER EXECUTIVO</w:t>
      </w:r>
      <w:bookmarkEnd w:id="26"/>
    </w:p>
    <w:p>
      <w:pPr>
        <w:pStyle w:val="Style54"/>
        <w:keepNext/>
        <w:keepLines/>
        <w:widowControl w:val="0"/>
        <w:shd w:val="clear" w:color="auto" w:fill="auto"/>
        <w:bidi w:val="0"/>
        <w:spacing w:before="0" w:after="140" w:line="240" w:lineRule="auto"/>
        <w:ind w:left="460" w:right="0" w:firstLine="0"/>
        <w:jc w:val="left"/>
      </w:pPr>
      <w:bookmarkStart w:id="27" w:name="bookmark27"/>
      <w:r>
        <w:rPr>
          <w:color w:val="000000"/>
          <w:spacing w:val="0"/>
          <w:w w:val="100"/>
          <w:position w:val="0"/>
          <w:shd w:val="clear" w:color="auto" w:fill="auto"/>
          <w:lang w:val="pt-PT" w:eastAsia="pt-PT" w:bidi="pt-PT"/>
        </w:rPr>
        <w:t>02.015 SECRETARIA MUNICIPAL DE JUVENTUDE ESPORTE E LAZER</w:t>
      </w:r>
      <w:bookmarkEnd w:id="27"/>
    </w:p>
    <w:p>
      <w:pPr>
        <w:pStyle w:val="Style29"/>
        <w:keepNext w:val="0"/>
        <w:keepLines w:val="0"/>
        <w:widowControl w:val="0"/>
        <w:shd w:val="clear" w:color="auto" w:fill="auto"/>
        <w:bidi w:val="0"/>
        <w:spacing w:before="0" w:after="0" w:line="240" w:lineRule="auto"/>
        <w:ind w:left="680" w:right="0" w:firstLine="0"/>
        <w:jc w:val="left"/>
      </w:pPr>
      <w:r>
        <w:rPr>
          <w:color w:val="000000"/>
          <w:spacing w:val="0"/>
          <w:w w:val="100"/>
          <w:position w:val="0"/>
          <w:shd w:val="clear" w:color="auto" w:fill="auto"/>
          <w:lang w:val="pt-PT" w:eastAsia="pt-PT" w:bidi="pt-PT"/>
        </w:rPr>
        <w:t>0171 DESPORTO AMADOR</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27.812.2.041 MANUT. SEC. MUNICIPAL DA JUVENTUDE,</w:t>
      </w:r>
    </w:p>
    <w:tbl>
      <w:tblPr>
        <w:tblOverlap w:val="never"/>
        <w:jc w:val="center"/>
        <w:tblLayout w:type="fixed"/>
      </w:tblPr>
      <w:tblGrid>
        <w:gridCol w:w="1114"/>
        <w:gridCol w:w="4541"/>
        <w:gridCol w:w="1512"/>
        <w:gridCol w:w="1406"/>
        <w:gridCol w:w="1478"/>
        <w:gridCol w:w="1426"/>
        <w:gridCol w:w="1368"/>
        <w:gridCol w:w="1248"/>
      </w:tblGrid>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583.983,29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585.887,55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335.692,50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350.798,66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364.830,61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378.694,17</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7.821,11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Trabalhistas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2.678,02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16.526,40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17.270,09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17.960,89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18.643,40</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3.3.90.08.00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Benefícios Assistenciais Servidor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2.007,32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48.102,22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35.440,00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325.634,40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267.327,39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77.467,50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80.953,54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84.191,68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87.390,96</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Premiações Cult., Artíst.,Cient.,Desp.e Outras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20.658,00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21.587,61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22.451,11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2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47.940,00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92.000,00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149.770,50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156.510,17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162.770,58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168.955,86</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180.757,50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188.891,59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196.447,25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203.912,25</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3.479,38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178.946,92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185.922,00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194.288,49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202.060,03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209.738,31</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3.691,69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4.727,73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6.197,40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6.476,28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6.735,33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6.991,27</w:t>
            </w:r>
          </w:p>
        </w:tc>
      </w:tr>
      <w:tr>
        <w:trPr>
          <w:trHeight w:val="22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3.3.90.93.00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e Restituições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4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12.394,80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12.952,57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13.470,67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13.982,56</w:t>
            </w:r>
          </w:p>
        </w:tc>
      </w:tr>
      <w:tr>
        <w:trPr>
          <w:trHeight w:val="302"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1.023.330,11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1.202.336,91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1.078.347,60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1.126.873,25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1.171.948,17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1.216.482,20</w:t>
            </w:r>
          </w:p>
        </w:tc>
      </w:tr>
    </w:tbl>
    <w:p>
      <w:pPr>
        <w:widowControl w:val="0"/>
        <w:spacing w:after="59" w:line="1" w:lineRule="exact"/>
      </w:pPr>
    </w:p>
    <w:p>
      <w:pPr>
        <w:pStyle w:val="Style29"/>
        <w:keepNext w:val="0"/>
        <w:keepLines w:val="0"/>
        <w:widowControl w:val="0"/>
        <w:shd w:val="clear" w:color="auto" w:fill="auto"/>
        <w:bidi w:val="0"/>
        <w:spacing w:before="0" w:after="0" w:line="240" w:lineRule="auto"/>
        <w:ind w:left="680" w:right="0" w:firstLine="0"/>
        <w:jc w:val="left"/>
      </w:pPr>
      <w:r>
        <w:rPr>
          <w:color w:val="000000"/>
          <w:spacing w:val="0"/>
          <w:w w:val="100"/>
          <w:position w:val="0"/>
          <w:shd w:val="clear" w:color="auto" w:fill="auto"/>
          <w:lang w:val="pt-PT" w:eastAsia="pt-PT" w:bidi="pt-PT"/>
        </w:rPr>
        <w:t>0173 DESENVOLVIMENTO DO INTERIOR</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27.812.2.042 FUNCIONAMENTO DOS NUCLEOS DE ESPORTE E</w:t>
      </w:r>
    </w:p>
    <w:tbl>
      <w:tblPr>
        <w:tblOverlap w:val="never"/>
        <w:jc w:val="center"/>
        <w:tblLayout w:type="fixed"/>
      </w:tblPr>
      <w:tblGrid>
        <w:gridCol w:w="1133"/>
        <w:gridCol w:w="4666"/>
        <w:gridCol w:w="1598"/>
        <w:gridCol w:w="1325"/>
        <w:gridCol w:w="1421"/>
        <w:gridCol w:w="1421"/>
        <w:gridCol w:w="1430"/>
        <w:gridCol w:w="1181"/>
      </w:tblGrid>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7.332,00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Premiações Cult., Artíst.,Cient.,Desp.e Outras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167.257,50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22.410,00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296.411,35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3.3.90.93.00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e Restituições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107.540,28</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26"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600.951,13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5.000,00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118.783,50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124.128,75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129.093,90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133.999,48</w:t>
            </w:r>
          </w:p>
        </w:tc>
      </w:tr>
      <w:tr>
        <w:trPr>
          <w:trHeight w:val="283"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0171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DESPORTO AMADOR</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27.811.2.090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ENCARGOS COM O PROGRAMA BOLSA ATLETA-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02"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56.809,50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59.365,93</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61.740,57</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64.086,71</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56.809,50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59.365,93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61.740,57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64.086,71</w:t>
            </w:r>
          </w:p>
        </w:tc>
      </w:tr>
    </w:tbl>
    <w:p>
      <w:pPr>
        <w:sectPr>
          <w:headerReference w:type="default" r:id="rId77"/>
          <w:footerReference w:type="default" r:id="rId78"/>
          <w:footnotePr>
            <w:pos w:val="pageBottom"/>
            <w:numFmt w:val="decimal"/>
            <w:numRestart w:val="continuous"/>
          </w:footnotePr>
          <w:pgSz w:w="16840" w:h="11900" w:orient="landscape"/>
          <w:pgMar w:top="2178" w:left="1164" w:right="1501" w:bottom="800" w:header="0" w:footer="372" w:gutter="0"/>
          <w:cols w:space="720"/>
          <w:noEndnote/>
          <w:rtlGutter w:val="0"/>
          <w:docGrid w:linePitch="360"/>
        </w:sectPr>
      </w:pPr>
    </w:p>
    <w:p>
      <w:pPr>
        <w:pStyle w:val="Style33"/>
        <w:keepNext w:val="0"/>
        <w:keepLines w:val="0"/>
        <w:widowControl w:val="0"/>
        <w:shd w:val="clear" w:color="auto" w:fill="auto"/>
        <w:bidi w:val="0"/>
        <w:spacing w:before="0" w:after="0" w:line="240" w:lineRule="auto"/>
        <w:ind w:left="2563"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33"/>
        <w:keepNext w:val="0"/>
        <w:keepLines w:val="0"/>
        <w:widowControl w:val="0"/>
        <w:shd w:val="clear" w:color="auto" w:fill="auto"/>
        <w:bidi w:val="0"/>
        <w:spacing w:before="0" w:after="0" w:line="240" w:lineRule="auto"/>
        <w:ind w:left="2563"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33"/>
        <w:keepNext w:val="0"/>
        <w:keepLines w:val="0"/>
        <w:widowControl w:val="0"/>
        <w:shd w:val="clear" w:color="auto" w:fill="auto"/>
        <w:bidi w:val="0"/>
        <w:spacing w:before="0" w:after="0" w:line="240" w:lineRule="auto"/>
        <w:ind w:left="2563"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33"/>
        <w:keepNext w:val="0"/>
        <w:keepLines w:val="0"/>
        <w:widowControl w:val="0"/>
        <w:shd w:val="clear" w:color="auto" w:fill="auto"/>
        <w:bidi w:val="0"/>
        <w:spacing w:before="0" w:after="0" w:line="240" w:lineRule="auto"/>
        <w:ind w:left="2563"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33"/>
        <w:keepNext w:val="0"/>
        <w:keepLines w:val="0"/>
        <w:widowControl w:val="0"/>
        <w:shd w:val="clear" w:color="auto" w:fill="auto"/>
        <w:bidi w:val="0"/>
        <w:spacing w:before="0" w:after="0" w:line="240" w:lineRule="auto"/>
        <w:ind w:left="2563"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p>
      <w:pPr>
        <w:pStyle w:val="Style33"/>
        <w:keepNext w:val="0"/>
        <w:keepLines w:val="0"/>
        <w:widowControl w:val="0"/>
        <w:shd w:val="clear" w:color="auto" w:fill="auto"/>
        <w:bidi w:val="0"/>
        <w:spacing w:before="0" w:after="0" w:line="240" w:lineRule="auto"/>
        <w:ind w:left="12672"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Página: 35</w:t>
      </w:r>
    </w:p>
    <w:p>
      <w:pPr>
        <w:pStyle w:val="Style33"/>
        <w:keepNext w:val="0"/>
        <w:keepLines w:val="0"/>
        <w:widowControl w:val="0"/>
        <w:shd w:val="clear" w:color="auto" w:fill="auto"/>
        <w:bidi w:val="0"/>
        <w:spacing w:before="0" w:after="0" w:line="240" w:lineRule="auto"/>
        <w:ind w:left="12672"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pStyle w:val="Style33"/>
        <w:keepNext w:val="0"/>
        <w:keepLines w:val="0"/>
        <w:widowControl w:val="0"/>
        <w:shd w:val="clear" w:color="auto" w:fill="auto"/>
        <w:tabs>
          <w:tab w:pos="2731" w:val="left"/>
          <w:tab w:pos="4142" w:val="left"/>
          <w:tab w:pos="5549" w:val="left"/>
          <w:tab w:pos="6974" w:val="left"/>
          <w:tab w:pos="8400" w:val="left"/>
          <w:tab w:pos="9826" w:val="left"/>
        </w:tabs>
        <w:bidi w:val="0"/>
        <w:spacing w:before="0" w:after="0" w:line="240" w:lineRule="auto"/>
        <w:ind w:left="0" w:right="0" w:firstLine="0"/>
        <w:jc w:val="both"/>
        <w:sectPr>
          <w:headerReference w:type="default" r:id="rId79"/>
          <w:footerReference w:type="default" r:id="rId80"/>
          <w:footnotePr>
            <w:pos w:val="pageBottom"/>
            <w:numFmt w:val="decimal"/>
            <w:numRestart w:val="continuous"/>
          </w:footnotePr>
          <w:pgSz w:w="16840" w:h="11900" w:orient="landscape"/>
          <w:pgMar w:top="657" w:left="1201" w:right="1547" w:bottom="657" w:header="229" w:footer="229" w:gutter="0"/>
          <w:pgNumType w:start="74"/>
          <w:cols w:space="720"/>
          <w:noEndnote/>
          <w:rtlGutter w:val="0"/>
          <w:docGrid w:linePitch="360"/>
        </w:sectPr>
      </w:pPr>
      <w:r>
        <w:rPr>
          <w:color w:val="000000"/>
          <w:spacing w:val="0"/>
          <w:w w:val="100"/>
          <w:position w:val="0"/>
          <w:sz w:val="18"/>
          <w:szCs w:val="18"/>
          <w:shd w:val="clear" w:color="auto" w:fill="auto"/>
          <w:lang w:val="pt-PT" w:eastAsia="pt-PT" w:bidi="pt-PT"/>
        </w:rPr>
        <w:t>Total da Unidade</w:t>
        <w:tab/>
      </w:r>
      <w:r>
        <w:rPr>
          <w:color w:val="000000"/>
          <w:spacing w:val="0"/>
          <w:w w:val="100"/>
          <w:position w:val="0"/>
          <w:shd w:val="clear" w:color="auto" w:fill="auto"/>
          <w:lang w:val="pt-PT" w:eastAsia="pt-PT" w:bidi="pt-PT"/>
        </w:rPr>
        <w:t>1.624.281,24</w:t>
        <w:tab/>
        <w:t>1.207.336,91</w:t>
        <w:tab/>
        <w:t>1.253.940,60</w:t>
        <w:tab/>
        <w:t>1.310.367,93</w:t>
        <w:tab/>
        <w:t>1.362.782,64</w:t>
        <w:tab/>
        <w:t>1.414.568,39</w:t>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p>
      <w:pPr>
        <w:pStyle w:val="Style54"/>
        <w:keepNext/>
        <w:keepLines/>
        <w:widowControl w:val="0"/>
        <w:shd w:val="clear" w:color="auto" w:fill="auto"/>
        <w:bidi w:val="0"/>
        <w:spacing w:before="0" w:after="0" w:line="240" w:lineRule="auto"/>
        <w:ind w:left="860" w:right="0" w:firstLine="0"/>
        <w:jc w:val="left"/>
      </w:pPr>
      <w:bookmarkStart w:id="28" w:name="bookmark28"/>
      <w:r>
        <w:rPr>
          <w:color w:val="000000"/>
          <w:spacing w:val="0"/>
          <w:w w:val="100"/>
          <w:position w:val="0"/>
          <w:shd w:val="clear" w:color="auto" w:fill="auto"/>
          <w:lang w:val="pt-PT" w:eastAsia="pt-PT" w:bidi="pt-PT"/>
        </w:rPr>
        <w:t>02 PODER EXECUTIVO</w:t>
      </w:r>
      <w:bookmarkEnd w:id="28"/>
    </w:p>
    <w:p>
      <w:pPr>
        <w:pStyle w:val="Style54"/>
        <w:keepNext/>
        <w:keepLines/>
        <w:widowControl w:val="0"/>
        <w:shd w:val="clear" w:color="auto" w:fill="auto"/>
        <w:bidi w:val="0"/>
        <w:spacing w:before="0" w:after="140" w:line="240" w:lineRule="auto"/>
        <w:ind w:left="460" w:right="0" w:firstLine="0"/>
        <w:jc w:val="left"/>
      </w:pPr>
      <w:bookmarkStart w:id="29" w:name="bookmark29"/>
      <w:r>
        <w:rPr>
          <w:color w:val="000000"/>
          <w:spacing w:val="0"/>
          <w:w w:val="100"/>
          <w:position w:val="0"/>
          <w:shd w:val="clear" w:color="auto" w:fill="auto"/>
          <w:lang w:val="pt-PT" w:eastAsia="pt-PT" w:bidi="pt-PT"/>
        </w:rPr>
        <w:t>02.017 SECRETARIA MUNICIPAL DE INTERIOR</w:t>
      </w:r>
      <w:bookmarkEnd w:id="29"/>
    </w:p>
    <w:p>
      <w:pPr>
        <w:pStyle w:val="Style29"/>
        <w:keepNext w:val="0"/>
        <w:keepLines w:val="0"/>
        <w:widowControl w:val="0"/>
        <w:shd w:val="clear" w:color="auto" w:fill="auto"/>
        <w:bidi w:val="0"/>
        <w:spacing w:before="0" w:after="0" w:line="240" w:lineRule="auto"/>
        <w:ind w:left="660" w:right="0" w:firstLine="0"/>
        <w:jc w:val="left"/>
      </w:pPr>
      <w:r>
        <w:rPr>
          <w:color w:val="000000"/>
          <w:spacing w:val="0"/>
          <w:w w:val="100"/>
          <w:position w:val="0"/>
          <w:shd w:val="clear" w:color="auto" w:fill="auto"/>
          <w:lang w:val="pt-PT" w:eastAsia="pt-PT" w:bidi="pt-PT"/>
        </w:rPr>
        <w:t>0011 APOIO ADMINISTRATIVO</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04.122.2.045 MANUTENCAO E FUNCIONAMENTO DA</w:t>
      </w:r>
    </w:p>
    <w:tbl>
      <w:tblPr>
        <w:tblOverlap w:val="never"/>
        <w:jc w:val="center"/>
        <w:tblLayout w:type="fixed"/>
      </w:tblPr>
      <w:tblGrid>
        <w:gridCol w:w="1114"/>
        <w:gridCol w:w="4450"/>
        <w:gridCol w:w="1512"/>
        <w:gridCol w:w="1411"/>
        <w:gridCol w:w="1416"/>
        <w:gridCol w:w="1426"/>
        <w:gridCol w:w="1426"/>
        <w:gridCol w:w="1349"/>
      </w:tblGrid>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213.198,03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154.581,53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56.809,50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59.365,93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61.740,57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64.086,71</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2.890,15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693,56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3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46.480,50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48.572,12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50.515,00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52.434,57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5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374" w:hRule="exact"/>
        </w:trPr>
        <w:tc>
          <w:tcPr>
            <w:tcBorders/>
            <w:shd w:val="clear" w:color="auto" w:fill="FFFFFF"/>
            <w:vAlign w:val="top"/>
          </w:tcPr>
          <w:p>
            <w:pPr>
              <w:widowControl w:val="0"/>
              <w:rPr>
                <w:sz w:val="10"/>
                <w:szCs w:val="10"/>
              </w:rPr>
            </w:pP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216.781,74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154.581,53</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269.845,13</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291.303,26</w:t>
            </w:r>
          </w:p>
        </w:tc>
      </w:tr>
      <w:tr>
        <w:trPr>
          <w:trHeight w:val="374" w:hRule="exact"/>
        </w:trPr>
        <w:tc>
          <w:tcPr>
            <w:tcBorders/>
            <w:shd w:val="clear" w:color="auto" w:fill="FFFFFF"/>
            <w:vAlign w:val="top"/>
          </w:tcPr>
          <w:p>
            <w:pPr>
              <w:widowControl w:val="0"/>
              <w:rPr>
                <w:sz w:val="10"/>
                <w:szCs w:val="10"/>
              </w:rPr>
            </w:pP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216.781,74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154.581,53</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269.845,13</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291.303,26</w:t>
            </w:r>
          </w:p>
        </w:tc>
      </w:tr>
      <w:tr>
        <w:trPr>
          <w:trHeight w:val="379" w:hRule="exact"/>
        </w:trPr>
        <w:tc>
          <w:tcPr>
            <w:tcBorders/>
            <w:shd w:val="clear" w:color="auto" w:fill="FFFFFF"/>
            <w:vAlign w:val="top"/>
          </w:tcPr>
          <w:p>
            <w:pPr>
              <w:widowControl w:val="0"/>
              <w:rPr>
                <w:sz w:val="10"/>
                <w:szCs w:val="10"/>
              </w:rPr>
            </w:pP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Órgão</w:t>
            </w:r>
          </w:p>
        </w:tc>
        <w:tc>
          <w:tcPr>
            <w:tcBorders>
              <w:top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159.252.282,27</w:t>
            </w:r>
          </w:p>
        </w:tc>
        <w:tc>
          <w:tcPr>
            <w:tcBorders>
              <w:top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211.521.497,31</w:t>
            </w:r>
          </w:p>
        </w:tc>
        <w:tc>
          <w:tcPr>
            <w:tcBorders>
              <w:top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126.966.751,56</w:t>
            </w:r>
          </w:p>
        </w:tc>
        <w:tc>
          <w:tcPr>
            <w:tcBorders>
              <w:top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156.140.347,55</w:t>
            </w:r>
          </w:p>
        </w:tc>
        <w:tc>
          <w:tcPr>
            <w:tcBorders>
              <w:top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150.840.133,23</w:t>
            </w:r>
          </w:p>
        </w:tc>
        <w:tc>
          <w:tcPr>
            <w:tcBorders>
              <w:top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156.572.058,55</w:t>
            </w:r>
          </w:p>
        </w:tc>
      </w:tr>
    </w:tbl>
    <w:p>
      <w:pPr>
        <w:sectPr>
          <w:headerReference w:type="default" r:id="rId81"/>
          <w:footerReference w:type="default" r:id="rId82"/>
          <w:footnotePr>
            <w:pos w:val="pageBottom"/>
            <w:numFmt w:val="decimal"/>
            <w:numRestart w:val="continuous"/>
          </w:footnotePr>
          <w:pgSz w:w="16840" w:h="11900" w:orient="landscape"/>
          <w:pgMar w:top="2068" w:left="1162" w:right="1498" w:bottom="2068" w:header="0" w:footer="1640" w:gutter="0"/>
          <w:pgNumType w:start="36"/>
          <w:cols w:space="720"/>
          <w:noEndnote/>
          <w:rtlGutter w:val="0"/>
          <w:docGrid w:linePitch="360"/>
        </w:sectPr>
      </w:pP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p>
      <w:pPr>
        <w:pStyle w:val="Style54"/>
        <w:keepNext/>
        <w:keepLines/>
        <w:widowControl w:val="0"/>
        <w:shd w:val="clear" w:color="auto" w:fill="auto"/>
        <w:bidi w:val="0"/>
        <w:spacing w:before="0" w:after="40" w:line="240" w:lineRule="auto"/>
        <w:ind w:left="840" w:right="0" w:firstLine="0"/>
        <w:jc w:val="left"/>
      </w:pPr>
      <w:bookmarkStart w:id="30" w:name="bookmark30"/>
      <w:r>
        <w:rPr>
          <w:color w:val="000000"/>
          <w:spacing w:val="0"/>
          <w:w w:val="100"/>
          <w:position w:val="0"/>
          <w:shd w:val="clear" w:color="auto" w:fill="auto"/>
          <w:lang w:val="pt-PT" w:eastAsia="pt-PT" w:bidi="pt-PT"/>
        </w:rPr>
        <w:t>03 ADMINISTRACAO INDIRETA</w:t>
      </w:r>
      <w:bookmarkEnd w:id="30"/>
    </w:p>
    <w:p>
      <w:pPr>
        <w:pStyle w:val="Style54"/>
        <w:keepNext/>
        <w:keepLines/>
        <w:widowControl w:val="0"/>
        <w:shd w:val="clear" w:color="auto" w:fill="auto"/>
        <w:bidi w:val="0"/>
        <w:spacing w:before="0" w:after="140" w:line="240" w:lineRule="auto"/>
        <w:ind w:left="460" w:right="0" w:firstLine="0"/>
        <w:jc w:val="left"/>
      </w:pPr>
      <w:bookmarkStart w:id="31" w:name="bookmark31"/>
      <w:r>
        <w:rPr>
          <w:color w:val="000000"/>
          <w:spacing w:val="0"/>
          <w:w w:val="100"/>
          <w:position w:val="0"/>
          <w:shd w:val="clear" w:color="auto" w:fill="auto"/>
          <w:lang w:val="pt-PT" w:eastAsia="pt-PT" w:bidi="pt-PT"/>
        </w:rPr>
        <w:t>03.001 SERV. AUT. DE AGUA E ESGOTO - SAAE MAUES</w:t>
      </w:r>
      <w:bookmarkEnd w:id="31"/>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0091 MORAR MELHOR</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17.512.1.024 CONST. POCOS ARTESIANOS NA ZONA RURAL</w:t>
      </w:r>
    </w:p>
    <w:tbl>
      <w:tblPr>
        <w:tblOverlap w:val="never"/>
        <w:jc w:val="center"/>
        <w:tblLayout w:type="fixed"/>
      </w:tblPr>
      <w:tblGrid>
        <w:gridCol w:w="6024"/>
        <w:gridCol w:w="1507"/>
        <w:gridCol w:w="1171"/>
        <w:gridCol w:w="1416"/>
        <w:gridCol w:w="1426"/>
        <w:gridCol w:w="1426"/>
        <w:gridCol w:w="1186"/>
      </w:tblGrid>
      <w:tr>
        <w:trPr>
          <w:trHeight w:val="25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331"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27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0091 MORAR MELHOR</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17.512.1.025 AMPL. SISTEMA DE ABASTECIMENTO DE AGUA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9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 Obras e Instalações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302"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bl>
    <w:p>
      <w:pPr>
        <w:widowControl w:val="0"/>
        <w:spacing w:after="7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0011 APOIO ADMINISTRATIVO</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17.512.1.029 CONSTRUCAO DE POCOS ARTESIANOS NA ZONA</w:t>
      </w:r>
    </w:p>
    <w:tbl>
      <w:tblPr>
        <w:tblOverlap w:val="never"/>
        <w:jc w:val="center"/>
        <w:tblLayout w:type="fixed"/>
      </w:tblPr>
      <w:tblGrid>
        <w:gridCol w:w="1181"/>
        <w:gridCol w:w="4598"/>
        <w:gridCol w:w="1512"/>
        <w:gridCol w:w="1406"/>
        <w:gridCol w:w="1421"/>
        <w:gridCol w:w="1426"/>
        <w:gridCol w:w="1426"/>
        <w:gridCol w:w="1186"/>
      </w:tblGrid>
      <w:tr>
        <w:trPr>
          <w:trHeight w:val="24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Obras e Instalações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336"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274"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0102 ABASTECIMENTO DE AGUA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17.512.2.046 MANUTENCAO E FUNCIONAMENTO DO SAAE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9"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332.593,80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347.560,52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361.462,94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375.198,53</w:t>
            </w:r>
          </w:p>
        </w:tc>
      </w:tr>
      <w:tr>
        <w:trPr>
          <w:trHeight w:val="197"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828.953,11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821.046,87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320.405,58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334.823,83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348.216,78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361.449,02</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110.557,55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180.386,91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210.711,60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220.193,62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229.001,36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237.703,41</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Outras Despesas Variáveis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82.632,00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86.350,44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89.804,46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93.217,03</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Sentenças Judiciais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11.397,81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34.956,39</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15.554,43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Trabalhistas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62.703,97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7.305,76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5.435,21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13.530,99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14.139,88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14.705,48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15.264,29</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3.1.91.92.00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2.219,94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3.2.90.21.00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Juros sobre a Dívida por Contrato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6.655,33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18.592,20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19.428,85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20.206,00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20.973,83</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37.680,00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67.200,00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41.316,00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43.175,22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44.902,23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46.608,51</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259.375,93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396.192,21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343.955,70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359.433,71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373.811,06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388.015,88</w:t>
            </w:r>
          </w:p>
        </w:tc>
      </w:tr>
      <w:tr>
        <w:trPr>
          <w:trHeight w:val="22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5.540,00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17.249,43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18.025,65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18.746,68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19.459,05</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 xml:space="preserve">Outras Desp. de Pes. </w:t>
            </w:r>
            <w:r>
              <w:rPr>
                <w:rFonts w:ascii="Arial" w:eastAsia="Arial" w:hAnsi="Arial" w:cs="Arial"/>
                <w:color w:val="000000"/>
                <w:spacing w:val="0"/>
                <w:w w:val="100"/>
                <w:position w:val="0"/>
                <w:shd w:val="clear" w:color="auto" w:fill="auto"/>
                <w:lang w:val="en-US" w:eastAsia="en-US" w:bidi="en-US"/>
              </w:rPr>
              <w:t>Decor.de</w:t>
            </w:r>
            <w:r>
              <w:rPr>
                <w:rFonts w:ascii="Arial" w:eastAsia="Arial" w:hAnsi="Arial" w:cs="Arial"/>
                <w:color w:val="000000"/>
                <w:spacing w:val="0"/>
                <w:w w:val="100"/>
                <w:position w:val="0"/>
                <w:shd w:val="clear" w:color="auto" w:fill="auto"/>
                <w:lang w:val="en-US" w:eastAsia="en-US" w:bidi="en-US"/>
              </w:rPr>
              <w:t xml:space="preserve"> </w:t>
            </w:r>
            <w:r>
              <w:rPr>
                <w:rFonts w:ascii="Arial" w:eastAsia="Arial" w:hAnsi="Arial" w:cs="Arial"/>
                <w:color w:val="000000"/>
                <w:spacing w:val="0"/>
                <w:w w:val="100"/>
                <w:position w:val="0"/>
                <w:shd w:val="clear" w:color="auto" w:fill="auto"/>
                <w:lang w:val="pt-PT" w:eastAsia="pt-PT" w:bidi="pt-PT"/>
              </w:rPr>
              <w:t>Contr. de Terceiriz.</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167.329,80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174.859,64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181.854,03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188.764,48</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Serviços de Consultoria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62.000,00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61.974,00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64.762,83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67.353,34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69.912,77</w:t>
            </w:r>
          </w:p>
        </w:tc>
      </w:tr>
      <w:tr>
        <w:trPr>
          <w:trHeight w:val="23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17.559,30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18.349,47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19.083,45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19.808,62</w:t>
            </w:r>
          </w:p>
        </w:tc>
      </w:tr>
    </w:tbl>
    <w:p>
      <w:pPr>
        <w:sectPr>
          <w:footnotePr>
            <w:pos w:val="pageBottom"/>
            <w:numFmt w:val="decimal"/>
            <w:numRestart w:val="continuous"/>
          </w:footnotePr>
          <w:pgSz w:w="16840" w:h="11900" w:orient="landscape"/>
          <w:pgMar w:top="2067" w:left="1172" w:right="1513" w:bottom="886" w:header="0" w:footer="458" w:gutter="0"/>
          <w:cols w:space="720"/>
          <w:noEndnote/>
          <w:rtlGutter w:val="0"/>
          <w:docGrid w:linePitch="360"/>
        </w:sectPr>
      </w:pPr>
    </w:p>
    <w:p>
      <w:pPr>
        <w:pStyle w:val="Style33"/>
        <w:keepNext w:val="0"/>
        <w:keepLines w:val="0"/>
        <w:widowControl w:val="0"/>
        <w:shd w:val="clear" w:color="auto" w:fill="auto"/>
        <w:bidi w:val="0"/>
        <w:spacing w:before="0" w:after="40" w:line="240" w:lineRule="auto"/>
        <w:ind w:left="2563"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33"/>
        <w:keepNext w:val="0"/>
        <w:keepLines w:val="0"/>
        <w:widowControl w:val="0"/>
        <w:shd w:val="clear" w:color="auto" w:fill="auto"/>
        <w:bidi w:val="0"/>
        <w:spacing w:before="0" w:after="40" w:line="240" w:lineRule="auto"/>
        <w:ind w:left="2563"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33"/>
        <w:keepNext w:val="0"/>
        <w:keepLines w:val="0"/>
        <w:widowControl w:val="0"/>
        <w:shd w:val="clear" w:color="auto" w:fill="auto"/>
        <w:bidi w:val="0"/>
        <w:spacing w:before="0" w:after="0" w:line="240" w:lineRule="auto"/>
        <w:ind w:left="2563"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33"/>
        <w:keepNext w:val="0"/>
        <w:keepLines w:val="0"/>
        <w:widowControl w:val="0"/>
        <w:shd w:val="clear" w:color="auto" w:fill="auto"/>
        <w:tabs>
          <w:tab w:pos="10104" w:val="left"/>
        </w:tabs>
        <w:bidi w:val="0"/>
        <w:spacing w:before="0" w:after="40" w:line="240" w:lineRule="auto"/>
        <w:ind w:left="0" w:right="0" w:firstLine="0"/>
        <w:jc w:val="both"/>
        <w:rPr>
          <w:sz w:val="20"/>
          <w:szCs w:val="20"/>
        </w:rPr>
      </w:pPr>
      <w:r>
        <w:rPr>
          <w:color w:val="000000"/>
          <w:spacing w:val="0"/>
          <w:w w:val="100"/>
          <w:position w:val="0"/>
          <w:sz w:val="20"/>
          <w:szCs w:val="20"/>
          <w:shd w:val="clear" w:color="auto" w:fill="auto"/>
          <w:lang w:val="pt-PT" w:eastAsia="pt-PT" w:bidi="pt-PT"/>
        </w:rPr>
        <w:t>METODOLOGIA E MEMÓRIA DE CÁLCULO DAS METAS ANUAIS</w:t>
        <w:tab/>
      </w:r>
      <w:r>
        <w:rPr>
          <w:rFonts w:ascii="Times New Roman" w:eastAsia="Times New Roman" w:hAnsi="Times New Roman" w:cs="Times New Roman"/>
          <w:color w:val="000000"/>
          <w:spacing w:val="0"/>
          <w:w w:val="100"/>
          <w:position w:val="0"/>
          <w:sz w:val="20"/>
          <w:szCs w:val="20"/>
          <w:shd w:val="clear" w:color="auto" w:fill="auto"/>
          <w:lang w:val="pt-PT" w:eastAsia="pt-PT" w:bidi="pt-PT"/>
        </w:rPr>
        <w:t>Página: 38</w:t>
      </w:r>
    </w:p>
    <w:tbl>
      <w:tblPr>
        <w:tblOverlap w:val="never"/>
        <w:jc w:val="center"/>
        <w:tblLayout w:type="fixed"/>
      </w:tblPr>
      <w:tblGrid>
        <w:gridCol w:w="1094"/>
        <w:gridCol w:w="4531"/>
        <w:gridCol w:w="1411"/>
        <w:gridCol w:w="1411"/>
        <w:gridCol w:w="1421"/>
        <w:gridCol w:w="1426"/>
        <w:gridCol w:w="1426"/>
        <w:gridCol w:w="1373"/>
      </w:tblGrid>
      <w:tr>
        <w:trPr>
          <w:trHeight w:val="302" w:hRule="exact"/>
        </w:trPr>
        <w:tc>
          <w:tcPr>
            <w:gridSpan w:val="6"/>
            <w:tcBorders/>
            <w:shd w:val="clear" w:color="auto" w:fill="FFFFFF"/>
            <w:vAlign w:val="bottom"/>
          </w:tcPr>
          <w:p>
            <w:pPr>
              <w:pStyle w:val="Style23"/>
              <w:keepNext w:val="0"/>
              <w:keepLines w:val="0"/>
              <w:widowControl w:val="0"/>
              <w:shd w:val="clear" w:color="auto" w:fill="auto"/>
              <w:bidi w:val="0"/>
              <w:spacing w:before="0" w:after="0" w:line="240" w:lineRule="auto"/>
              <w:ind w:left="258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II.b - Demonstrativo da Despesa por Órgão, Unidade, Programa e Projeto/Atividade</w:t>
            </w:r>
          </w:p>
        </w:tc>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140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c>
      </w:tr>
      <w:tr>
        <w:trPr>
          <w:trHeight w:val="360"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0"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480" w:right="0" w:firstLine="4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480" w:right="0" w:firstLine="4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500" w:right="0" w:firstLine="2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r>
        <w:trPr>
          <w:trHeight w:val="312"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944.866,04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1.006.287,24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206.580,00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215.876,10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500" w:right="0" w:firstLine="2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224.511,14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233.042,56</w:t>
            </w:r>
          </w:p>
        </w:tc>
      </w:tr>
      <w:tr>
        <w:trPr>
          <w:trHeight w:val="21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3.3.90.47.00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Obrigações Tributárias e Contributivas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23.253,93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26.051,18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33.676,68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34.956,39</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7.249,37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158.643,61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76.950,40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35.204,40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154.935,00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161.907,08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00" w:right="0" w:firstLine="2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168.383,36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174.781,93</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4.6.90.71.00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Principal da Dívida Contratual Resgatado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47.521,28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56.102,51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392.502,00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410.164,59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500" w:right="0" w:firstLine="2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426.571,17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442.780,87</w:t>
            </w:r>
          </w:p>
        </w:tc>
      </w:tr>
      <w:tr>
        <w:trPr>
          <w:trHeight w:val="326"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2.431.526,45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2.923.288,54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2.562.624,90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2.677.943,03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2.785.060,75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2.890.893,04</w:t>
            </w:r>
          </w:p>
        </w:tc>
      </w:tr>
      <w:tr>
        <w:trPr>
          <w:trHeight w:val="283"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0091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MORAR MELHOR</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17.512.2.060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MANUT. PREVENTIVA DA REDE DE ESGOTO NO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82.632,00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86.350,44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89.804,46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93.217,03</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45.447,60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47.492,74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49.392,45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51.269,36</w:t>
            </w:r>
          </w:p>
        </w:tc>
      </w:tr>
      <w:tr>
        <w:trPr>
          <w:trHeight w:val="21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Obras e Instalações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4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87.796,50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91.747,34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95.417,23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99.043,08</w:t>
            </w:r>
          </w:p>
        </w:tc>
      </w:tr>
      <w:tr>
        <w:trPr>
          <w:trHeight w:val="336"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215.876,10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480" w:right="0" w:firstLine="4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225.590,52</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500" w:right="0" w:firstLine="2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234.614,14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243.529,47</w:t>
            </w:r>
          </w:p>
        </w:tc>
      </w:tr>
      <w:tr>
        <w:trPr>
          <w:trHeight w:val="27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0091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MORAR MELHOR</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17.512.2.156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 xml:space="preserve">REFORMA, ADEQ. E CONST. DO SERV. </w:t>
            </w:r>
            <w:r>
              <w:rPr>
                <w:rFonts w:ascii="Arial" w:eastAsia="Arial" w:hAnsi="Arial" w:cs="Arial"/>
                <w:color w:val="000000"/>
                <w:spacing w:val="0"/>
                <w:w w:val="100"/>
                <w:position w:val="0"/>
                <w:shd w:val="clear" w:color="auto" w:fill="auto"/>
                <w:lang w:val="pt-PT" w:eastAsia="pt-PT" w:bidi="pt-PT"/>
              </w:rPr>
              <w:t>AUTON.DE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9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Obras e Instalações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7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2.431.526,45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2.923.288,54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3.088.371,00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3.227.347,70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3.356.441,60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3.483.986,35</w:t>
            </w:r>
          </w:p>
        </w:tc>
      </w:tr>
    </w:tbl>
    <w:p>
      <w:pPr>
        <w:sectPr>
          <w:headerReference w:type="default" r:id="rId83"/>
          <w:footerReference w:type="default" r:id="rId84"/>
          <w:footnotePr>
            <w:pos w:val="pageBottom"/>
            <w:numFmt w:val="decimal"/>
            <w:numRestart w:val="continuous"/>
          </w:footnotePr>
          <w:pgSz w:w="16840" w:h="11900" w:orient="landscape"/>
          <w:pgMar w:top="657" w:left="1201" w:right="1547" w:bottom="657" w:header="229" w:footer="229" w:gutter="0"/>
          <w:pgNumType w:start="77"/>
          <w:cols w:space="720"/>
          <w:noEndnote/>
          <w:rtlGutter w:val="0"/>
          <w:docGrid w:linePitch="360"/>
        </w:sectPr>
      </w:pPr>
    </w:p>
    <w:p>
      <w:pPr>
        <w:widowControl w:val="0"/>
        <w:spacing w:line="1" w:lineRule="exact"/>
      </w:pPr>
      <w:r>
        <mc:AlternateContent>
          <mc:Choice Requires="wps">
            <w:drawing>
              <wp:anchor distT="130810" distB="158750" distL="0" distR="0" simplePos="0" relativeHeight="125829443" behindDoc="0" locked="0" layoutInCell="1" allowOverlap="1">
                <wp:simplePos x="0" y="0"/>
                <wp:positionH relativeFrom="page">
                  <wp:posOffset>791210</wp:posOffset>
                </wp:positionH>
                <wp:positionV relativeFrom="paragraph">
                  <wp:posOffset>130810</wp:posOffset>
                </wp:positionV>
                <wp:extent cx="628015" cy="173990"/>
                <wp:wrapTopAndBottom/>
                <wp:docPr id="163" name="Shape 163"/>
                <a:graphic xmlns:a="http://schemas.openxmlformats.org/drawingml/2006/main">
                  <a:graphicData uri="http://schemas.microsoft.com/office/word/2010/wordprocessingShape">
                    <wps:wsp>
                      <wps:cNvSpPr txBox="1"/>
                      <wps:spPr>
                        <a:xfrm>
                          <a:ext cx="628015" cy="1739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CÓDIGOS</w:t>
                            </w:r>
                          </w:p>
                        </w:txbxContent>
                      </wps:txbx>
                      <wps:bodyPr wrap="none" lIns="0" tIns="0" rIns="0" bIns="0">
                        <a:noAutoFit/>
                      </wps:bodyPr>
                    </wps:wsp>
                  </a:graphicData>
                </a:graphic>
              </wp:anchor>
            </w:drawing>
          </mc:Choice>
          <mc:Fallback>
            <w:pict>
              <v:shape id="_x0000_s1189" type="#_x0000_t202" style="position:absolute;margin-left:62.299999999999997pt;margin-top:10.300000000000001pt;width:49.450000000000003pt;height:13.699999999999999pt;z-index:-125829310;mso-wrap-distance-left:0;mso-wrap-distance-top:10.300000000000001pt;mso-wrap-distance-right:0;mso-wrap-distance-bottom:12.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CÓDIGOS</w:t>
                      </w:r>
                    </w:p>
                  </w:txbxContent>
                </v:textbox>
                <w10:wrap type="topAndBottom" anchorx="page"/>
              </v:shape>
            </w:pict>
          </mc:Fallback>
        </mc:AlternateContent>
      </w:r>
      <w:r>
        <mc:AlternateContent>
          <mc:Choice Requires="wps">
            <w:drawing>
              <wp:anchor distT="130810" distB="156210" distL="0" distR="0" simplePos="0" relativeHeight="125829445" behindDoc="0" locked="0" layoutInCell="1" allowOverlap="1">
                <wp:simplePos x="0" y="0"/>
                <wp:positionH relativeFrom="page">
                  <wp:posOffset>2385060</wp:posOffset>
                </wp:positionH>
                <wp:positionV relativeFrom="paragraph">
                  <wp:posOffset>130810</wp:posOffset>
                </wp:positionV>
                <wp:extent cx="1048385" cy="176530"/>
                <wp:wrapTopAndBottom/>
                <wp:docPr id="165" name="Shape 165"/>
                <a:graphic xmlns:a="http://schemas.openxmlformats.org/drawingml/2006/main">
                  <a:graphicData uri="http://schemas.microsoft.com/office/word/2010/wordprocessingShape">
                    <wps:wsp>
                      <wps:cNvSpPr txBox="1"/>
                      <wps:spPr>
                        <a:xfrm>
                          <a:ext cx="1048385" cy="1765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xbxContent>
                      </wps:txbx>
                      <wps:bodyPr wrap="none" lIns="0" tIns="0" rIns="0" bIns="0">
                        <a:noAutoFit/>
                      </wps:bodyPr>
                    </wps:wsp>
                  </a:graphicData>
                </a:graphic>
              </wp:anchor>
            </w:drawing>
          </mc:Choice>
          <mc:Fallback>
            <w:pict>
              <v:shape id="_x0000_s1191" type="#_x0000_t202" style="position:absolute;margin-left:187.80000000000001pt;margin-top:10.300000000000001pt;width:82.549999999999997pt;height:13.9pt;z-index:-125829308;mso-wrap-distance-left:0;mso-wrap-distance-top:10.300000000000001pt;mso-wrap-distance-right:0;mso-wrap-distance-bottom:12.3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xbxContent>
                </v:textbox>
                <w10:wrap type="topAndBottom" anchorx="page"/>
              </v:shape>
            </w:pict>
          </mc:Fallback>
        </mc:AlternateContent>
      </w:r>
      <w:r>
        <mc:AlternateContent>
          <mc:Choice Requires="wps">
            <w:drawing>
              <wp:anchor distT="0" distB="0" distL="0" distR="0" simplePos="0" relativeHeight="125829447" behindDoc="0" locked="0" layoutInCell="1" allowOverlap="1">
                <wp:simplePos x="0" y="0"/>
                <wp:positionH relativeFrom="page">
                  <wp:posOffset>4333240</wp:posOffset>
                </wp:positionH>
                <wp:positionV relativeFrom="paragraph">
                  <wp:posOffset>0</wp:posOffset>
                </wp:positionV>
                <wp:extent cx="5376545" cy="463550"/>
                <wp:wrapTopAndBottom/>
                <wp:docPr id="167" name="Shape 167"/>
                <a:graphic xmlns:a="http://schemas.openxmlformats.org/drawingml/2006/main">
                  <a:graphicData uri="http://schemas.microsoft.com/office/word/2010/wordprocessingShape">
                    <wps:wsp>
                      <wps:cNvSpPr txBox="1"/>
                      <wps:spPr>
                        <a:xfrm>
                          <a:ext cx="5376545" cy="463550"/>
                        </a:xfrm>
                        <a:prstGeom prst="rect"/>
                        <a:noFill/>
                      </wps:spPr>
                      <wps:txbx>
                        <w:txbxContent>
                          <w:tbl>
                            <w:tblPr>
                              <w:tblOverlap w:val="never"/>
                              <w:jc w:val="left"/>
                              <w:tblLayout w:type="fixed"/>
                            </w:tblPr>
                            <w:tblGrid>
                              <w:gridCol w:w="1411"/>
                              <w:gridCol w:w="1411"/>
                              <w:gridCol w:w="1421"/>
                              <w:gridCol w:w="1426"/>
                              <w:gridCol w:w="1426"/>
                              <w:gridCol w:w="1373"/>
                            </w:tblGrid>
                            <w:tr>
                              <w:trPr>
                                <w:tblHeader/>
                                <w:trHeight w:val="365" w:hRule="exact"/>
                              </w:trPr>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line="1" w:lineRule="exact"/>
                            </w:pPr>
                          </w:p>
                        </w:txbxContent>
                      </wps:txbx>
                      <wps:bodyPr lIns="0" tIns="0" rIns="0" bIns="0">
                        <a:noAutoFit/>
                      </wps:bodyPr>
                    </wps:wsp>
                  </a:graphicData>
                </a:graphic>
              </wp:anchor>
            </w:drawing>
          </mc:Choice>
          <mc:Fallback>
            <w:pict>
              <v:shape id="_x0000_s1193" type="#_x0000_t202" style="position:absolute;margin-left:341.19999999999999pt;margin-top:0;width:423.35000000000002pt;height:36.5pt;z-index:-125829306;mso-wrap-distance-left:0;mso-wrap-distance-right:0;mso-position-horizontal-relative:page" filled="f" stroked="f">
                <v:textbox inset="0,0,0,0">
                  <w:txbxContent>
                    <w:tbl>
                      <w:tblPr>
                        <w:tblOverlap w:val="never"/>
                        <w:jc w:val="left"/>
                        <w:tblLayout w:type="fixed"/>
                      </w:tblPr>
                      <w:tblGrid>
                        <w:gridCol w:w="1411"/>
                        <w:gridCol w:w="1411"/>
                        <w:gridCol w:w="1421"/>
                        <w:gridCol w:w="1426"/>
                        <w:gridCol w:w="1426"/>
                        <w:gridCol w:w="1373"/>
                      </w:tblGrid>
                      <w:tr>
                        <w:trPr>
                          <w:tblHeader/>
                          <w:trHeight w:val="365" w:hRule="exact"/>
                        </w:trPr>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line="1" w:lineRule="exact"/>
                      </w:pPr>
                    </w:p>
                  </w:txbxContent>
                </v:textbox>
                <w10:wrap type="topAndBottom" anchorx="page"/>
              </v:shape>
            </w:pict>
          </mc:Fallback>
        </mc:AlternateContent>
      </w:r>
    </w:p>
    <w:p>
      <w:pPr>
        <w:pStyle w:val="Style54"/>
        <w:keepNext/>
        <w:keepLines/>
        <w:widowControl w:val="0"/>
        <w:shd w:val="clear" w:color="auto" w:fill="auto"/>
        <w:bidi w:val="0"/>
        <w:spacing w:before="0" w:after="0" w:line="240" w:lineRule="auto"/>
        <w:ind w:left="860" w:right="0" w:firstLine="0"/>
        <w:jc w:val="left"/>
      </w:pPr>
      <w:bookmarkStart w:id="32" w:name="bookmark32"/>
      <w:r>
        <w:rPr>
          <w:color w:val="000000"/>
          <w:spacing w:val="0"/>
          <w:w w:val="100"/>
          <w:position w:val="0"/>
          <w:shd w:val="clear" w:color="auto" w:fill="auto"/>
          <w:lang w:val="pt-PT" w:eastAsia="pt-PT" w:bidi="pt-PT"/>
        </w:rPr>
        <w:t>03 ADMINISTRACAO INDIRETA</w:t>
      </w:r>
      <w:bookmarkEnd w:id="32"/>
    </w:p>
    <w:p>
      <w:pPr>
        <w:pStyle w:val="Style54"/>
        <w:keepNext/>
        <w:keepLines/>
        <w:widowControl w:val="0"/>
        <w:shd w:val="clear" w:color="auto" w:fill="auto"/>
        <w:bidi w:val="0"/>
        <w:spacing w:before="0" w:after="140" w:line="240" w:lineRule="auto"/>
        <w:ind w:left="460" w:right="0" w:firstLine="0"/>
        <w:jc w:val="left"/>
      </w:pPr>
      <w:bookmarkStart w:id="33" w:name="bookmark33"/>
      <w:r>
        <w:rPr>
          <w:color w:val="000000"/>
          <w:spacing w:val="0"/>
          <w:w w:val="100"/>
          <w:position w:val="0"/>
          <w:shd w:val="clear" w:color="auto" w:fill="auto"/>
          <w:lang w:val="pt-PT" w:eastAsia="pt-PT" w:bidi="pt-PT"/>
        </w:rPr>
        <w:t>03.002 DEPARTAMENTO MUN. DE TRANSITO - DEMUT</w:t>
      </w:r>
      <w:bookmarkEnd w:id="33"/>
    </w:p>
    <w:p>
      <w:pPr>
        <w:pStyle w:val="Style29"/>
        <w:keepNext w:val="0"/>
        <w:keepLines w:val="0"/>
        <w:widowControl w:val="0"/>
        <w:shd w:val="clear" w:color="auto" w:fill="auto"/>
        <w:bidi w:val="0"/>
        <w:spacing w:before="0" w:after="0" w:line="240" w:lineRule="auto"/>
        <w:ind w:left="680" w:right="0" w:firstLine="0"/>
        <w:jc w:val="left"/>
      </w:pPr>
      <w:r>
        <w:rPr>
          <w:color w:val="000000"/>
          <w:spacing w:val="0"/>
          <w:w w:val="100"/>
          <w:position w:val="0"/>
          <w:shd w:val="clear" w:color="auto" w:fill="auto"/>
          <w:lang w:val="pt-PT" w:eastAsia="pt-PT" w:bidi="pt-PT"/>
        </w:rPr>
        <w:t>0162 ESTRADAS E RODOVIAS</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26.782.1.032 REFORMA DO PREDIO DO DEPARTAMENTO</w:t>
      </w:r>
    </w:p>
    <w:tbl>
      <w:tblPr>
        <w:tblOverlap w:val="never"/>
        <w:jc w:val="center"/>
        <w:tblLayout w:type="fixed"/>
      </w:tblPr>
      <w:tblGrid>
        <w:gridCol w:w="1195"/>
        <w:gridCol w:w="4603"/>
        <w:gridCol w:w="1507"/>
        <w:gridCol w:w="1411"/>
        <w:gridCol w:w="1416"/>
        <w:gridCol w:w="1426"/>
        <w:gridCol w:w="1430"/>
        <w:gridCol w:w="1195"/>
      </w:tblGrid>
      <w:tr>
        <w:trPr>
          <w:trHeight w:val="25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4.4.90.51.00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Obras e Instalações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18.592,20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19.428,85</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20.206,00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20.973,83</w:t>
            </w:r>
          </w:p>
        </w:tc>
      </w:tr>
      <w:tr>
        <w:trPr>
          <w:trHeight w:val="331"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18.592,20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19.428,85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20.206,00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20.973,83</w:t>
            </w:r>
          </w:p>
        </w:tc>
      </w:tr>
      <w:tr>
        <w:trPr>
          <w:trHeight w:val="274"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80" w:right="0" w:firstLine="0"/>
              <w:jc w:val="left"/>
            </w:pPr>
            <w:r>
              <w:rPr>
                <w:rFonts w:ascii="Arial" w:eastAsia="Arial" w:hAnsi="Arial" w:cs="Arial"/>
                <w:color w:val="000000"/>
                <w:spacing w:val="0"/>
                <w:w w:val="100"/>
                <w:position w:val="0"/>
                <w:shd w:val="clear" w:color="auto" w:fill="auto"/>
                <w:lang w:val="pt-PT" w:eastAsia="pt-PT" w:bidi="pt-PT"/>
              </w:rPr>
              <w:t>0162 ESTRADAS E RODOVIAS</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26.782.2.047 MANUT. FUNCION. DEPART. MUN. DE TRANSITO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6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119.816,40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125.208,14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130.216,47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135.164,70</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13.839,99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14.459,29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3.098,70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3.238,14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3.367,67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3.495,64</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3.098,70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3.238,14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3.367,67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3.495,64</w:t>
            </w:r>
          </w:p>
        </w:tc>
      </w:tr>
      <w:tr>
        <w:trPr>
          <w:trHeight w:val="21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3.1.90.94.00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Trabalhistas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8.263,20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8.635,04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8.980,44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9.321,70</w:t>
            </w:r>
          </w:p>
        </w:tc>
      </w:tr>
      <w:tr>
        <w:trPr>
          <w:trHeight w:val="2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4.640,00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12.280,00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109.834,45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130.301,95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20.658,00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21.587,61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22.451,11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w:t>
            </w:r>
          </w:p>
        </w:tc>
      </w:tr>
      <w:tr>
        <w:trPr>
          <w:trHeight w:val="23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10.793,81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11.225,56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11.652,13</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1.050,00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72.801,39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143.886,98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3.3.90.47.00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Tributárias e Contributivas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936,86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1.393,10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16.950,00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356.137,80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277.732,69</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723.459,12</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237.567,00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248.257,51</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258.187,84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267.999,01</w:t>
            </w:r>
          </w:p>
        </w:tc>
      </w:tr>
      <w:tr>
        <w:trPr>
          <w:trHeight w:val="27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277.732,69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723.459,12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256.159,20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267.686,36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278.393,84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288.972,84</w:t>
            </w:r>
          </w:p>
        </w:tc>
      </w:tr>
    </w:tbl>
    <w:p>
      <w:pPr>
        <w:spacing w:lineRule="exact" w:line="1"/>
        <w:rPr>
          <w:sz w:val="2"/>
          <w:szCs w:val="2"/>
        </w:rPr>
      </w:pPr>
      <w:r>
        <w:br w:type="page"/>
      </w:r>
    </w:p>
    <w:p>
      <w:pPr>
        <w:widowControl w:val="0"/>
        <w:spacing w:line="1" w:lineRule="exact"/>
      </w:pPr>
      <w:r>
        <mc:AlternateContent>
          <mc:Choice Requires="wps">
            <w:drawing>
              <wp:anchor distT="130810" distB="158750" distL="0" distR="0" simplePos="0" relativeHeight="125829449" behindDoc="0" locked="0" layoutInCell="1" allowOverlap="1">
                <wp:simplePos x="0" y="0"/>
                <wp:positionH relativeFrom="page">
                  <wp:posOffset>794385</wp:posOffset>
                </wp:positionH>
                <wp:positionV relativeFrom="paragraph">
                  <wp:posOffset>130810</wp:posOffset>
                </wp:positionV>
                <wp:extent cx="628015" cy="173990"/>
                <wp:wrapTopAndBottom/>
                <wp:docPr id="169" name="Shape 169"/>
                <a:graphic xmlns:a="http://schemas.openxmlformats.org/drawingml/2006/main">
                  <a:graphicData uri="http://schemas.microsoft.com/office/word/2010/wordprocessingShape">
                    <wps:wsp>
                      <wps:cNvSpPr txBox="1"/>
                      <wps:spPr>
                        <a:xfrm>
                          <a:ext cx="628015" cy="1739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CÓDIGOS</w:t>
                            </w:r>
                          </w:p>
                        </w:txbxContent>
                      </wps:txbx>
                      <wps:bodyPr wrap="none" lIns="0" tIns="0" rIns="0" bIns="0">
                        <a:noAutoFit/>
                      </wps:bodyPr>
                    </wps:wsp>
                  </a:graphicData>
                </a:graphic>
              </wp:anchor>
            </w:drawing>
          </mc:Choice>
          <mc:Fallback>
            <w:pict>
              <v:shape id="_x0000_s1195" type="#_x0000_t202" style="position:absolute;margin-left:62.549999999999997pt;margin-top:10.300000000000001pt;width:49.450000000000003pt;height:13.699999999999999pt;z-index:-125829304;mso-wrap-distance-left:0;mso-wrap-distance-top:10.300000000000001pt;mso-wrap-distance-right:0;mso-wrap-distance-bottom:12.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CÓDIGOS</w:t>
                      </w:r>
                    </w:p>
                  </w:txbxContent>
                </v:textbox>
                <w10:wrap type="topAndBottom" anchorx="page"/>
              </v:shape>
            </w:pict>
          </mc:Fallback>
        </mc:AlternateContent>
      </w:r>
      <w:r>
        <mc:AlternateContent>
          <mc:Choice Requires="wps">
            <w:drawing>
              <wp:anchor distT="130810" distB="156210" distL="0" distR="0" simplePos="0" relativeHeight="125829451" behindDoc="0" locked="0" layoutInCell="1" allowOverlap="1">
                <wp:simplePos x="0" y="0"/>
                <wp:positionH relativeFrom="page">
                  <wp:posOffset>2388235</wp:posOffset>
                </wp:positionH>
                <wp:positionV relativeFrom="paragraph">
                  <wp:posOffset>130810</wp:posOffset>
                </wp:positionV>
                <wp:extent cx="1048385" cy="176530"/>
                <wp:wrapTopAndBottom/>
                <wp:docPr id="171" name="Shape 171"/>
                <a:graphic xmlns:a="http://schemas.openxmlformats.org/drawingml/2006/main">
                  <a:graphicData uri="http://schemas.microsoft.com/office/word/2010/wordprocessingShape">
                    <wps:wsp>
                      <wps:cNvSpPr txBox="1"/>
                      <wps:spPr>
                        <a:xfrm>
                          <a:ext cx="1048385" cy="1765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xbxContent>
                      </wps:txbx>
                      <wps:bodyPr wrap="none" lIns="0" tIns="0" rIns="0" bIns="0">
                        <a:noAutoFit/>
                      </wps:bodyPr>
                    </wps:wsp>
                  </a:graphicData>
                </a:graphic>
              </wp:anchor>
            </w:drawing>
          </mc:Choice>
          <mc:Fallback>
            <w:pict>
              <v:shape id="_x0000_s1197" type="#_x0000_t202" style="position:absolute;margin-left:188.05000000000001pt;margin-top:10.300000000000001pt;width:82.549999999999997pt;height:13.9pt;z-index:-125829302;mso-wrap-distance-left:0;mso-wrap-distance-top:10.300000000000001pt;mso-wrap-distance-right:0;mso-wrap-distance-bottom:12.3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xbxContent>
                </v:textbox>
                <w10:wrap type="topAndBottom" anchorx="page"/>
              </v:shape>
            </w:pict>
          </mc:Fallback>
        </mc:AlternateContent>
      </w:r>
      <w:r>
        <mc:AlternateContent>
          <mc:Choice Requires="wps">
            <w:drawing>
              <wp:anchor distT="0" distB="0" distL="0" distR="0" simplePos="0" relativeHeight="125829453" behindDoc="0" locked="0" layoutInCell="1" allowOverlap="1">
                <wp:simplePos x="0" y="0"/>
                <wp:positionH relativeFrom="page">
                  <wp:posOffset>4336415</wp:posOffset>
                </wp:positionH>
                <wp:positionV relativeFrom="paragraph">
                  <wp:posOffset>0</wp:posOffset>
                </wp:positionV>
                <wp:extent cx="5376545" cy="463550"/>
                <wp:wrapTopAndBottom/>
                <wp:docPr id="173" name="Shape 173"/>
                <a:graphic xmlns:a="http://schemas.openxmlformats.org/drawingml/2006/main">
                  <a:graphicData uri="http://schemas.microsoft.com/office/word/2010/wordprocessingShape">
                    <wps:wsp>
                      <wps:cNvSpPr txBox="1"/>
                      <wps:spPr>
                        <a:xfrm>
                          <a:ext cx="5376545" cy="463550"/>
                        </a:xfrm>
                        <a:prstGeom prst="rect"/>
                        <a:noFill/>
                      </wps:spPr>
                      <wps:txbx>
                        <w:txbxContent>
                          <w:tbl>
                            <w:tblPr>
                              <w:tblOverlap w:val="never"/>
                              <w:jc w:val="left"/>
                              <w:tblLayout w:type="fixed"/>
                            </w:tblPr>
                            <w:tblGrid>
                              <w:gridCol w:w="1411"/>
                              <w:gridCol w:w="1411"/>
                              <w:gridCol w:w="1421"/>
                              <w:gridCol w:w="1426"/>
                              <w:gridCol w:w="1426"/>
                              <w:gridCol w:w="1373"/>
                            </w:tblGrid>
                            <w:tr>
                              <w:trPr>
                                <w:tblHeader/>
                                <w:trHeight w:val="365" w:hRule="exact"/>
                              </w:trPr>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line="1" w:lineRule="exact"/>
                            </w:pPr>
                          </w:p>
                        </w:txbxContent>
                      </wps:txbx>
                      <wps:bodyPr lIns="0" tIns="0" rIns="0" bIns="0">
                        <a:noAutoFit/>
                      </wps:bodyPr>
                    </wps:wsp>
                  </a:graphicData>
                </a:graphic>
              </wp:anchor>
            </w:drawing>
          </mc:Choice>
          <mc:Fallback>
            <w:pict>
              <v:shape id="_x0000_s1199" type="#_x0000_t202" style="position:absolute;margin-left:341.44999999999999pt;margin-top:0;width:423.35000000000002pt;height:36.5pt;z-index:-125829300;mso-wrap-distance-left:0;mso-wrap-distance-right:0;mso-position-horizontal-relative:page" filled="f" stroked="f">
                <v:textbox inset="0,0,0,0">
                  <w:txbxContent>
                    <w:tbl>
                      <w:tblPr>
                        <w:tblOverlap w:val="never"/>
                        <w:jc w:val="left"/>
                        <w:tblLayout w:type="fixed"/>
                      </w:tblPr>
                      <w:tblGrid>
                        <w:gridCol w:w="1411"/>
                        <w:gridCol w:w="1411"/>
                        <w:gridCol w:w="1421"/>
                        <w:gridCol w:w="1426"/>
                        <w:gridCol w:w="1426"/>
                        <w:gridCol w:w="1373"/>
                      </w:tblGrid>
                      <w:tr>
                        <w:trPr>
                          <w:tblHeader/>
                          <w:trHeight w:val="365" w:hRule="exact"/>
                        </w:trPr>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line="1" w:lineRule="exact"/>
                      </w:pPr>
                    </w:p>
                  </w:txbxContent>
                </v:textbox>
                <w10:wrap type="topAndBottom" anchorx="page"/>
              </v:shape>
            </w:pict>
          </mc:Fallback>
        </mc:AlternateContent>
      </w:r>
    </w:p>
    <w:p>
      <w:pPr>
        <w:pStyle w:val="Style54"/>
        <w:keepNext/>
        <w:keepLines/>
        <w:widowControl w:val="0"/>
        <w:shd w:val="clear" w:color="auto" w:fill="auto"/>
        <w:bidi w:val="0"/>
        <w:spacing w:before="0" w:after="0" w:line="240" w:lineRule="auto"/>
        <w:ind w:left="860" w:right="0" w:firstLine="0"/>
        <w:jc w:val="left"/>
      </w:pPr>
      <w:bookmarkStart w:id="34" w:name="bookmark34"/>
      <w:r>
        <w:rPr>
          <w:color w:val="000000"/>
          <w:spacing w:val="0"/>
          <w:w w:val="100"/>
          <w:position w:val="0"/>
          <w:shd w:val="clear" w:color="auto" w:fill="auto"/>
          <w:lang w:val="pt-PT" w:eastAsia="pt-PT" w:bidi="pt-PT"/>
        </w:rPr>
        <w:t>03 ADMINISTRACAO INDIRETA</w:t>
      </w:r>
      <w:bookmarkEnd w:id="34"/>
    </w:p>
    <w:p>
      <w:pPr>
        <w:pStyle w:val="Style54"/>
        <w:keepNext/>
        <w:keepLines/>
        <w:widowControl w:val="0"/>
        <w:shd w:val="clear" w:color="auto" w:fill="auto"/>
        <w:bidi w:val="0"/>
        <w:spacing w:before="0" w:after="140" w:line="240" w:lineRule="auto"/>
        <w:ind w:left="460" w:right="0" w:firstLine="0"/>
        <w:jc w:val="left"/>
      </w:pPr>
      <w:bookmarkStart w:id="35" w:name="bookmark35"/>
      <w:r>
        <w:rPr>
          <w:color w:val="000000"/>
          <w:spacing w:val="0"/>
          <w:w w:val="100"/>
          <w:position w:val="0"/>
          <w:shd w:val="clear" w:color="auto" w:fill="auto"/>
          <w:lang w:val="pt-PT" w:eastAsia="pt-PT" w:bidi="pt-PT"/>
        </w:rPr>
        <w:t>03.004 SISTEMA DE PREVIDENCIA - SISPREV</w:t>
      </w:r>
      <w:bookmarkEnd w:id="35"/>
    </w:p>
    <w:p>
      <w:pPr>
        <w:pStyle w:val="Style29"/>
        <w:keepNext w:val="0"/>
        <w:keepLines w:val="0"/>
        <w:widowControl w:val="0"/>
        <w:shd w:val="clear" w:color="auto" w:fill="auto"/>
        <w:bidi w:val="0"/>
        <w:spacing w:before="0" w:after="0" w:line="295" w:lineRule="auto"/>
        <w:ind w:left="0" w:right="8640" w:firstLine="0"/>
        <w:jc w:val="right"/>
      </w:pPr>
      <w:r>
        <w:rPr>
          <w:color w:val="000000"/>
          <w:spacing w:val="0"/>
          <w:w w:val="100"/>
          <w:position w:val="0"/>
          <w:shd w:val="clear" w:color="auto" w:fill="auto"/>
          <w:lang w:val="pt-PT" w:eastAsia="pt-PT" w:bidi="pt-PT"/>
        </w:rPr>
        <w:t>0014 AMPLIACAO E REFORMA DO PREDIO DO SISPREV 09.122.1.030 AMPLIACAO E REFORMA DO PREDIO DO SISPREV</w:t>
      </w:r>
    </w:p>
    <w:tbl>
      <w:tblPr>
        <w:tblOverlap w:val="never"/>
        <w:jc w:val="center"/>
        <w:tblLayout w:type="fixed"/>
      </w:tblPr>
      <w:tblGrid>
        <w:gridCol w:w="1190"/>
        <w:gridCol w:w="4541"/>
        <w:gridCol w:w="1570"/>
        <w:gridCol w:w="1411"/>
        <w:gridCol w:w="1358"/>
        <w:gridCol w:w="1426"/>
        <w:gridCol w:w="1426"/>
        <w:gridCol w:w="1248"/>
      </w:tblGrid>
      <w:tr>
        <w:trPr>
          <w:trHeight w:val="25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4.4.90.51.00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Obras e Instalações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14.821,03</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123.948,00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129.525,66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134.706,69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139.825,54</w:t>
            </w:r>
          </w:p>
        </w:tc>
      </w:tr>
      <w:tr>
        <w:trPr>
          <w:trHeight w:val="326"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14.821,03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123.948,00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129.525,66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134.706,69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139.825,54</w:t>
            </w:r>
          </w:p>
        </w:tc>
      </w:tr>
      <w:tr>
        <w:trPr>
          <w:trHeight w:val="278"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0042 PREVIDENCIA SOCIAL BASICA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09.271.2.048 MANUTENCAO E FUNCIONAMENTO DO SISTEMA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389.438,10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567.732,05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725.091,92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757.721,06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788.029,90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817.975,04</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3.1.90.94.00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Trabalhistas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23.228,66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130.786,40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118.783,50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124.128,76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129.093,91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133.999,48</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197"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78.400,00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45.600,00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77.467,50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80.953,54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84.191,68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87.390,96</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51.445,71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17.577,05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2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6.197,40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6.476,28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6.735,33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6.991,27</w:t>
            </w:r>
          </w:p>
        </w:tc>
      </w:tr>
      <w:tr>
        <w:trPr>
          <w:trHeight w:val="2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Serviços de Consultoria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66.552,60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306.414,47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333.392,41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123.948,00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129.525,66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134.706,69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139.825,54</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3.3.90.47.00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Tributárias e Contributivas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4.287,60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16.526,40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17.270,09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17.960,89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18.643,40</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1.762,86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41,23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2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3.3.90.93.00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e Restituições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5.979,00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6.800,00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4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72.510,00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1.001.619,00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1.151.929,14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1.181.633,72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1.234.807,25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1.284.199,54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1.332.999,13</w:t>
            </w:r>
          </w:p>
        </w:tc>
      </w:tr>
    </w:tbl>
    <w:p>
      <w:pPr>
        <w:widowControl w:val="0"/>
        <w:spacing w:after="79" w:line="1" w:lineRule="exact"/>
      </w:pPr>
    </w:p>
    <w:p>
      <w:pPr>
        <w:pStyle w:val="Style29"/>
        <w:keepNext w:val="0"/>
        <w:keepLines w:val="0"/>
        <w:widowControl w:val="0"/>
        <w:shd w:val="clear" w:color="auto" w:fill="auto"/>
        <w:bidi w:val="0"/>
        <w:spacing w:before="0" w:after="0" w:line="240" w:lineRule="auto"/>
        <w:ind w:left="680" w:right="0" w:firstLine="0"/>
        <w:jc w:val="left"/>
      </w:pPr>
      <w:r>
        <w:rPr>
          <w:color w:val="000000"/>
          <w:spacing w:val="0"/>
          <w:w w:val="100"/>
          <w:position w:val="0"/>
          <w:shd w:val="clear" w:color="auto" w:fill="auto"/>
          <w:lang w:val="pt-PT" w:eastAsia="pt-PT" w:bidi="pt-PT"/>
        </w:rPr>
        <w:t>0222 INATIVOS E PENSIONISTAS</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09.272.2.062 ENCARGOS COM INATIVOS PENSIONISTAS E</w:t>
      </w:r>
    </w:p>
    <w:tbl>
      <w:tblPr>
        <w:tblOverlap w:val="never"/>
        <w:jc w:val="center"/>
        <w:tblLayout w:type="fixed"/>
      </w:tblPr>
      <w:tblGrid>
        <w:gridCol w:w="1190"/>
        <w:gridCol w:w="4550"/>
        <w:gridCol w:w="1464"/>
        <w:gridCol w:w="1440"/>
        <w:gridCol w:w="1421"/>
        <w:gridCol w:w="1426"/>
        <w:gridCol w:w="1426"/>
        <w:gridCol w:w="1258"/>
      </w:tblGrid>
      <w:tr>
        <w:trPr>
          <w:trHeight w:val="2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3.1.90.01.00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Aposent.do RPPS, Reser.e Refor. Remun.Militares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7.937.107,65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8.729.977,83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3.621.283,13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6.805.556,21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7.077.778,46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7.346.734,04</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3.1.90.03.00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Pensões do RPPS e do Militar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2.362.205,67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2.515.689,43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1.504.191,61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1.571.880,23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1.634.755,44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1.696.876,15</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3.1.90.05.00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Benefícios Previd.do Servidor ou Militar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644.653,55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673.662,96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700.609,48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727.232,64</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130.367,27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136.233,80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141.683,15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147.067,11</w:t>
            </w:r>
          </w:p>
        </w:tc>
      </w:tr>
      <w:tr>
        <w:trPr>
          <w:trHeight w:val="883" w:hRule="exact"/>
        </w:trPr>
        <w:tc>
          <w:tcPr>
            <w:gridSpan w:val="2"/>
            <w:tcBorders>
              <w:top w:val="single" w:sz="4"/>
            </w:tcBorders>
            <w:shd w:val="clear" w:color="auto" w:fill="FFFFFF"/>
            <w:vAlign w:val="bottom"/>
          </w:tcPr>
          <w:p>
            <w:pPr>
              <w:pStyle w:val="Style23"/>
              <w:keepNext w:val="0"/>
              <w:keepLines w:val="0"/>
              <w:widowControl w:val="0"/>
              <w:shd w:val="clear" w:color="auto" w:fill="auto"/>
              <w:bidi w:val="0"/>
              <w:spacing w:before="0" w:after="100" w:line="240" w:lineRule="auto"/>
              <w:ind w:left="33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p>
            <w:pPr>
              <w:pStyle w:val="Style23"/>
              <w:keepNext w:val="0"/>
              <w:keepLines w:val="0"/>
              <w:widowControl w:val="0"/>
              <w:shd w:val="clear" w:color="auto" w:fill="auto"/>
              <w:bidi w:val="0"/>
              <w:spacing w:before="0" w:after="40" w:line="240" w:lineRule="auto"/>
              <w:ind w:left="680" w:right="0" w:firstLine="0"/>
              <w:jc w:val="left"/>
            </w:pPr>
            <w:r>
              <w:rPr>
                <w:rFonts w:ascii="Arial" w:eastAsia="Arial" w:hAnsi="Arial" w:cs="Arial"/>
                <w:color w:val="000000"/>
                <w:spacing w:val="0"/>
                <w:w w:val="100"/>
                <w:position w:val="0"/>
                <w:shd w:val="clear" w:color="auto" w:fill="auto"/>
                <w:lang w:val="pt-PT" w:eastAsia="pt-PT" w:bidi="pt-PT"/>
              </w:rPr>
              <w:t>0223 SERVICOS DA DIVIDA INTERNA</w:t>
            </w:r>
          </w:p>
          <w:p>
            <w:pPr>
              <w:pStyle w:val="Style23"/>
              <w:keepNext w:val="0"/>
              <w:keepLines w:val="0"/>
              <w:widowControl w:val="0"/>
              <w:shd w:val="clear" w:color="auto" w:fill="auto"/>
              <w:bidi w:val="0"/>
              <w:spacing w:before="0" w:after="6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28.843.2.091 AMORTIZACAO E ENCARGOS DA DIVIDA INTERNA</w:t>
            </w:r>
          </w:p>
        </w:tc>
        <w:tc>
          <w:tcPr>
            <w:tcBorders>
              <w:top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10.299.313,32</w:t>
            </w:r>
          </w:p>
        </w:tc>
        <w:tc>
          <w:tcPr>
            <w:tcBorders>
              <w:top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11.245.667,26</w:t>
            </w:r>
          </w:p>
        </w:tc>
        <w:tc>
          <w:tcPr>
            <w:tcBorders>
              <w:top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5.900.495,56</w:t>
            </w:r>
          </w:p>
        </w:tc>
        <w:tc>
          <w:tcPr>
            <w:tcBorders>
              <w:top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9.187.333,20</w:t>
            </w:r>
          </w:p>
        </w:tc>
        <w:tc>
          <w:tcPr>
            <w:tcBorders>
              <w:top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9.554.826,53</w:t>
            </w:r>
          </w:p>
        </w:tc>
        <w:tc>
          <w:tcPr>
            <w:tcBorders>
              <w:top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9.917.909,94</w:t>
            </w:r>
          </w:p>
        </w:tc>
      </w:tr>
      <w:tr>
        <w:trPr>
          <w:trHeight w:val="283"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3.2.90.21.00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Juros sobre a Dívida por Contrato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1.457,14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1.487,29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3.495,64</w:t>
            </w:r>
          </w:p>
        </w:tc>
      </w:tr>
    </w:tbl>
    <w:p>
      <w:pPr>
        <w:sectPr>
          <w:headerReference w:type="default" r:id="rId85"/>
          <w:footerReference w:type="default" r:id="rId86"/>
          <w:footnotePr>
            <w:pos w:val="pageBottom"/>
            <w:numFmt w:val="decimal"/>
            <w:numRestart w:val="continuous"/>
          </w:footnotePr>
          <w:pgSz w:w="16840" w:h="11900" w:orient="landscape"/>
          <w:pgMar w:top="2883" w:left="1155" w:right="1501" w:bottom="881" w:header="0" w:footer="453" w:gutter="0"/>
          <w:pgNumType w:start="39"/>
          <w:cols w:space="720"/>
          <w:noEndnote/>
          <w:rtlGutter w:val="0"/>
          <w:docGrid w:linePitch="360"/>
        </w:sectPr>
      </w:pPr>
    </w:p>
    <w:p>
      <w:pPr>
        <w:pStyle w:val="Style59"/>
        <w:keepNext/>
        <w:keepLines/>
        <w:widowControl w:val="0"/>
        <w:shd w:val="clear" w:color="auto" w:fill="auto"/>
        <w:bidi w:val="0"/>
        <w:spacing w:before="0" w:after="0" w:line="240" w:lineRule="auto"/>
        <w:ind w:right="0" w:firstLine="0"/>
        <w:jc w:val="left"/>
      </w:pPr>
      <w:bookmarkStart w:id="36" w:name="bookmark36"/>
      <w:r>
        <w:rPr>
          <w:color w:val="000000"/>
          <w:spacing w:val="0"/>
          <w:w w:val="100"/>
          <w:position w:val="0"/>
          <w:shd w:val="clear" w:color="auto" w:fill="auto"/>
          <w:lang w:val="pt-PT" w:eastAsia="pt-PT" w:bidi="pt-PT"/>
        </w:rPr>
        <w:t>Prefeitura Municipal de Maués</w:t>
      </w:r>
      <w:bookmarkEnd w:id="36"/>
    </w:p>
    <w:p>
      <w:pPr>
        <w:pStyle w:val="Style29"/>
        <w:keepNext w:val="0"/>
        <w:keepLines w:val="0"/>
        <w:widowControl w:val="0"/>
        <w:shd w:val="clear" w:color="auto" w:fill="auto"/>
        <w:bidi w:val="0"/>
        <w:spacing w:before="0" w:after="0" w:line="240" w:lineRule="auto"/>
        <w:ind w:left="2620" w:right="0" w:firstLine="0"/>
        <w:jc w:val="left"/>
      </w:pPr>
      <w:r>
        <w:rPr>
          <w:color w:val="000000"/>
          <w:spacing w:val="0"/>
          <w:w w:val="100"/>
          <w:position w:val="0"/>
          <w:shd w:val="clear" w:color="auto" w:fill="auto"/>
          <w:lang w:val="pt-PT" w:eastAsia="pt-PT" w:bidi="pt-PT"/>
        </w:rPr>
        <w:t>ESTADO DO AMAZONAS</w:t>
      </w:r>
    </w:p>
    <w:p>
      <w:pPr>
        <w:pStyle w:val="Style33"/>
        <w:keepNext w:val="0"/>
        <w:keepLines w:val="0"/>
        <w:widowControl w:val="0"/>
        <w:shd w:val="clear" w:color="auto" w:fill="auto"/>
        <w:bidi w:val="0"/>
        <w:spacing w:before="0" w:after="0" w:line="240" w:lineRule="auto"/>
        <w:ind w:left="2563"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33"/>
        <w:keepNext w:val="0"/>
        <w:keepLines w:val="0"/>
        <w:widowControl w:val="0"/>
        <w:shd w:val="clear" w:color="auto" w:fill="auto"/>
        <w:bidi w:val="0"/>
        <w:spacing w:before="0" w:after="0" w:line="240" w:lineRule="auto"/>
        <w:ind w:left="2563"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33"/>
        <w:keepNext w:val="0"/>
        <w:keepLines w:val="0"/>
        <w:widowControl w:val="0"/>
        <w:shd w:val="clear" w:color="auto" w:fill="auto"/>
        <w:bidi w:val="0"/>
        <w:spacing w:before="0" w:after="0" w:line="240" w:lineRule="auto"/>
        <w:ind w:left="2563"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tbl>
      <w:tblPr>
        <w:tblOverlap w:val="never"/>
        <w:jc w:val="center"/>
        <w:tblLayout w:type="fixed"/>
      </w:tblPr>
      <w:tblGrid>
        <w:gridCol w:w="1195"/>
        <w:gridCol w:w="4493"/>
        <w:gridCol w:w="1507"/>
        <w:gridCol w:w="1411"/>
        <w:gridCol w:w="1416"/>
        <w:gridCol w:w="1426"/>
        <w:gridCol w:w="1426"/>
        <w:gridCol w:w="1248"/>
      </w:tblGrid>
      <w:tr>
        <w:trPr>
          <w:trHeight w:val="24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4.6.90.71.00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Principal da Dívida Contratual Resgatado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47.772,70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6.073,08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16.526,40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17.270,09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17.960,89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18.643,40</w:t>
            </w:r>
          </w:p>
        </w:tc>
      </w:tr>
      <w:tr>
        <w:trPr>
          <w:trHeight w:val="331"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49.229,84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7.560,37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19.625,10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20.508,23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21.328,56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22.139,04</w:t>
            </w:r>
          </w:p>
        </w:tc>
      </w:tr>
      <w:tr>
        <w:trPr>
          <w:trHeight w:val="278"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9999 RESERVA DE CONTINGENCIA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99.999.9.002 RESERVA DE CONTINGENCIA - SISPREV</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02"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9.9.99.99.99</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Reserva de Contingência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2.944.944,66</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3.077.467,17</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3.200.565,86</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3.322.187,36</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2.944.944,66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3.077.467,17</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3.200.565,86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3.322.187,36</w:t>
            </w:r>
          </w:p>
        </w:tc>
      </w:tr>
      <w:tr>
        <w:trPr>
          <w:trHeight w:val="27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11.364.983,19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12.405.156,77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10.170.647,04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13.649.641,51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14.195.627,18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14.735.061,01</w:t>
            </w:r>
          </w:p>
        </w:tc>
      </w:tr>
    </w:tbl>
    <w:p>
      <w:pPr>
        <w:sectPr>
          <w:headerReference w:type="default" r:id="rId87"/>
          <w:footerReference w:type="default" r:id="rId88"/>
          <w:footnotePr>
            <w:pos w:val="pageBottom"/>
            <w:numFmt w:val="decimal"/>
            <w:numRestart w:val="continuous"/>
          </w:footnotePr>
          <w:pgSz w:w="16840" w:h="11900" w:orient="landscape"/>
          <w:pgMar w:top="657" w:left="1162" w:right="1546" w:bottom="657" w:header="0" w:footer="229" w:gutter="0"/>
          <w:cols w:space="720"/>
          <w:noEndnote/>
          <w:rtlGutter w:val="0"/>
          <w:docGrid w:linePitch="360"/>
        </w:sectPr>
      </w:pP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p>
      <w:pPr>
        <w:pStyle w:val="Style54"/>
        <w:keepNext/>
        <w:keepLines/>
        <w:widowControl w:val="0"/>
        <w:shd w:val="clear" w:color="auto" w:fill="auto"/>
        <w:bidi w:val="0"/>
        <w:spacing w:before="0" w:after="40" w:line="240" w:lineRule="auto"/>
        <w:ind w:left="860" w:right="0" w:firstLine="0"/>
        <w:jc w:val="left"/>
      </w:pPr>
      <w:bookmarkStart w:id="37" w:name="bookmark37"/>
      <w:r>
        <w:rPr>
          <w:color w:val="000000"/>
          <w:spacing w:val="0"/>
          <w:w w:val="100"/>
          <w:position w:val="0"/>
          <w:shd w:val="clear" w:color="auto" w:fill="auto"/>
          <w:lang w:val="pt-PT" w:eastAsia="pt-PT" w:bidi="pt-PT"/>
        </w:rPr>
        <w:t>03 ADMINISTRACAO INDIRETA</w:t>
      </w:r>
      <w:bookmarkEnd w:id="37"/>
    </w:p>
    <w:p>
      <w:pPr>
        <w:pStyle w:val="Style54"/>
        <w:keepNext/>
        <w:keepLines/>
        <w:widowControl w:val="0"/>
        <w:shd w:val="clear" w:color="auto" w:fill="auto"/>
        <w:bidi w:val="0"/>
        <w:spacing w:before="0" w:after="140" w:line="240" w:lineRule="auto"/>
        <w:ind w:left="460" w:right="0" w:firstLine="0"/>
        <w:jc w:val="left"/>
      </w:pPr>
      <w:bookmarkStart w:id="38" w:name="bookmark38"/>
      <w:r>
        <w:rPr>
          <w:color w:val="000000"/>
          <w:spacing w:val="0"/>
          <w:w w:val="100"/>
          <w:position w:val="0"/>
          <w:shd w:val="clear" w:color="auto" w:fill="auto"/>
          <w:lang w:val="pt-PT" w:eastAsia="pt-PT" w:bidi="pt-PT"/>
        </w:rPr>
        <w:t>03.006 FUNDO MUNICIPAL DE ASSISTENCIA SOCIAL</w:t>
      </w:r>
      <w:bookmarkEnd w:id="38"/>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0034 ATENCAO COMUNITARIA</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08.244.2.068 ENC. COM PROG. - PISO FIXO DE MEDIA</w:t>
      </w:r>
    </w:p>
    <w:tbl>
      <w:tblPr>
        <w:tblOverlap w:val="never"/>
        <w:jc w:val="center"/>
        <w:tblLayout w:type="fixed"/>
      </w:tblPr>
      <w:tblGrid>
        <w:gridCol w:w="1114"/>
        <w:gridCol w:w="4642"/>
        <w:gridCol w:w="1517"/>
        <w:gridCol w:w="1406"/>
        <w:gridCol w:w="1382"/>
        <w:gridCol w:w="1426"/>
        <w:gridCol w:w="1426"/>
        <w:gridCol w:w="1181"/>
      </w:tblGrid>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3.3.90.04.00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44.621,28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46.629,24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48.494,41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50.337,20</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1.079,38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1.122,56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1.165,22</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46.013,02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43.926,50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36.151,50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37.778,32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39.289,45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40.782,45</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1.079,38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1.122,56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1.165,22</w:t>
            </w:r>
          </w:p>
        </w:tc>
      </w:tr>
      <w:tr>
        <w:trPr>
          <w:trHeight w:val="22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1.079,38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1.122,56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1.165,22</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28.244,50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12.325,00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1.079,38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1.122,56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1.165,22</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1.079,38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1.122,56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1.165,22</w:t>
            </w:r>
          </w:p>
        </w:tc>
      </w:tr>
      <w:tr>
        <w:trPr>
          <w:trHeight w:val="302"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74.257,52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56.251,50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96.266,28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100.598,26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104.622,22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108.597,89</w:t>
            </w:r>
          </w:p>
        </w:tc>
      </w:tr>
    </w:tbl>
    <w:p>
      <w:pPr>
        <w:widowControl w:val="0"/>
        <w:spacing w:after="7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0034 ATENCAO COMUNITARIA</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08.244.2.069 ENC. COM PROG.- PISO DE TRANSICAO DE MEDIA</w:t>
      </w:r>
    </w:p>
    <w:tbl>
      <w:tblPr>
        <w:tblOverlap w:val="never"/>
        <w:jc w:val="center"/>
        <w:tblLayout w:type="fixed"/>
      </w:tblPr>
      <w:tblGrid>
        <w:gridCol w:w="1109"/>
        <w:gridCol w:w="4690"/>
        <w:gridCol w:w="1464"/>
        <w:gridCol w:w="1454"/>
        <w:gridCol w:w="1416"/>
        <w:gridCol w:w="1387"/>
        <w:gridCol w:w="1426"/>
        <w:gridCol w:w="1142"/>
      </w:tblGrid>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3.717,95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43.167,02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1.549,35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1.619,07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1.683,83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1.549,35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1.619,07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1.683,83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24.350,50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6.403,98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6.692,16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6.959,85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7.224,32</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3.717,95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67.517,52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9.502,68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9.930,30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10.327,51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10.719,96</w:t>
            </w:r>
          </w:p>
        </w:tc>
      </w:tr>
    </w:tbl>
    <w:p>
      <w:pPr>
        <w:widowControl w:val="0"/>
        <w:spacing w:after="7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0034 ATENCAO COMUNITARIA</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08.244.2.070 ENC. COM PROG. -SERVICOS DE CONV. E</w:t>
      </w:r>
    </w:p>
    <w:tbl>
      <w:tblPr>
        <w:tblOverlap w:val="never"/>
        <w:jc w:val="center"/>
        <w:tblLayout w:type="fixed"/>
      </w:tblPr>
      <w:tblGrid>
        <w:gridCol w:w="1114"/>
        <w:gridCol w:w="4603"/>
        <w:gridCol w:w="1555"/>
        <w:gridCol w:w="1363"/>
        <w:gridCol w:w="1421"/>
        <w:gridCol w:w="1426"/>
        <w:gridCol w:w="1426"/>
        <w:gridCol w:w="1186"/>
      </w:tblGrid>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3.3.90.04.00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49.961,37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52.209,63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54.298,02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56.361,34</w:t>
            </w:r>
          </w:p>
        </w:tc>
      </w:tr>
      <w:tr>
        <w:trPr>
          <w:trHeight w:val="19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10.793,81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11.225,56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11.652,13</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152.758,25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80.330,20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41.966,73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43.855,23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45.609,44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47.342,60</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36.151,50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37.778,32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39.289,45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40.782,45</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56.809,50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59.365,93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61.740,57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64.086,71</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53.660,00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17.885,30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46.480,50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48.572,12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50.515,00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52.434,57</w:t>
            </w:r>
          </w:p>
        </w:tc>
      </w:tr>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10.793,81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11.225,56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11.652,13</w:t>
            </w:r>
          </w:p>
        </w:tc>
      </w:tr>
      <w:tr>
        <w:trPr>
          <w:trHeight w:val="25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206.418,25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98.215,50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257.192,10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268.765,75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279.516,38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290.138,00</w:t>
            </w:r>
          </w:p>
        </w:tc>
      </w:tr>
    </w:tbl>
    <w:p>
      <w:pPr>
        <w:spacing w:lineRule="exact" w:line="1"/>
        <w:rPr>
          <w:sz w:val="2"/>
          <w:szCs w:val="2"/>
        </w:rPr>
      </w:pP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13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0034 ATENCAO COMUNITARIA</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08.244.2.071 ENC. COM PROG. - FNAS PISO BASICO VARIAVEL</w:t>
      </w:r>
    </w:p>
    <w:tbl>
      <w:tblPr>
        <w:tblOverlap w:val="never"/>
        <w:jc w:val="center"/>
        <w:tblLayout w:type="fixed"/>
      </w:tblPr>
      <w:tblGrid>
        <w:gridCol w:w="5880"/>
        <w:gridCol w:w="1426"/>
        <w:gridCol w:w="1411"/>
        <w:gridCol w:w="1416"/>
        <w:gridCol w:w="1426"/>
        <w:gridCol w:w="1426"/>
        <w:gridCol w:w="1133"/>
      </w:tblGrid>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3.3.90.04.00 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19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 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2.065,80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2.158,76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2.245,11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29.991,25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24.479,73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25.581,32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26.604,57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27.615,54</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 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2.065,80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2.158,76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2.245,11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 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19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 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8.725,00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3.3.90.48.00 Outros Aux.Financeiros a Pessoas Físicas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2.065,80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2.158,76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2.245,11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w:t>
            </w:r>
          </w:p>
        </w:tc>
      </w:tr>
      <w:tr>
        <w:trPr>
          <w:trHeight w:val="331"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38.716,25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41.006,13</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42.851,40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44.565,46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46.258,94</w:t>
            </w:r>
          </w:p>
        </w:tc>
      </w:tr>
      <w:tr>
        <w:trPr>
          <w:trHeight w:val="278"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0034 ATENCAO COMUNITARIA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08.244.2.072 ENC. COM PROG.- PISO BASICO VARIAVEL III-</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78.808,80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45.202,11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47.236,21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49.125,66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50.992,44</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 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3.3.90.48.00 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5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 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331"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78.808,80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65.860,11</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68.823,81</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71.576,78</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74.296,72</w:t>
            </w:r>
          </w:p>
        </w:tc>
      </w:tr>
      <w:tr>
        <w:trPr>
          <w:trHeight w:val="27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0034 ATENCAO COMUNITARIA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08.244.2.073 ENCARGOS COM PROG. - FNAS PISO BASICO FIXO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9"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3.3.90.04.00 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146.537,52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153.131,71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159.256,98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165.308,75</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 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12.911,25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13.492,26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14.031,95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14.565,16</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209.348,05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336.280,50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62.624,73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65.442,84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68.060,55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70.646,85</w:t>
            </w:r>
          </w:p>
        </w:tc>
      </w:tr>
      <w:tr>
        <w:trPr>
          <w:trHeight w:val="22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 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 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62.782,88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146.309,00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3.3.90.48.00 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19.625,10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20.508,23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21.328,56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22.139,05</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 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13.427,70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14.031,95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14.593,23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15.147,77</w:t>
            </w:r>
          </w:p>
        </w:tc>
      </w:tr>
      <w:tr>
        <w:trPr>
          <w:trHeight w:val="25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 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98"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272.130,93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482.589,50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2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327.429,30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342.163,63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355.850,18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369.372,50</w:t>
            </w:r>
          </w:p>
        </w:tc>
      </w:tr>
    </w:tbl>
    <w:p>
      <w:pPr>
        <w:widowControl w:val="0"/>
        <w:spacing w:after="9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0034 ATENCAO COMUNITARIA</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08.244.2.075 ENC. COM PROG. - INDICE DE GESTAO</w:t>
      </w: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0"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r>
        <w:trPr>
          <w:trHeight w:val="322"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3.3.90.04.00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82.632,00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86.350,44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89.804,46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93.217,03</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6.197,40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6.476,28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6.735,33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6.991,27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224.152,85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304.293,54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155.967,90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162.986,46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169.505,92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175.947,15</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11.652,13</w:t>
            </w:r>
          </w:p>
        </w:tc>
      </w:tr>
      <w:tr>
        <w:trPr>
          <w:trHeight w:val="22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11.652,13</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11.652,13</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16.500,00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208.881,14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3.495,64</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3.495,64</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240.652,85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513.174,68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281.981,70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294.670,89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306.457,73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318.103,12</w:t>
            </w:r>
          </w:p>
        </w:tc>
      </w:tr>
    </w:tbl>
    <w:p>
      <w:pPr>
        <w:widowControl w:val="0"/>
        <w:spacing w:after="59" w:line="1" w:lineRule="exact"/>
      </w:pPr>
    </w:p>
    <w:p>
      <w:pPr>
        <w:pStyle w:val="Style29"/>
        <w:keepNext w:val="0"/>
        <w:keepLines w:val="0"/>
        <w:widowControl w:val="0"/>
        <w:shd w:val="clear" w:color="auto" w:fill="auto"/>
        <w:bidi w:val="0"/>
        <w:spacing w:before="0" w:after="60" w:line="240" w:lineRule="auto"/>
        <w:ind w:left="660" w:right="0" w:firstLine="0"/>
        <w:jc w:val="left"/>
      </w:pPr>
      <w:r>
        <w:rPr>
          <w:color w:val="000000"/>
          <w:spacing w:val="0"/>
          <w:w w:val="100"/>
          <w:position w:val="0"/>
          <w:shd w:val="clear" w:color="auto" w:fill="auto"/>
          <w:lang w:val="pt-PT" w:eastAsia="pt-PT" w:bidi="pt-PT"/>
        </w:rPr>
        <w:t>0034 ATENCAO COMUNITARIA</w:t>
      </w:r>
    </w:p>
    <w:p>
      <w:pPr>
        <w:pStyle w:val="Style29"/>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08.244.2.092 ENCARGOS COM PROG. - PRIMEIRA INFANCIA NO</w:t>
      </w:r>
    </w:p>
    <w:tbl>
      <w:tblPr>
        <w:tblOverlap w:val="never"/>
        <w:jc w:val="center"/>
        <w:tblLayout w:type="fixed"/>
      </w:tblPr>
      <w:tblGrid>
        <w:gridCol w:w="1114"/>
        <w:gridCol w:w="4531"/>
        <w:gridCol w:w="1522"/>
        <w:gridCol w:w="1406"/>
        <w:gridCol w:w="1421"/>
        <w:gridCol w:w="1483"/>
        <w:gridCol w:w="1426"/>
        <w:gridCol w:w="1181"/>
      </w:tblGrid>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3.3.90.04.00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207.270,23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216.597,39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225.261,29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233.821,22</w:t>
            </w:r>
          </w:p>
        </w:tc>
      </w:tr>
      <w:tr>
        <w:trPr>
          <w:trHeight w:val="19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19.242,93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20.108,86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20.913,21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21.707,91</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880.595,06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884.418,05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751.591,75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785.413,38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816.829,92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847.869,46</w:t>
            </w:r>
          </w:p>
        </w:tc>
      </w:tr>
      <w:tr>
        <w:trPr>
          <w:trHeight w:val="21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531.997,50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16.526,40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17.270,09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17.960,89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18.643,40</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127.710,15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141.406,10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17.559,30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18.349,47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19.083,45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19.808,62</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13.427,70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14.031,95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14.593,23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15.147,77</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2.854.888,00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42.135,62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16.526,40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17.270,09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17.960,89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18.643,40</w:t>
            </w:r>
          </w:p>
        </w:tc>
      </w:tr>
      <w:tr>
        <w:trPr>
          <w:trHeight w:val="302"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4.395.990,71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1.067.959,77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1.042.144,71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1.089.041,23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1.132.602,88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1.175.641,78</w:t>
            </w:r>
          </w:p>
        </w:tc>
      </w:tr>
    </w:tbl>
    <w:p>
      <w:pPr>
        <w:widowControl w:val="0"/>
        <w:spacing w:after="59" w:line="1" w:lineRule="exact"/>
      </w:pPr>
    </w:p>
    <w:p>
      <w:pPr>
        <w:pStyle w:val="Style29"/>
        <w:keepNext w:val="0"/>
        <w:keepLines w:val="0"/>
        <w:widowControl w:val="0"/>
        <w:shd w:val="clear" w:color="auto" w:fill="auto"/>
        <w:bidi w:val="0"/>
        <w:spacing w:before="0" w:after="60" w:line="240" w:lineRule="auto"/>
        <w:ind w:left="660" w:right="0" w:firstLine="0"/>
        <w:jc w:val="left"/>
      </w:pPr>
      <w:r>
        <w:rPr>
          <w:color w:val="000000"/>
          <w:spacing w:val="0"/>
          <w:w w:val="100"/>
          <w:position w:val="0"/>
          <w:shd w:val="clear" w:color="auto" w:fill="auto"/>
          <w:lang w:val="pt-PT" w:eastAsia="pt-PT" w:bidi="pt-PT"/>
        </w:rPr>
        <w:t>0034 ATENCAO COMUNITARIA</w:t>
      </w:r>
    </w:p>
    <w:p>
      <w:pPr>
        <w:pStyle w:val="Style29"/>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08.244.2.150 ACOES ESTRATEGICAS DO PETI</w:t>
      </w:r>
    </w:p>
    <w:tbl>
      <w:tblPr>
        <w:tblOverlap w:val="never"/>
        <w:jc w:val="center"/>
        <w:tblLayout w:type="fixed"/>
      </w:tblPr>
      <w:tblGrid>
        <w:gridCol w:w="6029"/>
        <w:gridCol w:w="1512"/>
        <w:gridCol w:w="1411"/>
        <w:gridCol w:w="1416"/>
        <w:gridCol w:w="1426"/>
        <w:gridCol w:w="1426"/>
        <w:gridCol w:w="941"/>
      </w:tblGrid>
      <w:tr>
        <w:trPr>
          <w:trHeight w:val="202"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 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31"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7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0034 ATENCAO COMUNITARIA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08.244.2.151 PROM. ACESSO AO MUNDO DO TRABALHO -</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50"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 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98"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bl>
    <w:p>
      <w:pPr>
        <w:spacing w:lineRule="exact" w:line="1"/>
        <w:rPr>
          <w:sz w:val="2"/>
          <w:szCs w:val="2"/>
        </w:rPr>
      </w:pP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13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0034 ATENCAO COMUNITARIA</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08.244.2.172 IMPLEM. E OPERAC. DAS ACOES DE ASSISTENCIA</w:t>
      </w:r>
    </w:p>
    <w:tbl>
      <w:tblPr>
        <w:tblOverlap w:val="never"/>
        <w:jc w:val="center"/>
        <w:tblLayout w:type="fixed"/>
      </w:tblPr>
      <w:tblGrid>
        <w:gridCol w:w="1190"/>
        <w:gridCol w:w="4493"/>
        <w:gridCol w:w="1555"/>
        <w:gridCol w:w="1411"/>
        <w:gridCol w:w="1416"/>
        <w:gridCol w:w="1426"/>
        <w:gridCol w:w="1426"/>
        <w:gridCol w:w="1248"/>
      </w:tblGrid>
      <w:tr>
        <w:trPr>
          <w:trHeight w:val="21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3.3.90.04.00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1.306.059,93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1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12.131.728,52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526.207,00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36"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13.963.995,45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8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74"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100" w:right="0" w:firstLine="0"/>
              <w:jc w:val="center"/>
            </w:pPr>
            <w:r>
              <w:rPr>
                <w:rFonts w:ascii="Arial" w:eastAsia="Arial" w:hAnsi="Arial" w:cs="Arial"/>
                <w:color w:val="000000"/>
                <w:spacing w:val="0"/>
                <w:w w:val="100"/>
                <w:position w:val="0"/>
                <w:shd w:val="clear" w:color="auto" w:fill="auto"/>
                <w:lang w:val="pt-PT" w:eastAsia="pt-PT" w:bidi="pt-PT"/>
              </w:rPr>
              <w:t>0033 ATENCAO A CRIANCA E AO ADOLESCENTE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08.122.2.209 FORTALECIMENTO DAS AÇÕES DE APOIO 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106.247,13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1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4.334.972,77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50"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100.295,00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4.541.514,90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7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19.274.688,71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6.827.223,37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2.121.383,01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2.216.845,27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2.305.519,14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2.393.128,91</w:t>
            </w:r>
          </w:p>
        </w:tc>
      </w:tr>
    </w:tbl>
    <w:p>
      <w:pPr>
        <w:sectPr>
          <w:headerReference w:type="default" r:id="rId89"/>
          <w:footerReference w:type="default" r:id="rId90"/>
          <w:footnotePr>
            <w:pos w:val="pageBottom"/>
            <w:numFmt w:val="decimal"/>
            <w:numRestart w:val="continuous"/>
          </w:footnotePr>
          <w:pgSz w:w="16840" w:h="11900" w:orient="landscape"/>
          <w:pgMar w:top="2171" w:left="1156" w:right="1515" w:bottom="830" w:header="0" w:footer="402" w:gutter="0"/>
          <w:cols w:space="720"/>
          <w:noEndnote/>
          <w:rtlGutter w:val="0"/>
          <w:docGrid w:linePitch="360"/>
        </w:sectPr>
      </w:pP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p>
      <w:pPr>
        <w:pStyle w:val="Style54"/>
        <w:keepNext/>
        <w:keepLines/>
        <w:widowControl w:val="0"/>
        <w:shd w:val="clear" w:color="auto" w:fill="auto"/>
        <w:bidi w:val="0"/>
        <w:spacing w:before="0" w:after="0" w:line="240" w:lineRule="auto"/>
        <w:ind w:left="840" w:right="0" w:firstLine="0"/>
        <w:jc w:val="left"/>
      </w:pPr>
      <w:bookmarkStart w:id="39" w:name="bookmark39"/>
      <w:r>
        <w:rPr>
          <w:color w:val="000000"/>
          <w:spacing w:val="0"/>
          <w:w w:val="100"/>
          <w:position w:val="0"/>
          <w:shd w:val="clear" w:color="auto" w:fill="auto"/>
          <w:lang w:val="pt-PT" w:eastAsia="pt-PT" w:bidi="pt-PT"/>
        </w:rPr>
        <w:t>03 ADMINISTRACAO INDIRETA</w:t>
      </w:r>
      <w:bookmarkEnd w:id="39"/>
    </w:p>
    <w:p>
      <w:pPr>
        <w:pStyle w:val="Style54"/>
        <w:keepNext/>
        <w:keepLines/>
        <w:widowControl w:val="0"/>
        <w:shd w:val="clear" w:color="auto" w:fill="auto"/>
        <w:bidi w:val="0"/>
        <w:spacing w:before="0" w:after="140" w:line="240" w:lineRule="auto"/>
        <w:ind w:left="460" w:right="0" w:firstLine="0"/>
        <w:jc w:val="left"/>
      </w:pPr>
      <w:bookmarkStart w:id="40" w:name="bookmark40"/>
      <w:r>
        <w:rPr>
          <w:color w:val="000000"/>
          <w:spacing w:val="0"/>
          <w:w w:val="100"/>
          <w:position w:val="0"/>
          <w:shd w:val="clear" w:color="auto" w:fill="auto"/>
          <w:lang w:val="pt-PT" w:eastAsia="pt-PT" w:bidi="pt-PT"/>
        </w:rPr>
        <w:t>03.007 FUNDO MUNICIPAL DA CULTURA</w:t>
      </w:r>
      <w:bookmarkEnd w:id="40"/>
    </w:p>
    <w:p>
      <w:pPr>
        <w:pStyle w:val="Style29"/>
        <w:keepNext w:val="0"/>
        <w:keepLines w:val="0"/>
        <w:widowControl w:val="0"/>
        <w:shd w:val="clear" w:color="auto" w:fill="auto"/>
        <w:bidi w:val="0"/>
        <w:spacing w:before="0" w:after="0" w:line="240" w:lineRule="auto"/>
        <w:ind w:left="660" w:right="0" w:firstLine="0"/>
        <w:jc w:val="left"/>
      </w:pPr>
      <w:r>
        <w:rPr>
          <w:color w:val="000000"/>
          <w:spacing w:val="0"/>
          <w:w w:val="100"/>
          <w:position w:val="0"/>
          <w:shd w:val="clear" w:color="auto" w:fill="auto"/>
          <w:lang w:val="pt-PT" w:eastAsia="pt-PT" w:bidi="pt-PT"/>
        </w:rPr>
        <w:t>0071 PROMOCAO CULTURAL</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13.392.2.058 MANUT. E FUNC. DO SISTEMA MUN. DE CULTURA</w:t>
      </w:r>
    </w:p>
    <w:tbl>
      <w:tblPr>
        <w:tblOverlap w:val="never"/>
        <w:jc w:val="center"/>
        <w:tblLayout w:type="fixed"/>
      </w:tblPr>
      <w:tblGrid>
        <w:gridCol w:w="1114"/>
        <w:gridCol w:w="4838"/>
        <w:gridCol w:w="1512"/>
        <w:gridCol w:w="1109"/>
        <w:gridCol w:w="1416"/>
        <w:gridCol w:w="1426"/>
        <w:gridCol w:w="1426"/>
        <w:gridCol w:w="1248"/>
      </w:tblGrid>
      <w:tr>
        <w:trPr>
          <w:trHeight w:val="197"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3.3.50.43.00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Subvenções Sociais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288.540,14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301.524,45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313.585,43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325.501,68</w:t>
            </w:r>
          </w:p>
        </w:tc>
      </w:tr>
      <w:tr>
        <w:trPr>
          <w:trHeight w:val="20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113.619,00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118.731,86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123.481,13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128.173,41</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Premiações Cult., Artíst.,Cient.,Desp.e Outras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113.619,00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118.731,86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123.481,13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128.173,41</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113.619,00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118.731,86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123.481,13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128.173,41</w:t>
            </w:r>
          </w:p>
        </w:tc>
      </w:tr>
      <w:tr>
        <w:trPr>
          <w:trHeight w:val="21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206.580,00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215.876,10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224.511,14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233.042,56</w:t>
            </w:r>
          </w:p>
        </w:tc>
      </w:tr>
      <w:tr>
        <w:trPr>
          <w:trHeight w:val="202"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323.814,15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336.766,72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349.563,86</w:t>
            </w:r>
          </w:p>
        </w:tc>
      </w:tr>
      <w:tr>
        <w:trPr>
          <w:trHeight w:val="21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50"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4.5.90.66.00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en-US" w:eastAsia="en-US" w:bidi="en-US"/>
              </w:rPr>
              <w:t>Conces.de</w:t>
            </w:r>
            <w:r>
              <w:rPr>
                <w:rFonts w:ascii="Arial" w:eastAsia="Arial" w:hAnsi="Arial" w:cs="Arial"/>
                <w:color w:val="000000"/>
                <w:spacing w:val="0"/>
                <w:w w:val="100"/>
                <w:position w:val="0"/>
                <w:shd w:val="clear" w:color="auto" w:fill="auto"/>
                <w:lang w:val="en-US" w:eastAsia="en-US" w:bidi="en-US"/>
              </w:rPr>
              <w:t xml:space="preserve"> </w:t>
            </w:r>
            <w:r>
              <w:rPr>
                <w:rFonts w:ascii="Arial" w:eastAsia="Arial" w:hAnsi="Arial" w:cs="Arial"/>
                <w:color w:val="000000"/>
                <w:spacing w:val="0"/>
                <w:w w:val="100"/>
                <w:position w:val="0"/>
                <w:shd w:val="clear" w:color="auto" w:fill="auto"/>
                <w:lang w:val="pt-PT" w:eastAsia="pt-PT" w:bidi="pt-PT"/>
              </w:rPr>
              <w:t>Empréstimos e Financiamentos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1.145.847,14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1.197.410,28</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1.245.306,68</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1.292.628,33</w:t>
            </w:r>
          </w:p>
        </w:tc>
      </w:tr>
      <w:tr>
        <w:trPr>
          <w:trHeight w:val="27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1.145.847,14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1.197.410,28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1.245.306,68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1.292.628,33</w:t>
            </w:r>
          </w:p>
        </w:tc>
      </w:tr>
    </w:tbl>
    <w:p>
      <w:pPr>
        <w:spacing w:lineRule="exact" w:line="1"/>
        <w:rPr>
          <w:sz w:val="2"/>
          <w:szCs w:val="2"/>
        </w:rPr>
      </w:pP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p>
      <w:pPr>
        <w:pStyle w:val="Style54"/>
        <w:keepNext/>
        <w:keepLines/>
        <w:widowControl w:val="0"/>
        <w:shd w:val="clear" w:color="auto" w:fill="auto"/>
        <w:bidi w:val="0"/>
        <w:spacing w:before="0" w:after="40" w:line="240" w:lineRule="auto"/>
        <w:ind w:left="840" w:right="0" w:firstLine="0"/>
        <w:jc w:val="left"/>
      </w:pPr>
      <w:bookmarkStart w:id="41" w:name="bookmark41"/>
      <w:r>
        <w:rPr>
          <w:color w:val="000000"/>
          <w:spacing w:val="0"/>
          <w:w w:val="100"/>
          <w:position w:val="0"/>
          <w:shd w:val="clear" w:color="auto" w:fill="auto"/>
          <w:lang w:val="pt-PT" w:eastAsia="pt-PT" w:bidi="pt-PT"/>
        </w:rPr>
        <w:t>03 ADMINISTRACAO INDIRETA</w:t>
      </w:r>
      <w:bookmarkEnd w:id="41"/>
    </w:p>
    <w:p>
      <w:pPr>
        <w:pStyle w:val="Style54"/>
        <w:keepNext/>
        <w:keepLines/>
        <w:widowControl w:val="0"/>
        <w:shd w:val="clear" w:color="auto" w:fill="auto"/>
        <w:bidi w:val="0"/>
        <w:spacing w:before="0" w:after="140" w:line="240" w:lineRule="auto"/>
        <w:ind w:left="460" w:right="0" w:firstLine="0"/>
        <w:jc w:val="left"/>
      </w:pPr>
      <w:bookmarkStart w:id="42" w:name="bookmark42"/>
      <w:r>
        <w:rPr>
          <w:color w:val="000000"/>
          <w:spacing w:val="0"/>
          <w:w w:val="100"/>
          <w:position w:val="0"/>
          <w:shd w:val="clear" w:color="auto" w:fill="auto"/>
          <w:lang w:val="pt-PT" w:eastAsia="pt-PT" w:bidi="pt-PT"/>
        </w:rPr>
        <w:t>03.009 FUNDO MUNICIPAL DE EDUCACAO</w:t>
      </w:r>
      <w:bookmarkEnd w:id="42"/>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0062 QUALIDADE DO ENSINO FUNDAMENTAL</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12.361.1.002 REF.,ADEQ. E CONS. DE UNIDADES EDUC. DO</w:t>
      </w:r>
    </w:p>
    <w:tbl>
      <w:tblPr>
        <w:tblOverlap w:val="never"/>
        <w:jc w:val="center"/>
        <w:tblLayout w:type="fixed"/>
      </w:tblPr>
      <w:tblGrid>
        <w:gridCol w:w="1181"/>
        <w:gridCol w:w="4603"/>
        <w:gridCol w:w="1445"/>
        <w:gridCol w:w="1406"/>
        <w:gridCol w:w="1416"/>
        <w:gridCol w:w="1426"/>
        <w:gridCol w:w="1426"/>
        <w:gridCol w:w="1267"/>
      </w:tblGrid>
      <w:tr>
        <w:trPr>
          <w:trHeight w:val="19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572.743,75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2.585.458,50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319.970,72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334.369,40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347.744,18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360.958,46</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53.796,27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1.094.201,03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1.079.380,50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1.122.555,72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1.165.212,84</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Obras e Instalações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1.435.959,28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1.500.577,45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1.560.600,55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1.619.903,37</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1.079.380,50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1.122.555,72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1.165.212,84</w:t>
            </w:r>
          </w:p>
        </w:tc>
      </w:tr>
      <w:tr>
        <w:trPr>
          <w:trHeight w:val="326"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626.540,02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3.679.659,53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3.821.730,00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3.993.707,85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4.153.456,17</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4.311.287,51</w:t>
            </w:r>
          </w:p>
        </w:tc>
      </w:tr>
      <w:tr>
        <w:trPr>
          <w:trHeight w:val="283"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0062 QUALIDADE DO ENSINO FUNDAMENTAL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12.361.1.003 CONST. AMP. AQUISI. DE EQUIP. P/ UNIDADES</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Obras e Instalações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368.724,71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1.079.380,50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1.122.555,72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1.165.212,84</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331"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368.724,71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1.136.190,00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1.187.318,55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1.234.811,29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1.281.734,12</w:t>
            </w:r>
          </w:p>
        </w:tc>
      </w:tr>
      <w:tr>
        <w:trPr>
          <w:trHeight w:val="278"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0062 QUALIDADE DO ENSINO FUNDAMENTAL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8"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12.361.1.004 AQUISICAO DE EQUIP. PARA INCLUSAO DIGITAL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9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539.690,25</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561.277,86</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582.606,42</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539.690,25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2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561.277,86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582.606,42</w:t>
            </w:r>
          </w:p>
        </w:tc>
      </w:tr>
    </w:tbl>
    <w:p>
      <w:pPr>
        <w:widowControl w:val="0"/>
        <w:spacing w:after="39" w:line="1" w:lineRule="exact"/>
      </w:pPr>
    </w:p>
    <w:p>
      <w:pPr>
        <w:pStyle w:val="Style33"/>
        <w:keepNext w:val="0"/>
        <w:keepLines w:val="0"/>
        <w:widowControl w:val="0"/>
        <w:shd w:val="clear" w:color="auto" w:fill="auto"/>
        <w:bidi w:val="0"/>
        <w:spacing w:before="0" w:after="0" w:line="240" w:lineRule="auto"/>
        <w:ind w:left="643" w:right="0" w:firstLine="0"/>
        <w:jc w:val="left"/>
        <w:rPr>
          <w:sz w:val="18"/>
          <w:szCs w:val="18"/>
        </w:rPr>
      </w:pPr>
      <w:r>
        <w:rPr>
          <w:color w:val="000000"/>
          <w:spacing w:val="0"/>
          <w:w w:val="100"/>
          <w:position w:val="0"/>
          <w:sz w:val="18"/>
          <w:szCs w:val="18"/>
          <w:shd w:val="clear" w:color="auto" w:fill="auto"/>
          <w:lang w:val="pt-PT" w:eastAsia="pt-PT" w:bidi="pt-PT"/>
        </w:rPr>
        <w:t>0070 MANUTENCAO E REVITALIZACAO DA EDUCACAO INFANTIL</w:t>
      </w:r>
    </w:p>
    <w:tbl>
      <w:tblPr>
        <w:tblOverlap w:val="never"/>
        <w:jc w:val="center"/>
        <w:tblLayout w:type="fixed"/>
      </w:tblPr>
      <w:tblGrid>
        <w:gridCol w:w="1181"/>
        <w:gridCol w:w="4603"/>
        <w:gridCol w:w="1747"/>
        <w:gridCol w:w="1166"/>
        <w:gridCol w:w="1416"/>
        <w:gridCol w:w="1430"/>
        <w:gridCol w:w="1426"/>
        <w:gridCol w:w="1200"/>
      </w:tblGrid>
      <w:tr>
        <w:trPr>
          <w:trHeight w:val="240" w:hRule="exact"/>
        </w:trPr>
        <w:tc>
          <w:tcPr>
            <w:gridSpan w:val="8"/>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12.361.1.005 CONST. AMP. AQUIS. DE EQUIP. P/ UND EDUCAC.</w:t>
            </w:r>
          </w:p>
        </w:tc>
      </w:tr>
      <w:tr>
        <w:trPr>
          <w:trHeight w:val="259"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Obras e Instalações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659.742,62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568.095,00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593.659,28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617.405,65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640.867,06</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123.948,00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129.525,66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134.706,69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139.825,54</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5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659.742,62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692.043,00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723.184,94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752.112,34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780.692,60</w:t>
            </w:r>
          </w:p>
        </w:tc>
      </w:tr>
    </w:tbl>
    <w:p>
      <w:pPr>
        <w:widowControl w:val="0"/>
        <w:spacing w:after="39" w:line="1" w:lineRule="exact"/>
      </w:pPr>
    </w:p>
    <w:p>
      <w:pPr>
        <w:pStyle w:val="Style33"/>
        <w:keepNext w:val="0"/>
        <w:keepLines w:val="0"/>
        <w:widowControl w:val="0"/>
        <w:shd w:val="clear" w:color="auto" w:fill="auto"/>
        <w:bidi w:val="0"/>
        <w:spacing w:before="0" w:after="0" w:line="240" w:lineRule="auto"/>
        <w:ind w:left="643" w:right="0" w:firstLine="0"/>
        <w:jc w:val="left"/>
        <w:rPr>
          <w:sz w:val="18"/>
          <w:szCs w:val="18"/>
        </w:rPr>
      </w:pPr>
      <w:r>
        <w:rPr>
          <w:color w:val="000000"/>
          <w:spacing w:val="0"/>
          <w:w w:val="100"/>
          <w:position w:val="0"/>
          <w:sz w:val="18"/>
          <w:szCs w:val="18"/>
          <w:shd w:val="clear" w:color="auto" w:fill="auto"/>
          <w:lang w:val="pt-PT" w:eastAsia="pt-PT" w:bidi="pt-PT"/>
        </w:rPr>
        <w:t>0070 MANUTENCAO E REVITALIZACAO DA EDUCACAO INFANTIL</w:t>
      </w:r>
    </w:p>
    <w:tbl>
      <w:tblPr>
        <w:tblOverlap w:val="never"/>
        <w:jc w:val="center"/>
        <w:tblLayout w:type="fixed"/>
      </w:tblPr>
      <w:tblGrid>
        <w:gridCol w:w="1181"/>
        <w:gridCol w:w="4843"/>
        <w:gridCol w:w="1507"/>
        <w:gridCol w:w="1166"/>
        <w:gridCol w:w="1416"/>
        <w:gridCol w:w="1426"/>
        <w:gridCol w:w="1426"/>
        <w:gridCol w:w="1205"/>
      </w:tblGrid>
      <w:tr>
        <w:trPr>
          <w:trHeight w:val="240" w:hRule="exact"/>
        </w:trPr>
        <w:tc>
          <w:tcPr>
            <w:gridSpan w:val="8"/>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12.365.1.006 REF., ADEQ. E CONSERV. DE UNID. ESCOLARES</w:t>
            </w: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5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Obras e Instalações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568.095,00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593.659,28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617.405,65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640.867,06</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568.095,00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593.659,28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617.405,65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640.867,06</w:t>
            </w:r>
          </w:p>
        </w:tc>
      </w:tr>
    </w:tbl>
    <w:p>
      <w:pPr>
        <w:spacing w:lineRule="exact" w:line="1"/>
        <w:rPr>
          <w:sz w:val="2"/>
          <w:szCs w:val="2"/>
        </w:rPr>
      </w:pP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13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0070 MANUTENCAO E REVITALIZACAO DA EDUCACAO INFANTIL</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12.365.2.015 MANUT. E FUNC. DA EDUCACAO INFANTIL</w:t>
      </w:r>
    </w:p>
    <w:tbl>
      <w:tblPr>
        <w:tblOverlap w:val="never"/>
        <w:jc w:val="center"/>
        <w:tblLayout w:type="fixed"/>
      </w:tblPr>
      <w:tblGrid>
        <w:gridCol w:w="1114"/>
        <w:gridCol w:w="4536"/>
        <w:gridCol w:w="1512"/>
        <w:gridCol w:w="1406"/>
        <w:gridCol w:w="1416"/>
        <w:gridCol w:w="1426"/>
        <w:gridCol w:w="1426"/>
        <w:gridCol w:w="1258"/>
      </w:tblGrid>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63.213,92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418.900,16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3.171.003,00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3.313.698,14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3.446.246,07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3.577.203,42</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699.295,80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1.133.086,66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2.757.979,01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2.882.088,07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2.997.371,59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3.111.271,71</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123.304,12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673.665,72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743.688,00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777.153,96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808.240,12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838.953,24</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359.024,47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1.000.683,79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197"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905.668,55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904.956,20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106.388,70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111.176,19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115.623,24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120.016,92</w:t>
            </w:r>
          </w:p>
        </w:tc>
      </w:tr>
      <w:tr>
        <w:trPr>
          <w:trHeight w:val="23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77.467,50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80.953,54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84.191,68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87.390,96</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281.154,65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293.806,61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305.558,87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317.170,11</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60.568,86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161.907,08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168.383,36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174.781,93</w:t>
            </w:r>
          </w:p>
        </w:tc>
      </w:tr>
      <w:tr>
        <w:trPr>
          <w:trHeight w:val="2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5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302"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2.150.506,86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4.191.861,39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7.421.728,36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7.755.706,16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8.065.934,40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8.372.439,91</w:t>
            </w:r>
          </w:p>
        </w:tc>
      </w:tr>
    </w:tbl>
    <w:p>
      <w:pPr>
        <w:widowControl w:val="0"/>
        <w:spacing w:after="3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0062 QUALIDADE DO ENSINO FUNDAMENTAL</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12.361.2.157 MANUT. DA EDUCACAO BASICA - REDE DE</w:t>
      </w:r>
    </w:p>
    <w:tbl>
      <w:tblPr>
        <w:tblOverlap w:val="never"/>
        <w:jc w:val="center"/>
        <w:tblLayout w:type="fixed"/>
      </w:tblPr>
      <w:tblGrid>
        <w:gridCol w:w="1114"/>
        <w:gridCol w:w="4488"/>
        <w:gridCol w:w="1517"/>
        <w:gridCol w:w="1411"/>
        <w:gridCol w:w="1416"/>
        <w:gridCol w:w="1426"/>
        <w:gridCol w:w="1421"/>
        <w:gridCol w:w="1301"/>
      </w:tblGrid>
      <w:tr>
        <w:trPr>
          <w:trHeight w:val="2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17.780.644,71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18.021.390,34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11.457.799,94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20.973.400,94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21.812.336,98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22.641.205,79</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15.302.847,76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14.932.671,50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11.391.262,07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11.903.868,86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12.380.023,61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12.850.464,51</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2.525.881,12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3.960.749,76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3.477.109,83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3.633.579,77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3.778.922,96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3.922.522,03</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1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3.1.90.94.00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Restituições Trabalhistas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5.022,22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3.072.626,94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4.941.004,42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3.253.635,00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3.400.048,58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3.536.050,52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3.670.420,44</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3.3.90.08.00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Benefícios Assistenciais Servidor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23.882,42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20.177,30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10.800,00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185.922,00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194.288,49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202.060,03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209.738,31</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6.680.904,17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6.388.883,03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871.204,66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910.408,87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946.825,22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982.804,58</w:t>
            </w:r>
          </w:p>
        </w:tc>
      </w:tr>
      <w:tr>
        <w:trPr>
          <w:trHeight w:val="22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323.814,15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336.766,72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349.563,86</w:t>
            </w:r>
          </w:p>
        </w:tc>
      </w:tr>
      <w:tr>
        <w:trPr>
          <w:trHeight w:val="21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142.010,74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148.401,22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154.337,27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160.202,09</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128.160,40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133.927,62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139.284,72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144.577,54</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1.702.138,56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1.337.200,23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161.907,08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168.383,36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174.781,93</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3.3.90.47.00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Tributárias e Contributivas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523.151,75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952.134,61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206.580,00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215.876,10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224.511,14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233.042,56</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112.255,57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116.521,28</w:t>
            </w:r>
          </w:p>
        </w:tc>
      </w:tr>
      <w:tr>
        <w:trPr>
          <w:trHeight w:val="22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 xml:space="preserve">Indenizações </w:t>
            </w:r>
            <w:r>
              <w:rPr>
                <w:rFonts w:ascii="Arial" w:eastAsia="Arial" w:hAnsi="Arial" w:cs="Arial"/>
                <w:color w:val="000000"/>
                <w:spacing w:val="0"/>
                <w:w w:val="100"/>
                <w:position w:val="0"/>
                <w:shd w:val="clear" w:color="auto" w:fill="auto"/>
                <w:lang w:val="pt-PT" w:eastAsia="pt-PT" w:bidi="pt-PT"/>
              </w:rPr>
              <w:t>e Restituições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13.538,67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31.329,56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32.739,39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34.048,97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35.342,83</w:t>
            </w:r>
          </w:p>
        </w:tc>
      </w:tr>
      <w:tr>
        <w:trPr>
          <w:trHeight w:val="24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51.200,00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136.529,70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142.673,54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148.380,48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154.018,94</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47.715.099,65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50.618.049,86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31.901.283,90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42.336.841,69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44.030.315,34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45.703.467,34</w:t>
            </w:r>
          </w:p>
        </w:tc>
      </w:tr>
    </w:tbl>
    <w:p>
      <w:pPr>
        <w:spacing w:lineRule="exact" w:line="1"/>
        <w:rPr>
          <w:sz w:val="2"/>
          <w:szCs w:val="2"/>
        </w:rPr>
      </w:pP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13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0365 EDUCACAO INFANTIL</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12.365.2.159 ENCARGOS COM A EDUCACAO INFANTIL - VAAT</w:t>
      </w:r>
    </w:p>
    <w:tbl>
      <w:tblPr>
        <w:tblOverlap w:val="never"/>
        <w:jc w:val="center"/>
        <w:tblLayout w:type="fixed"/>
      </w:tblPr>
      <w:tblGrid>
        <w:gridCol w:w="1114"/>
        <w:gridCol w:w="4536"/>
        <w:gridCol w:w="1512"/>
        <w:gridCol w:w="1411"/>
        <w:gridCol w:w="1411"/>
        <w:gridCol w:w="1426"/>
        <w:gridCol w:w="1426"/>
        <w:gridCol w:w="1258"/>
      </w:tblGrid>
      <w:tr>
        <w:trPr>
          <w:trHeight w:val="21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197"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2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197"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1.904.136,85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2.797.698,83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512.664,34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2.535.734,24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2.637.163,61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2.737.375,83</w:t>
            </w:r>
          </w:p>
        </w:tc>
      </w:tr>
      <w:tr>
        <w:trPr>
          <w:trHeight w:val="230"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812.000,00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32.880,00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583.729,46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609.997,29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634.397,18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658.504,27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8.933,80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357.828,37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141.993,39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148.383,09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154.318,41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160.182,51</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Obras e Instalações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114.866,12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120.035,10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124.836,50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129.580,29</w:t>
            </w:r>
          </w:p>
        </w:tc>
      </w:tr>
      <w:tr>
        <w:trPr>
          <w:trHeight w:val="25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723.552,00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2.612.505,00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209.290,20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2.218.708,26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2.307.456,59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2.395.139,94</w:t>
            </w:r>
          </w:p>
        </w:tc>
      </w:tr>
      <w:tr>
        <w:trPr>
          <w:trHeight w:val="302"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2.669.502,65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6.580.032,20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1.562.543,51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5.632.857,98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5.858.172,29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6.080.782,84</w:t>
            </w:r>
          </w:p>
        </w:tc>
      </w:tr>
    </w:tbl>
    <w:p>
      <w:pPr>
        <w:widowControl w:val="0"/>
        <w:spacing w:after="39" w:line="1" w:lineRule="exact"/>
      </w:pPr>
    </w:p>
    <w:p>
      <w:pPr>
        <w:pStyle w:val="Style29"/>
        <w:keepNext w:val="0"/>
        <w:keepLines w:val="0"/>
        <w:widowControl w:val="0"/>
        <w:shd w:val="clear" w:color="auto" w:fill="auto"/>
        <w:bidi w:val="0"/>
        <w:spacing w:before="0" w:after="40" w:line="240" w:lineRule="auto"/>
        <w:ind w:left="660" w:right="0" w:firstLine="0"/>
        <w:jc w:val="left"/>
      </w:pPr>
      <w:r>
        <w:rPr>
          <w:color w:val="000000"/>
          <w:spacing w:val="0"/>
          <w:w w:val="100"/>
          <w:position w:val="0"/>
          <w:shd w:val="clear" w:color="auto" w:fill="auto"/>
          <w:lang w:val="pt-PT" w:eastAsia="pt-PT" w:bidi="pt-PT"/>
        </w:rPr>
        <w:t>0365 EDUCACAO INFANTIL</w:t>
      </w:r>
    </w:p>
    <w:p>
      <w:pPr>
        <w:pStyle w:val="Style2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12.365.2.160 MAN. FUNC.EDUC. INF. - PRE ESC. - VAAT</w:t>
      </w:r>
    </w:p>
    <w:tbl>
      <w:tblPr>
        <w:tblOverlap w:val="never"/>
        <w:jc w:val="center"/>
        <w:tblLayout w:type="fixed"/>
      </w:tblPr>
      <w:tblGrid>
        <w:gridCol w:w="1104"/>
        <w:gridCol w:w="4536"/>
        <w:gridCol w:w="1478"/>
        <w:gridCol w:w="1507"/>
        <w:gridCol w:w="1315"/>
        <w:gridCol w:w="1426"/>
        <w:gridCol w:w="1426"/>
        <w:gridCol w:w="1296"/>
      </w:tblGrid>
      <w:tr>
        <w:trPr>
          <w:trHeight w:val="20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2.711.642,27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8.139.290,22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371.844,00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7.388.576,98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7.684.120,06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7.976.116,62</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3.743.861,72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6.926.723,81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464.805,00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6.701.597,33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6.969.661,22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7.234.508,35</w:t>
            </w:r>
          </w:p>
        </w:tc>
      </w:tr>
      <w:tr>
        <w:trPr>
          <w:trHeight w:val="22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311.550,90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1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441.804,55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45"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3.3.90.08.00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Benefícios Assistenciais Servidor</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3.311,28</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9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7.208.859,44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15.069.325,31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836.649,00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14.090.174,31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14.653.781,28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15.210.624,97</w:t>
            </w:r>
          </w:p>
        </w:tc>
      </w:tr>
    </w:tbl>
    <w:p>
      <w:pPr>
        <w:widowControl w:val="0"/>
        <w:spacing w:after="39" w:line="1" w:lineRule="exact"/>
      </w:pPr>
    </w:p>
    <w:p>
      <w:pPr>
        <w:pStyle w:val="Style33"/>
        <w:keepNext w:val="0"/>
        <w:keepLines w:val="0"/>
        <w:widowControl w:val="0"/>
        <w:shd w:val="clear" w:color="auto" w:fill="auto"/>
        <w:bidi w:val="0"/>
        <w:spacing w:before="0" w:after="0" w:line="240" w:lineRule="auto"/>
        <w:ind w:left="643" w:right="0" w:firstLine="0"/>
        <w:jc w:val="left"/>
        <w:rPr>
          <w:sz w:val="18"/>
          <w:szCs w:val="18"/>
        </w:rPr>
      </w:pPr>
      <w:r>
        <w:rPr>
          <w:color w:val="000000"/>
          <w:spacing w:val="0"/>
          <w:w w:val="100"/>
          <w:position w:val="0"/>
          <w:sz w:val="18"/>
          <w:szCs w:val="18"/>
          <w:shd w:val="clear" w:color="auto" w:fill="auto"/>
          <w:lang w:val="pt-PT" w:eastAsia="pt-PT" w:bidi="pt-PT"/>
        </w:rPr>
        <w:t>0062 QUALIDADE DO ENSINO FUNDAMENTAL</w:t>
      </w:r>
    </w:p>
    <w:tbl>
      <w:tblPr>
        <w:tblOverlap w:val="never"/>
        <w:jc w:val="center"/>
        <w:tblLayout w:type="fixed"/>
      </w:tblPr>
      <w:tblGrid>
        <w:gridCol w:w="1128"/>
        <w:gridCol w:w="4440"/>
        <w:gridCol w:w="1622"/>
        <w:gridCol w:w="1445"/>
        <w:gridCol w:w="1382"/>
        <w:gridCol w:w="1426"/>
        <w:gridCol w:w="1421"/>
        <w:gridCol w:w="1238"/>
      </w:tblGrid>
      <w:tr>
        <w:trPr>
          <w:trHeight w:val="24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12.361.2.161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MANUT. FUNC. EDUC. BASICA - COMPL. VAAF</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9"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5.277.002,98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11.185.563,72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4.645.333,47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11.854.373,48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12.328.548,42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12.797.033,26</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5.340.343,83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4.544.370,44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5.340.093,00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5.580.397,19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5.803.613,08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6.024.150,38</w:t>
            </w:r>
          </w:p>
        </w:tc>
      </w:tr>
      <w:tr>
        <w:trPr>
          <w:trHeight w:val="22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3.1.91.13.00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383.338,67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197"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7.640,00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161.907,08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168.383,36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174.781,93</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2.570.482,13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4.220.355,50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1.218.943,22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1.273.795,66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1.324.747,49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1.375.087,89</w:t>
            </w:r>
          </w:p>
        </w:tc>
      </w:tr>
      <w:tr>
        <w:trPr>
          <w:trHeight w:val="22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302.380,00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27.400,00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826.320,00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363.504,40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378.044,58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392.410,27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843.364,24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1.578.286,64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929.610,00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971.442,45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1.010.300,15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1.048.691,56</w:t>
            </w:r>
          </w:p>
        </w:tc>
      </w:tr>
      <w:tr>
        <w:trPr>
          <w:trHeight w:val="21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3.3.90.47.00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Obrigações Tributárias e Contributivas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156.037,71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3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705.512,02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701.393,67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729.449,42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757.168,50</w:t>
            </w:r>
          </w:p>
        </w:tc>
      </w:tr>
    </w:tbl>
    <w:p>
      <w:pPr>
        <w:spacing w:lineRule="exact" w:line="1"/>
        <w:rPr>
          <w:sz w:val="2"/>
          <w:szCs w:val="2"/>
        </w:rPr>
      </w:pPr>
      <w:r>
        <w:br w:type="page"/>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139" w:line="1" w:lineRule="exact"/>
      </w:pPr>
    </w:p>
    <w:tbl>
      <w:tblPr>
        <w:tblOverlap w:val="never"/>
        <w:jc w:val="center"/>
        <w:tblLayout w:type="fixed"/>
      </w:tblPr>
      <w:tblGrid>
        <w:gridCol w:w="5678"/>
        <w:gridCol w:w="1507"/>
        <w:gridCol w:w="1411"/>
        <w:gridCol w:w="1416"/>
        <w:gridCol w:w="1426"/>
        <w:gridCol w:w="1421"/>
        <w:gridCol w:w="1301"/>
      </w:tblGrid>
      <w:tr>
        <w:trPr>
          <w:trHeight w:val="610"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10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0365 EDUCACAO INFANTIL</w:t>
            </w:r>
          </w:p>
        </w:tc>
        <w:tc>
          <w:tcPr>
            <w:tcBorders>
              <w:top w:val="single" w:sz="4"/>
            </w:tcBorders>
            <w:shd w:val="clear" w:color="auto" w:fill="FFFFFF"/>
            <w:vAlign w:val="top"/>
          </w:tcPr>
          <w:p>
            <w:pPr>
              <w:pStyle w:val="Style23"/>
              <w:keepNext w:val="0"/>
              <w:keepLines w:val="0"/>
              <w:widowControl w:val="0"/>
              <w:shd w:val="clear" w:color="auto" w:fill="auto"/>
              <w:bidi w:val="0"/>
              <w:spacing w:before="8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14.872.949,56</w:t>
            </w:r>
          </w:p>
        </w:tc>
        <w:tc>
          <w:tcPr>
            <w:tcBorders>
              <w:top w:val="single" w:sz="4"/>
            </w:tcBorders>
            <w:shd w:val="clear" w:color="auto" w:fill="FFFFFF"/>
            <w:vAlign w:val="top"/>
          </w:tcPr>
          <w:p>
            <w:pPr>
              <w:pStyle w:val="Style23"/>
              <w:keepNext w:val="0"/>
              <w:keepLines w:val="0"/>
              <w:widowControl w:val="0"/>
              <w:shd w:val="clear" w:color="auto" w:fill="auto"/>
              <w:bidi w:val="0"/>
              <w:spacing w:before="8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21.563.616,30</w:t>
            </w:r>
          </w:p>
        </w:tc>
        <w:tc>
          <w:tcPr>
            <w:tcBorders>
              <w:top w:val="single" w:sz="4"/>
            </w:tcBorders>
            <w:shd w:val="clear" w:color="auto" w:fill="FFFFFF"/>
            <w:vAlign w:val="top"/>
          </w:tcPr>
          <w:p>
            <w:pPr>
              <w:pStyle w:val="Style23"/>
              <w:keepNext w:val="0"/>
              <w:keepLines w:val="0"/>
              <w:widowControl w:val="0"/>
              <w:shd w:val="clear" w:color="auto" w:fill="auto"/>
              <w:bidi w:val="0"/>
              <w:spacing w:before="8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13.820.746,71</w:t>
            </w:r>
          </w:p>
        </w:tc>
        <w:tc>
          <w:tcPr>
            <w:tcBorders>
              <w:top w:val="single" w:sz="4"/>
            </w:tcBorders>
            <w:shd w:val="clear" w:color="auto" w:fill="FFFFFF"/>
            <w:vAlign w:val="top"/>
          </w:tcPr>
          <w:p>
            <w:pPr>
              <w:pStyle w:val="Style23"/>
              <w:keepNext w:val="0"/>
              <w:keepLines w:val="0"/>
              <w:widowControl w:val="0"/>
              <w:shd w:val="clear" w:color="auto" w:fill="auto"/>
              <w:bidi w:val="0"/>
              <w:spacing w:before="8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20.906.813,93</w:t>
            </w:r>
          </w:p>
        </w:tc>
        <w:tc>
          <w:tcPr>
            <w:tcBorders>
              <w:top w:val="single" w:sz="4"/>
            </w:tcBorders>
            <w:shd w:val="clear" w:color="auto" w:fill="FFFFFF"/>
            <w:vAlign w:val="top"/>
          </w:tcPr>
          <w:p>
            <w:pPr>
              <w:pStyle w:val="Style23"/>
              <w:keepNext w:val="0"/>
              <w:keepLines w:val="0"/>
              <w:widowControl w:val="0"/>
              <w:shd w:val="clear" w:color="auto" w:fill="auto"/>
              <w:bidi w:val="0"/>
              <w:spacing w:before="8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21.743.086,50</w:t>
            </w:r>
          </w:p>
        </w:tc>
        <w:tc>
          <w:tcPr>
            <w:tcBorders>
              <w:top w:val="single" w:sz="4"/>
            </w:tcBorders>
            <w:shd w:val="clear" w:color="auto" w:fill="FFFFFF"/>
            <w:vAlign w:val="top"/>
          </w:tcPr>
          <w:p>
            <w:pPr>
              <w:pStyle w:val="Style23"/>
              <w:keepNext w:val="0"/>
              <w:keepLines w:val="0"/>
              <w:widowControl w:val="0"/>
              <w:shd w:val="clear" w:color="auto" w:fill="auto"/>
              <w:bidi w:val="0"/>
              <w:spacing w:before="8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22.569.323,79</w:t>
            </w:r>
          </w:p>
        </w:tc>
      </w:tr>
      <w:tr>
        <w:trPr>
          <w:trHeight w:val="27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12.365.2.165 MANUT. FUNC. EDUC. INF - CRECHE- VAAT 50%</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6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 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3.579.845,81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1.548.690,22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450.544,20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1.470.818,69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1.529.651,44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1.587.778,19</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 Vencimentos e Vant. Fixas - Pessoal Civil</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1.949.036,02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2.261.013,88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481.932,09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2.503.619,03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2.603.763,79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2.702.706,81</w:t>
            </w:r>
          </w:p>
        </w:tc>
      </w:tr>
      <w:tr>
        <w:trPr>
          <w:trHeight w:val="22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3.1.90.13.00 Obrigações Patronais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344.665,88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50"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3.1.91.13.00 Obrigações Patronais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507.831,31</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326"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5.528.881,83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4.662.201,29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932.476,29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3.974.437,72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4.133.415,23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4.290.485,00</w:t>
            </w:r>
          </w:p>
        </w:tc>
      </w:tr>
      <w:tr>
        <w:trPr>
          <w:trHeight w:val="283"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0365 EDUCACAO INFANTIL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12.365.2.166 MANUT. PROG. EDUC. DE JOVENS E ADULTOS -</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6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 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748.004,02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684.581,48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475.134,00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496.515,03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516.375,63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535.997,90</w:t>
            </w:r>
          </w:p>
        </w:tc>
      </w:tr>
      <w:tr>
        <w:trPr>
          <w:trHeight w:val="25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 Vencimentos e Vant. Fixas - Pessoal Civil</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539.690,25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561.277,86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582.606,42</w:t>
            </w:r>
          </w:p>
        </w:tc>
      </w:tr>
      <w:tr>
        <w:trPr>
          <w:trHeight w:val="298"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748.004,02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684.581,48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991.584,00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1.036.205,28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1.077.653,49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1.118.604,32</w:t>
            </w:r>
          </w:p>
        </w:tc>
      </w:tr>
    </w:tbl>
    <w:p>
      <w:pPr>
        <w:widowControl w:val="0"/>
        <w:spacing w:after="59" w:line="1" w:lineRule="exact"/>
      </w:pPr>
    </w:p>
    <w:p>
      <w:pPr>
        <w:pStyle w:val="Style33"/>
        <w:keepNext w:val="0"/>
        <w:keepLines w:val="0"/>
        <w:widowControl w:val="0"/>
        <w:shd w:val="clear" w:color="auto" w:fill="auto"/>
        <w:bidi w:val="0"/>
        <w:spacing w:before="0" w:after="0" w:line="240" w:lineRule="auto"/>
        <w:ind w:left="643" w:right="0" w:firstLine="0"/>
        <w:jc w:val="left"/>
        <w:rPr>
          <w:sz w:val="18"/>
          <w:szCs w:val="18"/>
        </w:rPr>
      </w:pPr>
      <w:r>
        <w:rPr>
          <w:color w:val="000000"/>
          <w:spacing w:val="0"/>
          <w:w w:val="100"/>
          <w:position w:val="0"/>
          <w:sz w:val="18"/>
          <w:szCs w:val="18"/>
          <w:shd w:val="clear" w:color="auto" w:fill="auto"/>
          <w:lang w:val="pt-PT" w:eastAsia="pt-PT" w:bidi="pt-PT"/>
        </w:rPr>
        <w:t>0070 MANUTENCAO E REVITALIZACAO DA EDUCACAO INFANTIL</w:t>
      </w:r>
    </w:p>
    <w:tbl>
      <w:tblPr>
        <w:tblOverlap w:val="never"/>
        <w:jc w:val="center"/>
        <w:tblLayout w:type="fixed"/>
      </w:tblPr>
      <w:tblGrid>
        <w:gridCol w:w="5722"/>
        <w:gridCol w:w="1507"/>
        <w:gridCol w:w="1411"/>
        <w:gridCol w:w="1411"/>
        <w:gridCol w:w="1426"/>
        <w:gridCol w:w="1426"/>
        <w:gridCol w:w="1258"/>
      </w:tblGrid>
      <w:tr>
        <w:trPr>
          <w:trHeight w:val="240" w:hRule="exact"/>
        </w:trPr>
        <w:tc>
          <w:tcPr>
            <w:gridSpan w:val="7"/>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12.365.2.167 ENCARGOS COM A EDUCACAO INFANTIL - VAAR</w:t>
            </w:r>
          </w:p>
        </w:tc>
      </w:tr>
      <w:tr>
        <w:trPr>
          <w:trHeight w:val="2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35.042,74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104.500,00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108.680,00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112.809,84</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 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522.500,00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543.400,00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564.049,20</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400.000,00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418.000,00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434.720,00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451.239,36</w:t>
            </w:r>
          </w:p>
        </w:tc>
      </w:tr>
      <w:tr>
        <w:trPr>
          <w:trHeight w:val="326"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35.042,74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1.000.000,00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1.045.000,00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1.086.800,00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1.128.098,40</w:t>
            </w:r>
          </w:p>
        </w:tc>
      </w:tr>
      <w:tr>
        <w:trPr>
          <w:trHeight w:val="283"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0062 QUALIDADE DO ENSINO FUNDAMENTAL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12.361.2.168 ENC. COM EDUC. FUNDAMENTAL - VAAR</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9"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3.1.90.04.00 Contratação por Tempo Determinado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307.292,53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365.750,00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380.380,00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394.834,44</w:t>
            </w: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 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95.140,00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156.750,00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163.020,00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169.214,76</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578.413,48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2.225.047,40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650.000,00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1.724.250,00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1.793.220,00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1.861.362,36</w:t>
            </w:r>
          </w:p>
        </w:tc>
      </w:tr>
      <w:tr>
        <w:trPr>
          <w:trHeight w:val="26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 Outros Serviços de Terc. - Pessoa Jurídica</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250.190,00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34.653,33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450.000,00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470.250,00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489.060,00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507.644,28</w:t>
            </w:r>
          </w:p>
        </w:tc>
      </w:tr>
      <w:tr>
        <w:trPr>
          <w:trHeight w:val="326"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332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1.231.036,01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2.259.700,73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1.600.000,00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2.717.000,00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2.825.680,00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2.933.055,84</w:t>
            </w:r>
          </w:p>
        </w:tc>
      </w:tr>
      <w:tr>
        <w:trPr>
          <w:trHeight w:val="283"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660" w:right="0" w:firstLine="0"/>
              <w:jc w:val="left"/>
            </w:pPr>
            <w:r>
              <w:rPr>
                <w:rFonts w:ascii="Arial" w:eastAsia="Arial" w:hAnsi="Arial" w:cs="Arial"/>
                <w:color w:val="000000"/>
                <w:spacing w:val="0"/>
                <w:w w:val="100"/>
                <w:position w:val="0"/>
                <w:shd w:val="clear" w:color="auto" w:fill="auto"/>
                <w:lang w:val="pt-PT" w:eastAsia="pt-PT" w:bidi="pt-PT"/>
              </w:rPr>
              <w:t>0062 QUALIDADE DO ENSINO FUNDAMENTAL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12.361.2.174 ENCARGOS COM O PROGRAMA - SALARIO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 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 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502.346,92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3.039.312,35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821.600,17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2.858.572,20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2.972.915,09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3.085.885,86</w:t>
            </w:r>
          </w:p>
        </w:tc>
      </w:tr>
    </w:tbl>
    <w:p>
      <w:pPr>
        <w:sectPr>
          <w:footnotePr>
            <w:pos w:val="pageBottom"/>
            <w:numFmt w:val="decimal"/>
            <w:numRestart w:val="continuous"/>
          </w:footnotePr>
          <w:pgSz w:w="16840" w:h="11900" w:orient="landscape"/>
          <w:pgMar w:top="2178" w:left="1168" w:right="1503" w:bottom="857" w:header="0" w:footer="429" w:gutter="0"/>
          <w:cols w:space="720"/>
          <w:noEndnote/>
          <w:rtlGutter w:val="0"/>
          <w:docGrid w:linePitch="360"/>
        </w:sectPr>
      </w:pPr>
    </w:p>
    <w:p>
      <w:pPr>
        <w:pStyle w:val="Style33"/>
        <w:keepNext w:val="0"/>
        <w:keepLines w:val="0"/>
        <w:widowControl w:val="0"/>
        <w:shd w:val="clear" w:color="auto" w:fill="auto"/>
        <w:bidi w:val="0"/>
        <w:spacing w:before="0" w:after="40" w:line="240" w:lineRule="auto"/>
        <w:ind w:left="2563"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33"/>
        <w:keepNext w:val="0"/>
        <w:keepLines w:val="0"/>
        <w:widowControl w:val="0"/>
        <w:shd w:val="clear" w:color="auto" w:fill="auto"/>
        <w:bidi w:val="0"/>
        <w:spacing w:before="0" w:after="40" w:line="240" w:lineRule="auto"/>
        <w:ind w:left="2563"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33"/>
        <w:keepNext w:val="0"/>
        <w:keepLines w:val="0"/>
        <w:widowControl w:val="0"/>
        <w:shd w:val="clear" w:color="auto" w:fill="auto"/>
        <w:bidi w:val="0"/>
        <w:spacing w:before="0" w:after="0" w:line="240" w:lineRule="auto"/>
        <w:ind w:left="2563"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33"/>
        <w:keepNext w:val="0"/>
        <w:keepLines w:val="0"/>
        <w:widowControl w:val="0"/>
        <w:shd w:val="clear" w:color="auto" w:fill="auto"/>
        <w:tabs>
          <w:tab w:pos="10104" w:val="left"/>
        </w:tabs>
        <w:bidi w:val="0"/>
        <w:spacing w:before="0" w:after="40" w:line="240" w:lineRule="auto"/>
        <w:ind w:left="0" w:right="0" w:firstLine="0"/>
        <w:jc w:val="both"/>
        <w:rPr>
          <w:sz w:val="20"/>
          <w:szCs w:val="20"/>
        </w:rPr>
      </w:pPr>
      <w:r>
        <w:rPr>
          <w:color w:val="000000"/>
          <w:spacing w:val="0"/>
          <w:w w:val="100"/>
          <w:position w:val="0"/>
          <w:sz w:val="20"/>
          <w:szCs w:val="20"/>
          <w:shd w:val="clear" w:color="auto" w:fill="auto"/>
          <w:lang w:val="pt-PT" w:eastAsia="pt-PT" w:bidi="pt-PT"/>
        </w:rPr>
        <w:t>METODOLOGIA E MEMÓRIA DE CÁLCULO DAS METAS ANUAIS</w:t>
        <w:tab/>
      </w:r>
      <w:r>
        <w:rPr>
          <w:rFonts w:ascii="Times New Roman" w:eastAsia="Times New Roman" w:hAnsi="Times New Roman" w:cs="Times New Roman"/>
          <w:color w:val="000000"/>
          <w:spacing w:val="0"/>
          <w:w w:val="100"/>
          <w:position w:val="0"/>
          <w:sz w:val="20"/>
          <w:szCs w:val="20"/>
          <w:shd w:val="clear" w:color="auto" w:fill="auto"/>
          <w:lang w:val="pt-PT" w:eastAsia="pt-PT" w:bidi="pt-PT"/>
        </w:rPr>
        <w:t>Página: 51</w:t>
      </w:r>
    </w:p>
    <w:tbl>
      <w:tblPr>
        <w:tblOverlap w:val="never"/>
        <w:jc w:val="center"/>
        <w:tblLayout w:type="fixed"/>
      </w:tblPr>
      <w:tblGrid>
        <w:gridCol w:w="1094"/>
        <w:gridCol w:w="4531"/>
        <w:gridCol w:w="1411"/>
        <w:gridCol w:w="1411"/>
        <w:gridCol w:w="1421"/>
        <w:gridCol w:w="1426"/>
        <w:gridCol w:w="1426"/>
        <w:gridCol w:w="1373"/>
      </w:tblGrid>
      <w:tr>
        <w:trPr>
          <w:trHeight w:val="302" w:hRule="exact"/>
        </w:trPr>
        <w:tc>
          <w:tcPr>
            <w:gridSpan w:val="6"/>
            <w:tcBorders/>
            <w:shd w:val="clear" w:color="auto" w:fill="FFFFFF"/>
            <w:vAlign w:val="bottom"/>
          </w:tcPr>
          <w:p>
            <w:pPr>
              <w:pStyle w:val="Style23"/>
              <w:keepNext w:val="0"/>
              <w:keepLines w:val="0"/>
              <w:widowControl w:val="0"/>
              <w:shd w:val="clear" w:color="auto" w:fill="auto"/>
              <w:bidi w:val="0"/>
              <w:spacing w:before="0" w:after="0" w:line="240" w:lineRule="auto"/>
              <w:ind w:left="258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II.b - Demonstrativo da Despesa por Órgão, Unidade, Programa e Projeto/Atividade</w:t>
            </w:r>
          </w:p>
        </w:tc>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140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c>
      </w:tr>
      <w:tr>
        <w:trPr>
          <w:trHeight w:val="360"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0"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r>
        <w:trPr>
          <w:trHeight w:val="317"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77.467,50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80.953,54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84.191,68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87.390,96</w:t>
            </w:r>
          </w:p>
        </w:tc>
      </w:tr>
      <w:tr>
        <w:trPr>
          <w:trHeight w:val="22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129.112,50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134.922,56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140.319,46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145.651,60</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227.238,00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237.463,71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246.962,26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256.346,83</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1.434.514,85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2.589.077,68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416.255,65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434.987,15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452.386,64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469.577,33</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1.936.861,77</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5.628.390,03</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1.702.660,82</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3.779.280,57</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3.930.451,80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4.079.808,97</w:t>
            </w:r>
          </w:p>
        </w:tc>
      </w:tr>
      <w:tr>
        <w:trPr>
          <w:trHeight w:val="27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85.751.751,88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114.937.418,12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68.504.180,59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110.311.878,51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114.724.353,64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119.083.879,09</w:t>
            </w:r>
          </w:p>
        </w:tc>
      </w:tr>
    </w:tbl>
    <w:p>
      <w:pPr>
        <w:sectPr>
          <w:headerReference w:type="default" r:id="rId91"/>
          <w:footerReference w:type="default" r:id="rId92"/>
          <w:footnotePr>
            <w:pos w:val="pageBottom"/>
            <w:numFmt w:val="decimal"/>
            <w:numRestart w:val="continuous"/>
          </w:footnotePr>
          <w:pgSz w:w="16840" w:h="11900" w:orient="landscape"/>
          <w:pgMar w:top="657" w:left="1201" w:right="1547" w:bottom="657" w:header="229" w:footer="229" w:gutter="0"/>
          <w:pgNumType w:start="90"/>
          <w:cols w:space="720"/>
          <w:noEndnote/>
          <w:rtlGutter w:val="0"/>
          <w:docGrid w:linePitch="360"/>
        </w:sectPr>
      </w:pP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0"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r>
        <w:trPr>
          <w:trHeight w:val="346" w:hRule="exact"/>
        </w:trPr>
        <w:tc>
          <w:tcPr>
            <w:gridSpan w:val="2"/>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820" w:right="0" w:firstLine="0"/>
              <w:jc w:val="left"/>
              <w:rPr>
                <w:sz w:val="20"/>
                <w:szCs w:val="20"/>
              </w:rPr>
            </w:pPr>
            <w:r>
              <w:rPr>
                <w:rFonts w:ascii="Arial" w:eastAsia="Arial" w:hAnsi="Arial" w:cs="Arial"/>
                <w:b/>
                <w:bCs/>
                <w:color w:val="000000"/>
                <w:spacing w:val="0"/>
                <w:w w:val="100"/>
                <w:position w:val="0"/>
                <w:sz w:val="20"/>
                <w:szCs w:val="20"/>
                <w:shd w:val="clear" w:color="auto" w:fill="auto"/>
                <w:lang w:val="pt-PT" w:eastAsia="pt-PT" w:bidi="pt-PT"/>
              </w:rPr>
              <w:t>03 ADMINISTRACAO INDIRETA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r>
      <w:tr>
        <w:trPr>
          <w:trHeight w:val="312"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420" w:right="0" w:firstLine="0"/>
              <w:jc w:val="left"/>
              <w:rPr>
                <w:sz w:val="20"/>
                <w:szCs w:val="20"/>
              </w:rPr>
            </w:pPr>
            <w:r>
              <w:rPr>
                <w:rFonts w:ascii="Arial" w:eastAsia="Arial" w:hAnsi="Arial" w:cs="Arial"/>
                <w:b/>
                <w:bCs/>
                <w:color w:val="000000"/>
                <w:spacing w:val="0"/>
                <w:w w:val="100"/>
                <w:position w:val="0"/>
                <w:sz w:val="20"/>
                <w:szCs w:val="20"/>
                <w:shd w:val="clear" w:color="auto" w:fill="auto"/>
                <w:lang w:val="pt-PT" w:eastAsia="pt-PT" w:bidi="pt-PT"/>
              </w:rPr>
              <w:t>03.010 BANCO DO POVO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1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0011</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APOIO ADMINISTRATIVO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08.122.2.032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ENCARGOS DE APOIO AOS PEQ.NEG. PROD.</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105.700,00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105.140,00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291.303,22</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17.680,00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11.540,00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51.866,00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58.678,84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67.138,50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70.159,73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72.966,12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75.738,83</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26.855,40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29.186,45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30.295,54</w:t>
            </w:r>
          </w:p>
        </w:tc>
      </w:tr>
      <w:tr>
        <w:trPr>
          <w:trHeight w:val="21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0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Serviços de Consultoria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33.052,80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34.540,18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35.921,79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37.286,82</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205.750,00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188.459,00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63.283,86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66.131,63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68.776,90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71.390,42</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398.169,61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404.672,70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87.796,50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91.747,34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95.417,23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99.043,08</w:t>
            </w:r>
          </w:p>
        </w:tc>
      </w:tr>
      <w:tr>
        <w:trPr>
          <w:trHeight w:val="20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47.000,00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11.832,00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12.364,44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12.859,02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13.347,66</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3.698,00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36.151,50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37.778,32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39.289,45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40.782,45</w:t>
            </w:r>
          </w:p>
        </w:tc>
      </w:tr>
      <w:tr>
        <w:trPr>
          <w:trHeight w:val="25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4.5.90.66.00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en-US" w:eastAsia="en-US" w:bidi="en-US"/>
              </w:rPr>
              <w:t>Conces.de</w:t>
            </w:r>
            <w:r>
              <w:rPr>
                <w:rFonts w:ascii="Arial" w:eastAsia="Arial" w:hAnsi="Arial" w:cs="Arial"/>
                <w:color w:val="000000"/>
                <w:spacing w:val="0"/>
                <w:w w:val="100"/>
                <w:position w:val="0"/>
                <w:shd w:val="clear" w:color="auto" w:fill="auto"/>
                <w:lang w:val="en-US" w:eastAsia="en-US" w:bidi="en-US"/>
              </w:rPr>
              <w:t xml:space="preserve"> </w:t>
            </w:r>
            <w:r>
              <w:rPr>
                <w:rFonts w:ascii="Arial" w:eastAsia="Arial" w:hAnsi="Arial" w:cs="Arial"/>
                <w:color w:val="000000"/>
                <w:spacing w:val="0"/>
                <w:w w:val="100"/>
                <w:position w:val="0"/>
                <w:shd w:val="clear" w:color="auto" w:fill="auto"/>
                <w:lang w:val="pt-PT" w:eastAsia="pt-PT" w:bidi="pt-PT"/>
              </w:rPr>
              <w:t>Empréstimos e Financiamentos</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1.243.000,00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2.428.000,00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362.012,70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378.303,27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393.435,40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408.385,95</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2.072.863,61</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3.196.490,54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977.335,26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1.021.315,35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1.062.167,98</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1.102.530,37</w:t>
            </w:r>
          </w:p>
        </w:tc>
      </w:tr>
      <w:tr>
        <w:trPr>
          <w:trHeight w:val="283"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2.072.863,61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3.196.490,54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977.335,26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1.021.315,35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1.062.167,98</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1.102.530,37</w:t>
            </w:r>
          </w:p>
        </w:tc>
      </w:tr>
    </w:tbl>
    <w:p>
      <w:pPr>
        <w:sectPr>
          <w:headerReference w:type="default" r:id="rId93"/>
          <w:footerReference w:type="default" r:id="rId94"/>
          <w:footnotePr>
            <w:pos w:val="pageBottom"/>
            <w:numFmt w:val="decimal"/>
            <w:numRestart w:val="continuous"/>
          </w:footnotePr>
          <w:pgSz w:w="16840" w:h="11900" w:orient="landscape"/>
          <w:pgMar w:top="2068" w:left="1201" w:right="1547" w:bottom="2068" w:header="0" w:footer="1640" w:gutter="0"/>
          <w:pgNumType w:start="52"/>
          <w:cols w:space="720"/>
          <w:noEndnote/>
          <w:rtlGutter w:val="0"/>
          <w:docGrid w:linePitch="360"/>
        </w:sectPr>
      </w:pP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p>
      <w:pPr>
        <w:pStyle w:val="Style54"/>
        <w:keepNext/>
        <w:keepLines/>
        <w:widowControl w:val="0"/>
        <w:shd w:val="clear" w:color="auto" w:fill="auto"/>
        <w:bidi w:val="0"/>
        <w:spacing w:before="0" w:after="0" w:line="240" w:lineRule="auto"/>
        <w:ind w:left="860" w:right="0" w:firstLine="0"/>
        <w:jc w:val="left"/>
      </w:pPr>
      <w:bookmarkStart w:id="43" w:name="bookmark43"/>
      <w:r>
        <w:rPr>
          <w:color w:val="000000"/>
          <w:spacing w:val="0"/>
          <w:w w:val="100"/>
          <w:position w:val="0"/>
          <w:shd w:val="clear" w:color="auto" w:fill="auto"/>
          <w:lang w:val="pt-PT" w:eastAsia="pt-PT" w:bidi="pt-PT"/>
        </w:rPr>
        <w:t>03 ADMINISTRACAO INDIRETA</w:t>
      </w:r>
      <w:bookmarkEnd w:id="43"/>
    </w:p>
    <w:p>
      <w:pPr>
        <w:pStyle w:val="Style54"/>
        <w:keepNext/>
        <w:keepLines/>
        <w:widowControl w:val="0"/>
        <w:shd w:val="clear" w:color="auto" w:fill="auto"/>
        <w:bidi w:val="0"/>
        <w:spacing w:before="0" w:after="140" w:line="240" w:lineRule="auto"/>
        <w:ind w:left="460" w:right="0" w:firstLine="0"/>
        <w:jc w:val="left"/>
      </w:pPr>
      <w:bookmarkStart w:id="44" w:name="bookmark44"/>
      <w:r>
        <w:rPr>
          <w:color w:val="000000"/>
          <w:spacing w:val="0"/>
          <w:w w:val="100"/>
          <w:position w:val="0"/>
          <w:shd w:val="clear" w:color="auto" w:fill="auto"/>
          <w:lang w:val="pt-PT" w:eastAsia="pt-PT" w:bidi="pt-PT"/>
        </w:rPr>
        <w:t>03.011 FUNDO MUNIC DOS DIREITOS DA CRIANCA ADOLESCENTE</w:t>
      </w:r>
      <w:bookmarkEnd w:id="44"/>
    </w:p>
    <w:p>
      <w:pPr>
        <w:pStyle w:val="Style29"/>
        <w:keepNext w:val="0"/>
        <w:keepLines w:val="0"/>
        <w:widowControl w:val="0"/>
        <w:shd w:val="clear" w:color="auto" w:fill="auto"/>
        <w:bidi w:val="0"/>
        <w:spacing w:before="0" w:after="0" w:line="240" w:lineRule="auto"/>
        <w:ind w:left="660" w:right="0" w:firstLine="0"/>
        <w:jc w:val="left"/>
      </w:pPr>
      <w:r>
        <w:rPr>
          <w:color w:val="000000"/>
          <w:spacing w:val="0"/>
          <w:w w:val="100"/>
          <w:position w:val="0"/>
          <w:shd w:val="clear" w:color="auto" w:fill="auto"/>
          <w:lang w:val="pt-PT" w:eastAsia="pt-PT" w:bidi="pt-PT"/>
        </w:rPr>
        <w:t>0036 ASSISTENCIA CRIANCA E ADOLESCENTE</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08.243.2.009 COORDENACAO, APOIO E MANUT. DO FUNDO</w:t>
      </w:r>
    </w:p>
    <w:tbl>
      <w:tblPr>
        <w:tblOverlap w:val="never"/>
        <w:jc w:val="center"/>
        <w:tblLayout w:type="fixed"/>
      </w:tblPr>
      <w:tblGrid>
        <w:gridCol w:w="1114"/>
        <w:gridCol w:w="4598"/>
        <w:gridCol w:w="1565"/>
        <w:gridCol w:w="1358"/>
        <w:gridCol w:w="1416"/>
        <w:gridCol w:w="1426"/>
        <w:gridCol w:w="1426"/>
        <w:gridCol w:w="1186"/>
      </w:tblGrid>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130.265,05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14.932,44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169.950,00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278.883,00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291.432,74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303.090,05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314.607,47</w:t>
            </w:r>
          </w:p>
        </w:tc>
      </w:tr>
      <w:tr>
        <w:trPr>
          <w:trHeight w:val="22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3.3.90.92.00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Despesas de Exercícios Anteriores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299.856,00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600.071,05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14.932,44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323.814,14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336.766,73</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349.563,89</w:t>
            </w:r>
          </w:p>
        </w:tc>
      </w:tr>
      <w:tr>
        <w:trPr>
          <w:trHeight w:val="27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6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600.071,05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14.932,44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323.814,14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30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336.766,73</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349.563,89</w:t>
            </w:r>
          </w:p>
        </w:tc>
      </w:tr>
    </w:tbl>
    <w:p>
      <w:pPr>
        <w:sectPr>
          <w:footnotePr>
            <w:pos w:val="pageBottom"/>
            <w:numFmt w:val="decimal"/>
            <w:numRestart w:val="continuous"/>
          </w:footnotePr>
          <w:pgSz w:w="16840" w:h="11900" w:orient="landscape"/>
          <w:pgMar w:top="2068" w:left="1162" w:right="1512" w:bottom="2068" w:header="0" w:footer="1640" w:gutter="0"/>
          <w:cols w:space="720"/>
          <w:noEndnote/>
          <w:rtlGutter w:val="0"/>
          <w:docGrid w:linePitch="360"/>
        </w:sectPr>
      </w:pPr>
    </w:p>
    <w:p>
      <w:pPr>
        <w:widowControl w:val="0"/>
        <w:spacing w:line="1" w:lineRule="exact"/>
      </w:pPr>
      <w:r>
        <mc:AlternateContent>
          <mc:Choice Requires="wps">
            <w:drawing>
              <wp:anchor distT="130810" distB="158750" distL="0" distR="0" simplePos="0" relativeHeight="125829455" behindDoc="0" locked="0" layoutInCell="1" allowOverlap="1">
                <wp:simplePos x="0" y="0"/>
                <wp:positionH relativeFrom="page">
                  <wp:posOffset>793115</wp:posOffset>
                </wp:positionH>
                <wp:positionV relativeFrom="paragraph">
                  <wp:posOffset>130810</wp:posOffset>
                </wp:positionV>
                <wp:extent cx="628015" cy="173990"/>
                <wp:wrapTopAndBottom/>
                <wp:docPr id="189" name="Shape 189"/>
                <a:graphic xmlns:a="http://schemas.openxmlformats.org/drawingml/2006/main">
                  <a:graphicData uri="http://schemas.microsoft.com/office/word/2010/wordprocessingShape">
                    <wps:wsp>
                      <wps:cNvSpPr txBox="1"/>
                      <wps:spPr>
                        <a:xfrm>
                          <a:ext cx="628015" cy="1739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CÓDIGOS</w:t>
                            </w:r>
                          </w:p>
                        </w:txbxContent>
                      </wps:txbx>
                      <wps:bodyPr wrap="none" lIns="0" tIns="0" rIns="0" bIns="0">
                        <a:noAutoFit/>
                      </wps:bodyPr>
                    </wps:wsp>
                  </a:graphicData>
                </a:graphic>
              </wp:anchor>
            </w:drawing>
          </mc:Choice>
          <mc:Fallback>
            <w:pict>
              <v:shape id="_x0000_s1215" type="#_x0000_t202" style="position:absolute;margin-left:62.450000000000003pt;margin-top:10.300000000000001pt;width:49.450000000000003pt;height:13.699999999999999pt;z-index:-125829298;mso-wrap-distance-left:0;mso-wrap-distance-top:10.300000000000001pt;mso-wrap-distance-right:0;mso-wrap-distance-bottom:12.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CÓDIGOS</w:t>
                      </w:r>
                    </w:p>
                  </w:txbxContent>
                </v:textbox>
                <w10:wrap type="topAndBottom" anchorx="page"/>
              </v:shape>
            </w:pict>
          </mc:Fallback>
        </mc:AlternateContent>
      </w:r>
      <w:r>
        <mc:AlternateContent>
          <mc:Choice Requires="wps">
            <w:drawing>
              <wp:anchor distT="130810" distB="156210" distL="0" distR="0" simplePos="0" relativeHeight="125829457" behindDoc="0" locked="0" layoutInCell="1" allowOverlap="1">
                <wp:simplePos x="0" y="0"/>
                <wp:positionH relativeFrom="page">
                  <wp:posOffset>2386965</wp:posOffset>
                </wp:positionH>
                <wp:positionV relativeFrom="paragraph">
                  <wp:posOffset>130810</wp:posOffset>
                </wp:positionV>
                <wp:extent cx="1048385" cy="176530"/>
                <wp:wrapTopAndBottom/>
                <wp:docPr id="191" name="Shape 191"/>
                <a:graphic xmlns:a="http://schemas.openxmlformats.org/drawingml/2006/main">
                  <a:graphicData uri="http://schemas.microsoft.com/office/word/2010/wordprocessingShape">
                    <wps:wsp>
                      <wps:cNvSpPr txBox="1"/>
                      <wps:spPr>
                        <a:xfrm>
                          <a:ext cx="1048385" cy="1765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xbxContent>
                      </wps:txbx>
                      <wps:bodyPr wrap="none" lIns="0" tIns="0" rIns="0" bIns="0">
                        <a:noAutoFit/>
                      </wps:bodyPr>
                    </wps:wsp>
                  </a:graphicData>
                </a:graphic>
              </wp:anchor>
            </w:drawing>
          </mc:Choice>
          <mc:Fallback>
            <w:pict>
              <v:shape id="_x0000_s1217" type="#_x0000_t202" style="position:absolute;margin-left:187.94999999999999pt;margin-top:10.300000000000001pt;width:82.549999999999997pt;height:13.9pt;z-index:-125829296;mso-wrap-distance-left:0;mso-wrap-distance-top:10.300000000000001pt;mso-wrap-distance-right:0;mso-wrap-distance-bottom:12.3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DISCRIMINAÇÃO</w:t>
                      </w:r>
                    </w:p>
                  </w:txbxContent>
                </v:textbox>
                <w10:wrap type="topAndBottom" anchorx="page"/>
              </v:shape>
            </w:pict>
          </mc:Fallback>
        </mc:AlternateContent>
      </w:r>
      <w:r>
        <mc:AlternateContent>
          <mc:Choice Requires="wps">
            <w:drawing>
              <wp:anchor distT="0" distB="0" distL="0" distR="0" simplePos="0" relativeHeight="125829459" behindDoc="0" locked="0" layoutInCell="1" allowOverlap="1">
                <wp:simplePos x="0" y="0"/>
                <wp:positionH relativeFrom="page">
                  <wp:posOffset>4335145</wp:posOffset>
                </wp:positionH>
                <wp:positionV relativeFrom="paragraph">
                  <wp:posOffset>0</wp:posOffset>
                </wp:positionV>
                <wp:extent cx="5376545" cy="463550"/>
                <wp:wrapTopAndBottom/>
                <wp:docPr id="193" name="Shape 193"/>
                <a:graphic xmlns:a="http://schemas.openxmlformats.org/drawingml/2006/main">
                  <a:graphicData uri="http://schemas.microsoft.com/office/word/2010/wordprocessingShape">
                    <wps:wsp>
                      <wps:cNvSpPr txBox="1"/>
                      <wps:spPr>
                        <a:xfrm>
                          <a:ext cx="5376545" cy="463550"/>
                        </a:xfrm>
                        <a:prstGeom prst="rect"/>
                        <a:noFill/>
                      </wps:spPr>
                      <wps:txbx>
                        <w:txbxContent>
                          <w:tbl>
                            <w:tblPr>
                              <w:tblOverlap w:val="never"/>
                              <w:jc w:val="left"/>
                              <w:tblLayout w:type="fixed"/>
                            </w:tblPr>
                            <w:tblGrid>
                              <w:gridCol w:w="1411"/>
                              <w:gridCol w:w="1411"/>
                              <w:gridCol w:w="1421"/>
                              <w:gridCol w:w="1426"/>
                              <w:gridCol w:w="1426"/>
                              <w:gridCol w:w="1373"/>
                            </w:tblGrid>
                            <w:tr>
                              <w:trPr>
                                <w:tblHeader/>
                                <w:trHeight w:val="365" w:hRule="exact"/>
                              </w:trPr>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line="1" w:lineRule="exact"/>
                            </w:pPr>
                          </w:p>
                        </w:txbxContent>
                      </wps:txbx>
                      <wps:bodyPr lIns="0" tIns="0" rIns="0" bIns="0">
                        <a:noAutoFit/>
                      </wps:bodyPr>
                    </wps:wsp>
                  </a:graphicData>
                </a:graphic>
              </wp:anchor>
            </w:drawing>
          </mc:Choice>
          <mc:Fallback>
            <w:pict>
              <v:shape id="_x0000_s1219" type="#_x0000_t202" style="position:absolute;margin-left:341.35000000000002pt;margin-top:0;width:423.35000000000002pt;height:36.5pt;z-index:-125829294;mso-wrap-distance-left:0;mso-wrap-distance-right:0;mso-position-horizontal-relative:page" filled="f" stroked="f">
                <v:textbox inset="0,0,0,0">
                  <w:txbxContent>
                    <w:tbl>
                      <w:tblPr>
                        <w:tblOverlap w:val="never"/>
                        <w:jc w:val="left"/>
                        <w:tblLayout w:type="fixed"/>
                      </w:tblPr>
                      <w:tblGrid>
                        <w:gridCol w:w="1411"/>
                        <w:gridCol w:w="1411"/>
                        <w:gridCol w:w="1421"/>
                        <w:gridCol w:w="1426"/>
                        <w:gridCol w:w="1426"/>
                        <w:gridCol w:w="1373"/>
                      </w:tblGrid>
                      <w:tr>
                        <w:trPr>
                          <w:tblHeader/>
                          <w:trHeight w:val="365" w:hRule="exact"/>
                        </w:trPr>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line="1" w:lineRule="exact"/>
                      </w:pPr>
                    </w:p>
                  </w:txbxContent>
                </v:textbox>
                <w10:wrap type="topAndBottom" anchorx="page"/>
              </v:shape>
            </w:pict>
          </mc:Fallback>
        </mc:AlternateContent>
      </w:r>
    </w:p>
    <w:p>
      <w:pPr>
        <w:pStyle w:val="Style54"/>
        <w:keepNext/>
        <w:keepLines/>
        <w:widowControl w:val="0"/>
        <w:shd w:val="clear" w:color="auto" w:fill="auto"/>
        <w:bidi w:val="0"/>
        <w:spacing w:before="0" w:after="0" w:line="240" w:lineRule="auto"/>
        <w:ind w:left="860" w:right="0" w:firstLine="0"/>
        <w:jc w:val="left"/>
      </w:pPr>
      <w:bookmarkStart w:id="45" w:name="bookmark45"/>
      <w:r>
        <w:rPr>
          <w:color w:val="000000"/>
          <w:spacing w:val="0"/>
          <w:w w:val="100"/>
          <w:position w:val="0"/>
          <w:shd w:val="clear" w:color="auto" w:fill="auto"/>
          <w:lang w:val="pt-PT" w:eastAsia="pt-PT" w:bidi="pt-PT"/>
        </w:rPr>
        <w:t>03 ADMINISTRACAO INDIRETA</w:t>
      </w:r>
      <w:bookmarkEnd w:id="45"/>
    </w:p>
    <w:p>
      <w:pPr>
        <w:pStyle w:val="Style54"/>
        <w:keepNext/>
        <w:keepLines/>
        <w:widowControl w:val="0"/>
        <w:shd w:val="clear" w:color="auto" w:fill="auto"/>
        <w:bidi w:val="0"/>
        <w:spacing w:before="0" w:after="140" w:line="240" w:lineRule="auto"/>
        <w:ind w:left="460" w:right="0" w:firstLine="0"/>
        <w:jc w:val="left"/>
      </w:pPr>
      <w:bookmarkStart w:id="46" w:name="bookmark46"/>
      <w:r>
        <w:rPr>
          <w:color w:val="000000"/>
          <w:spacing w:val="0"/>
          <w:w w:val="100"/>
          <w:position w:val="0"/>
          <w:shd w:val="clear" w:color="auto" w:fill="auto"/>
          <w:lang w:val="pt-PT" w:eastAsia="pt-PT" w:bidi="pt-PT"/>
        </w:rPr>
        <w:t>03.013 FUNDO MUNICIPAL DE TURISMO - FUNTUR</w:t>
      </w:r>
      <w:bookmarkEnd w:id="46"/>
    </w:p>
    <w:p>
      <w:pPr>
        <w:pStyle w:val="Style29"/>
        <w:keepNext w:val="0"/>
        <w:keepLines w:val="0"/>
        <w:widowControl w:val="0"/>
        <w:shd w:val="clear" w:color="auto" w:fill="auto"/>
        <w:bidi w:val="0"/>
        <w:spacing w:before="0" w:after="0" w:line="240" w:lineRule="auto"/>
        <w:ind w:left="680" w:right="0" w:firstLine="0"/>
        <w:jc w:val="left"/>
      </w:pPr>
      <w:r>
        <w:rPr>
          <w:color w:val="000000"/>
          <w:spacing w:val="0"/>
          <w:w w:val="100"/>
          <w:position w:val="0"/>
          <w:shd w:val="clear" w:color="auto" w:fill="auto"/>
          <w:lang w:val="pt-PT" w:eastAsia="pt-PT" w:bidi="pt-PT"/>
        </w:rPr>
        <w:t>0013 FOMENTO AO TURISMO MUNICIPIO</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23.695.2.095 MANUT. E FUNC. MUNICIPAL DE TURISMO -</w:t>
      </w:r>
    </w:p>
    <w:tbl>
      <w:tblPr>
        <w:tblOverlap w:val="never"/>
        <w:jc w:val="center"/>
        <w:tblLayout w:type="fixed"/>
      </w:tblPr>
      <w:tblGrid>
        <w:gridCol w:w="1114"/>
        <w:gridCol w:w="4838"/>
        <w:gridCol w:w="1512"/>
        <w:gridCol w:w="1176"/>
        <w:gridCol w:w="1416"/>
        <w:gridCol w:w="1426"/>
        <w:gridCol w:w="1421"/>
        <w:gridCol w:w="1200"/>
      </w:tblGrid>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20.658,00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21.587,61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22.451,11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33.052,80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34.540,18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35.921,79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37.286,82</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34.085,70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35.619,56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37.044,34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38.452,02</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10.793,81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11.225,56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11.652,13</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180.757,50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188.891,60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196.447,26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203.912,26</w:t>
            </w:r>
          </w:p>
        </w:tc>
      </w:tr>
      <w:tr>
        <w:trPr>
          <w:trHeight w:val="27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180.757,50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188.891,60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196.447,26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203.912,26</w:t>
            </w:r>
          </w:p>
        </w:tc>
      </w:tr>
    </w:tbl>
    <w:p>
      <w:pPr>
        <w:sectPr>
          <w:footnotePr>
            <w:pos w:val="pageBottom"/>
            <w:numFmt w:val="decimal"/>
            <w:numRestart w:val="continuous"/>
          </w:footnotePr>
          <w:pgSz w:w="16840" w:h="11900" w:orient="landscape"/>
          <w:pgMar w:top="2068" w:left="1158" w:right="1499" w:bottom="2068" w:header="0" w:footer="1640" w:gutter="0"/>
          <w:cols w:space="720"/>
          <w:noEndnote/>
          <w:rtlGutter w:val="0"/>
          <w:docGrid w:linePitch="360"/>
        </w:sectPr>
      </w:pPr>
    </w:p>
    <w:p>
      <w:pPr>
        <w:pStyle w:val="Style33"/>
        <w:keepNext w:val="0"/>
        <w:keepLines w:val="0"/>
        <w:widowControl w:val="0"/>
        <w:shd w:val="clear" w:color="auto" w:fill="auto"/>
        <w:bidi w:val="0"/>
        <w:spacing w:before="0" w:after="40" w:line="240" w:lineRule="auto"/>
        <w:ind w:left="2563"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33"/>
        <w:keepNext w:val="0"/>
        <w:keepLines w:val="0"/>
        <w:widowControl w:val="0"/>
        <w:shd w:val="clear" w:color="auto" w:fill="auto"/>
        <w:bidi w:val="0"/>
        <w:spacing w:before="0" w:after="40" w:line="240" w:lineRule="auto"/>
        <w:ind w:left="2563"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33"/>
        <w:keepNext w:val="0"/>
        <w:keepLines w:val="0"/>
        <w:widowControl w:val="0"/>
        <w:shd w:val="clear" w:color="auto" w:fill="auto"/>
        <w:bidi w:val="0"/>
        <w:spacing w:before="0" w:after="0" w:line="240" w:lineRule="auto"/>
        <w:ind w:left="2563"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33"/>
        <w:keepNext w:val="0"/>
        <w:keepLines w:val="0"/>
        <w:widowControl w:val="0"/>
        <w:shd w:val="clear" w:color="auto" w:fill="auto"/>
        <w:tabs>
          <w:tab w:pos="10104" w:val="left"/>
        </w:tabs>
        <w:bidi w:val="0"/>
        <w:spacing w:before="0" w:after="40" w:line="240" w:lineRule="auto"/>
        <w:ind w:left="0" w:right="0" w:firstLine="0"/>
        <w:jc w:val="both"/>
        <w:rPr>
          <w:sz w:val="20"/>
          <w:szCs w:val="20"/>
        </w:rPr>
      </w:pPr>
      <w:r>
        <w:rPr>
          <w:color w:val="000000"/>
          <w:spacing w:val="0"/>
          <w:w w:val="100"/>
          <w:position w:val="0"/>
          <w:sz w:val="20"/>
          <w:szCs w:val="20"/>
          <w:shd w:val="clear" w:color="auto" w:fill="auto"/>
          <w:lang w:val="pt-PT" w:eastAsia="pt-PT" w:bidi="pt-PT"/>
        </w:rPr>
        <w:t>METODOLOGIA E MEMÓRIA DE CÁLCULO DAS METAS ANUAIS</w:t>
        <w:tab/>
      </w:r>
      <w:r>
        <w:rPr>
          <w:rFonts w:ascii="Times New Roman" w:eastAsia="Times New Roman" w:hAnsi="Times New Roman" w:cs="Times New Roman"/>
          <w:color w:val="000000"/>
          <w:spacing w:val="0"/>
          <w:w w:val="100"/>
          <w:position w:val="0"/>
          <w:sz w:val="20"/>
          <w:szCs w:val="20"/>
          <w:shd w:val="clear" w:color="auto" w:fill="auto"/>
          <w:lang w:val="pt-PT" w:eastAsia="pt-PT" w:bidi="pt-PT"/>
        </w:rPr>
        <w:t>Página: 55</w:t>
      </w:r>
    </w:p>
    <w:tbl>
      <w:tblPr>
        <w:tblOverlap w:val="never"/>
        <w:jc w:val="center"/>
        <w:tblLayout w:type="fixed"/>
      </w:tblPr>
      <w:tblGrid>
        <w:gridCol w:w="1094"/>
        <w:gridCol w:w="4531"/>
        <w:gridCol w:w="1411"/>
        <w:gridCol w:w="1411"/>
        <w:gridCol w:w="1421"/>
        <w:gridCol w:w="1426"/>
        <w:gridCol w:w="1426"/>
        <w:gridCol w:w="1373"/>
      </w:tblGrid>
      <w:tr>
        <w:trPr>
          <w:trHeight w:val="302" w:hRule="exact"/>
        </w:trPr>
        <w:tc>
          <w:tcPr>
            <w:gridSpan w:val="6"/>
            <w:tcBorders/>
            <w:shd w:val="clear" w:color="auto" w:fill="FFFFFF"/>
            <w:vAlign w:val="bottom"/>
          </w:tcPr>
          <w:p>
            <w:pPr>
              <w:pStyle w:val="Style23"/>
              <w:keepNext w:val="0"/>
              <w:keepLines w:val="0"/>
              <w:widowControl w:val="0"/>
              <w:shd w:val="clear" w:color="auto" w:fill="auto"/>
              <w:bidi w:val="0"/>
              <w:spacing w:before="0" w:after="0" w:line="240" w:lineRule="auto"/>
              <w:ind w:left="258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II.b - Demonstrativo da Despesa por Órgão, Unidade, Programa e Projeto/Atividade</w:t>
            </w:r>
          </w:p>
        </w:tc>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140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c>
      </w:tr>
      <w:tr>
        <w:trPr>
          <w:trHeight w:val="360"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0"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r>
        <w:trPr>
          <w:trHeight w:val="346" w:hRule="exact"/>
        </w:trPr>
        <w:tc>
          <w:tcPr>
            <w:gridSpan w:val="2"/>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820" w:right="0" w:firstLine="0"/>
              <w:jc w:val="left"/>
              <w:rPr>
                <w:sz w:val="20"/>
                <w:szCs w:val="20"/>
              </w:rPr>
            </w:pPr>
            <w:r>
              <w:rPr>
                <w:rFonts w:ascii="Arial" w:eastAsia="Arial" w:hAnsi="Arial" w:cs="Arial"/>
                <w:b/>
                <w:bCs/>
                <w:color w:val="000000"/>
                <w:spacing w:val="0"/>
                <w:w w:val="100"/>
                <w:position w:val="0"/>
                <w:sz w:val="20"/>
                <w:szCs w:val="20"/>
                <w:shd w:val="clear" w:color="auto" w:fill="auto"/>
                <w:lang w:val="pt-PT" w:eastAsia="pt-PT" w:bidi="pt-PT"/>
              </w:rPr>
              <w:t>03 ADMINISTRACAO INDIRETA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r>
      <w:tr>
        <w:trPr>
          <w:trHeight w:val="312" w:hRule="exact"/>
        </w:trPr>
        <w:tc>
          <w:tcPr>
            <w:gridSpan w:val="3"/>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b/>
                <w:bCs/>
                <w:color w:val="000000"/>
                <w:spacing w:val="0"/>
                <w:w w:val="100"/>
                <w:position w:val="0"/>
                <w:sz w:val="20"/>
                <w:szCs w:val="20"/>
                <w:shd w:val="clear" w:color="auto" w:fill="auto"/>
                <w:lang w:val="pt-PT" w:eastAsia="pt-PT" w:bidi="pt-PT"/>
              </w:rPr>
              <w:t>03.014 FUNDO MUNICIPAL DE DESENV. E MEIO AMBIENTE - FMDMA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12"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0018 GESTAO DE MEIO AMBIENTE NO MUNICIPIO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18.542.2.096 MAN. FUNC. FUNDO MUN. DE DESENV. E MEIO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6.197,40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6.476,28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6.735,33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6.991,27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11.652,13</w:t>
            </w:r>
          </w:p>
        </w:tc>
      </w:tr>
      <w:tr>
        <w:trPr>
          <w:trHeight w:val="22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29.954,10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31.302,03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32.554,11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33.791,17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30.987,00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32.381,42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33.676,68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34.956,39</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10.329,00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10.793,81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11.225,56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11.652,13</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180.757,50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188.891,60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196.447,26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203.912,26</w:t>
            </w:r>
          </w:p>
        </w:tc>
      </w:tr>
      <w:tr>
        <w:trPr>
          <w:trHeight w:val="27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180.757,50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188.891,60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196.447,26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203.912,26</w:t>
            </w:r>
          </w:p>
        </w:tc>
      </w:tr>
    </w:tbl>
    <w:p>
      <w:pPr>
        <w:sectPr>
          <w:headerReference w:type="default" r:id="rId95"/>
          <w:footerReference w:type="default" r:id="rId96"/>
          <w:footnotePr>
            <w:pos w:val="pageBottom"/>
            <w:numFmt w:val="decimal"/>
            <w:numRestart w:val="continuous"/>
          </w:footnotePr>
          <w:pgSz w:w="16840" w:h="11900" w:orient="landscape"/>
          <w:pgMar w:top="657" w:left="1201" w:right="1547" w:bottom="657" w:header="229" w:footer="229" w:gutter="0"/>
          <w:pgNumType w:start="94"/>
          <w:cols w:space="720"/>
          <w:noEndnote/>
          <w:rtlGutter w:val="0"/>
          <w:docGrid w:linePitch="360"/>
        </w:sectPr>
      </w:pP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p>
      <w:pPr>
        <w:pStyle w:val="Style54"/>
        <w:keepNext/>
        <w:keepLines/>
        <w:widowControl w:val="0"/>
        <w:shd w:val="clear" w:color="auto" w:fill="auto"/>
        <w:bidi w:val="0"/>
        <w:spacing w:before="0" w:after="0" w:line="240" w:lineRule="auto"/>
        <w:ind w:left="860" w:right="0" w:firstLine="0"/>
        <w:jc w:val="left"/>
      </w:pPr>
      <w:bookmarkStart w:id="47" w:name="bookmark47"/>
      <w:r>
        <w:rPr>
          <w:color w:val="000000"/>
          <w:spacing w:val="0"/>
          <w:w w:val="100"/>
          <w:position w:val="0"/>
          <w:shd w:val="clear" w:color="auto" w:fill="auto"/>
          <w:lang w:val="pt-PT" w:eastAsia="pt-PT" w:bidi="pt-PT"/>
        </w:rPr>
        <w:t>03 ADMINISTRACAO INDIRETA</w:t>
      </w:r>
      <w:bookmarkEnd w:id="47"/>
    </w:p>
    <w:p>
      <w:pPr>
        <w:pStyle w:val="Style54"/>
        <w:keepNext/>
        <w:keepLines/>
        <w:widowControl w:val="0"/>
        <w:shd w:val="clear" w:color="auto" w:fill="auto"/>
        <w:bidi w:val="0"/>
        <w:spacing w:before="0" w:after="140" w:line="240" w:lineRule="auto"/>
        <w:ind w:left="460" w:right="0" w:firstLine="0"/>
        <w:jc w:val="left"/>
      </w:pPr>
      <w:bookmarkStart w:id="48" w:name="bookmark48"/>
      <w:r>
        <w:rPr>
          <w:color w:val="000000"/>
          <w:spacing w:val="0"/>
          <w:w w:val="100"/>
          <w:position w:val="0"/>
          <w:shd w:val="clear" w:color="auto" w:fill="auto"/>
          <w:lang w:val="pt-PT" w:eastAsia="pt-PT" w:bidi="pt-PT"/>
        </w:rPr>
        <w:t>03.015 FUNDO MUNICIPAL DE DEFESA CIVIL - FUMDEC</w:t>
      </w:r>
      <w:bookmarkEnd w:id="48"/>
    </w:p>
    <w:p>
      <w:pPr>
        <w:pStyle w:val="Style29"/>
        <w:keepNext w:val="0"/>
        <w:keepLines w:val="0"/>
        <w:widowControl w:val="0"/>
        <w:shd w:val="clear" w:color="auto" w:fill="auto"/>
        <w:bidi w:val="0"/>
        <w:spacing w:before="0" w:after="0" w:line="240" w:lineRule="auto"/>
        <w:ind w:left="660" w:right="0" w:firstLine="0"/>
        <w:jc w:val="left"/>
      </w:pPr>
      <w:r>
        <w:rPr>
          <w:color w:val="000000"/>
          <w:spacing w:val="0"/>
          <w:w w:val="100"/>
          <w:position w:val="0"/>
          <w:shd w:val="clear" w:color="auto" w:fill="auto"/>
          <w:lang w:val="pt-PT" w:eastAsia="pt-PT" w:bidi="pt-PT"/>
        </w:rPr>
        <w:t>0022 DEFESA CIVIL</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06.182.2.097 MANUT. E FUNC. FUNDO MUN. DA DEFESA CIVIL -</w:t>
      </w:r>
    </w:p>
    <w:tbl>
      <w:tblPr>
        <w:tblOverlap w:val="never"/>
        <w:jc w:val="center"/>
        <w:tblLayout w:type="fixed"/>
      </w:tblPr>
      <w:tblGrid>
        <w:gridCol w:w="1114"/>
        <w:gridCol w:w="4838"/>
        <w:gridCol w:w="1512"/>
        <w:gridCol w:w="1176"/>
        <w:gridCol w:w="1416"/>
        <w:gridCol w:w="1426"/>
        <w:gridCol w:w="1421"/>
        <w:gridCol w:w="1200"/>
      </w:tblGrid>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Consumo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2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20.658,00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21.587,61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22.451,11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25.822,50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26.984,51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28.063,89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29.130,32</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10.793,81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11.225,56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11.652,13</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180.757,50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188.891,59</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196.447,25</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203.912,26</w:t>
            </w:r>
          </w:p>
        </w:tc>
      </w:tr>
      <w:tr>
        <w:trPr>
          <w:trHeight w:val="27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180.757,50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188.891,59</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196.447,25</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203.912,26</w:t>
            </w:r>
          </w:p>
        </w:tc>
      </w:tr>
    </w:tbl>
    <w:p>
      <w:pPr>
        <w:sectPr>
          <w:headerReference w:type="default" r:id="rId97"/>
          <w:footerReference w:type="default" r:id="rId98"/>
          <w:footnotePr>
            <w:pos w:val="pageBottom"/>
            <w:numFmt w:val="decimal"/>
            <w:numRestart w:val="continuous"/>
          </w:footnotePr>
          <w:pgSz w:w="16840" w:h="11900" w:orient="landscape"/>
          <w:pgMar w:top="2068" w:left="1162" w:right="1498" w:bottom="2068" w:header="0" w:footer="1640" w:gutter="0"/>
          <w:pgNumType w:start="56"/>
          <w:cols w:space="720"/>
          <w:noEndnote/>
          <w:rtlGutter w:val="0"/>
          <w:docGrid w:linePitch="360"/>
        </w:sectPr>
      </w:pP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99" w:line="1" w:lineRule="exact"/>
      </w:pPr>
    </w:p>
    <w:p>
      <w:pPr>
        <w:pStyle w:val="Style54"/>
        <w:keepNext/>
        <w:keepLines/>
        <w:widowControl w:val="0"/>
        <w:shd w:val="clear" w:color="auto" w:fill="auto"/>
        <w:bidi w:val="0"/>
        <w:spacing w:before="0" w:after="0" w:line="240" w:lineRule="auto"/>
        <w:ind w:left="860" w:right="0" w:firstLine="0"/>
        <w:jc w:val="left"/>
      </w:pPr>
      <w:bookmarkStart w:id="49" w:name="bookmark49"/>
      <w:r>
        <w:rPr>
          <w:color w:val="000000"/>
          <w:spacing w:val="0"/>
          <w:w w:val="100"/>
          <w:position w:val="0"/>
          <w:shd w:val="clear" w:color="auto" w:fill="auto"/>
          <w:lang w:val="pt-PT" w:eastAsia="pt-PT" w:bidi="pt-PT"/>
        </w:rPr>
        <w:t>03 ADMINISTRACAO INDIRETA</w:t>
      </w:r>
      <w:bookmarkEnd w:id="49"/>
    </w:p>
    <w:p>
      <w:pPr>
        <w:pStyle w:val="Style54"/>
        <w:keepNext/>
        <w:keepLines/>
        <w:widowControl w:val="0"/>
        <w:shd w:val="clear" w:color="auto" w:fill="auto"/>
        <w:bidi w:val="0"/>
        <w:spacing w:before="0" w:after="140" w:line="240" w:lineRule="auto"/>
        <w:ind w:left="460" w:right="0" w:firstLine="0"/>
        <w:jc w:val="left"/>
      </w:pPr>
      <w:bookmarkStart w:id="50" w:name="bookmark50"/>
      <w:r>
        <w:rPr>
          <w:color w:val="000000"/>
          <w:spacing w:val="0"/>
          <w:w w:val="100"/>
          <w:position w:val="0"/>
          <w:shd w:val="clear" w:color="auto" w:fill="auto"/>
          <w:lang w:val="pt-PT" w:eastAsia="pt-PT" w:bidi="pt-PT"/>
        </w:rPr>
        <w:t>03.016 FUNDO MUNICIPAL DE DIREITO DO IDOSO</w:t>
      </w:r>
      <w:bookmarkEnd w:id="50"/>
    </w:p>
    <w:p>
      <w:pPr>
        <w:pStyle w:val="Style29"/>
        <w:keepNext w:val="0"/>
        <w:keepLines w:val="0"/>
        <w:widowControl w:val="0"/>
        <w:shd w:val="clear" w:color="auto" w:fill="auto"/>
        <w:bidi w:val="0"/>
        <w:spacing w:before="0" w:after="0" w:line="240" w:lineRule="auto"/>
        <w:ind w:left="660" w:right="0" w:firstLine="0"/>
        <w:jc w:val="left"/>
      </w:pPr>
      <w:r>
        <w:rPr>
          <w:color w:val="000000"/>
          <w:spacing w:val="0"/>
          <w:w w:val="100"/>
          <w:position w:val="0"/>
          <w:shd w:val="clear" w:color="auto" w:fill="auto"/>
          <w:lang w:val="pt-PT" w:eastAsia="pt-PT" w:bidi="pt-PT"/>
        </w:rPr>
        <w:t>0015 ASSISTENCIA AO IDOSO</w:t>
      </w:r>
    </w:p>
    <w:p>
      <w:pPr>
        <w:pStyle w:val="Style2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08.241.2.098 MAN. FUNC. FUNDO MUN. DIREITO DO IDOSO</w:t>
      </w:r>
    </w:p>
    <w:tbl>
      <w:tblPr>
        <w:tblOverlap w:val="never"/>
        <w:jc w:val="center"/>
        <w:tblLayout w:type="fixed"/>
      </w:tblPr>
      <w:tblGrid>
        <w:gridCol w:w="1114"/>
        <w:gridCol w:w="4838"/>
        <w:gridCol w:w="1512"/>
        <w:gridCol w:w="1176"/>
        <w:gridCol w:w="1416"/>
        <w:gridCol w:w="1426"/>
        <w:gridCol w:w="1421"/>
        <w:gridCol w:w="1200"/>
      </w:tblGrid>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3.1.90.11.00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Vencimentos e Vant. Fixas - Pessoal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3.3.90.14.00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Diárias - Civil</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3.098,70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3.238,14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3.367,67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3.495,64</w:t>
            </w:r>
          </w:p>
        </w:tc>
      </w:tr>
      <w:tr>
        <w:trPr>
          <w:trHeight w:val="21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3.3.90.32.00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Material de Distribuição Gratuita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20.658,00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21.587,61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22.451,11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23.304,25</w:t>
            </w:r>
          </w:p>
        </w:tc>
      </w:tr>
      <w:tr>
        <w:trPr>
          <w:trHeight w:val="22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3.3.90.33.00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Passagens e Despesas com Locomoção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15.493,50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16.190,71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16.838,34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17.478,20</w:t>
            </w:r>
          </w:p>
        </w:tc>
      </w:tr>
      <w:tr>
        <w:trPr>
          <w:trHeight w:val="19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3.3.90.36.00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Física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22.723,80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23.746,37</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24.696,22</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25.634,68</w:t>
            </w:r>
          </w:p>
        </w:tc>
      </w:tr>
      <w:tr>
        <w:trPr>
          <w:trHeight w:val="21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3.3.90.39.00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Serviços de Terc. - Pessoa Jurídica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56.127,79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58.260,65</w:t>
            </w:r>
          </w:p>
        </w:tc>
      </w:tr>
      <w:tr>
        <w:trPr>
          <w:trHeight w:val="20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3.3.90.48.00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Outros Aux.Financeiros a Pessoas Físicas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5.164,50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5.396,90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5.612,78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5.826,07</w:t>
            </w:r>
          </w:p>
        </w:tc>
      </w:tr>
      <w:tr>
        <w:trPr>
          <w:trHeight w:val="25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10.329,00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10.793,81</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11.225,56</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11.652,13</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180.757,50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188.891,60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196.447,26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203.912,27</w:t>
            </w:r>
          </w:p>
        </w:tc>
      </w:tr>
      <w:tr>
        <w:trPr>
          <w:trHeight w:val="278" w:hRule="exact"/>
        </w:trPr>
        <w:tc>
          <w:tcPr>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14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0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54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180.757,50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188.891,60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196.447,26</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203.912,27</w:t>
            </w:r>
          </w:p>
        </w:tc>
      </w:tr>
    </w:tbl>
    <w:p>
      <w:pPr>
        <w:sectPr>
          <w:footnotePr>
            <w:pos w:val="pageBottom"/>
            <w:numFmt w:val="decimal"/>
            <w:numRestart w:val="continuous"/>
          </w:footnotePr>
          <w:pgSz w:w="16840" w:h="11900" w:orient="landscape"/>
          <w:pgMar w:top="2068" w:left="1162" w:right="1498" w:bottom="2068" w:header="0" w:footer="1640" w:gutter="0"/>
          <w:cols w:space="720"/>
          <w:noEndnote/>
          <w:rtlGutter w:val="0"/>
          <w:docGrid w:linePitch="360"/>
        </w:sectPr>
      </w:pP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0"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r>
        <w:trPr>
          <w:trHeight w:val="346" w:hRule="exact"/>
        </w:trPr>
        <w:tc>
          <w:tcPr>
            <w:gridSpan w:val="2"/>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820" w:right="0" w:firstLine="0"/>
              <w:jc w:val="left"/>
              <w:rPr>
                <w:sz w:val="20"/>
                <w:szCs w:val="20"/>
              </w:rPr>
            </w:pPr>
            <w:r>
              <w:rPr>
                <w:rFonts w:ascii="Arial" w:eastAsia="Arial" w:hAnsi="Arial" w:cs="Arial"/>
                <w:b/>
                <w:bCs/>
                <w:color w:val="000000"/>
                <w:spacing w:val="0"/>
                <w:w w:val="100"/>
                <w:position w:val="0"/>
                <w:sz w:val="20"/>
                <w:szCs w:val="20"/>
                <w:shd w:val="clear" w:color="auto" w:fill="auto"/>
                <w:lang w:val="pt-PT" w:eastAsia="pt-PT" w:bidi="pt-PT"/>
              </w:rPr>
              <w:t>03 ADMINISTRACAO INDIRETA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r>
      <w:tr>
        <w:trPr>
          <w:trHeight w:val="312" w:hRule="exact"/>
        </w:trPr>
        <w:tc>
          <w:tcPr>
            <w:gridSpan w:val="4"/>
            <w:tcBorders/>
            <w:shd w:val="clear" w:color="auto" w:fill="FFFFFF"/>
            <w:vAlign w:val="top"/>
          </w:tcPr>
          <w:p>
            <w:pPr>
              <w:pStyle w:val="Style23"/>
              <w:keepNext w:val="0"/>
              <w:keepLines w:val="0"/>
              <w:widowControl w:val="0"/>
              <w:shd w:val="clear" w:color="auto" w:fill="auto"/>
              <w:bidi w:val="0"/>
              <w:spacing w:before="0" w:after="0" w:line="240" w:lineRule="auto"/>
              <w:ind w:left="420" w:right="0" w:firstLine="0"/>
              <w:jc w:val="left"/>
              <w:rPr>
                <w:sz w:val="20"/>
                <w:szCs w:val="20"/>
              </w:rPr>
            </w:pPr>
            <w:r>
              <w:rPr>
                <w:rFonts w:ascii="Arial" w:eastAsia="Arial" w:hAnsi="Arial" w:cs="Arial"/>
                <w:b/>
                <w:bCs/>
                <w:color w:val="000000"/>
                <w:spacing w:val="0"/>
                <w:w w:val="100"/>
                <w:position w:val="0"/>
                <w:sz w:val="20"/>
                <w:szCs w:val="20"/>
                <w:shd w:val="clear" w:color="auto" w:fill="auto"/>
                <w:lang w:val="pt-PT" w:eastAsia="pt-PT" w:bidi="pt-PT"/>
              </w:rPr>
              <w:t>03.111 FUNDO MUNICIPAL DE INFRAESTRUTURA E DESENV. URBANO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12"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620" w:right="0" w:firstLine="0"/>
              <w:jc w:val="left"/>
            </w:pPr>
            <w:r>
              <w:rPr>
                <w:rFonts w:ascii="Arial" w:eastAsia="Arial" w:hAnsi="Arial" w:cs="Arial"/>
                <w:color w:val="000000"/>
                <w:spacing w:val="0"/>
                <w:w w:val="100"/>
                <w:position w:val="0"/>
                <w:shd w:val="clear" w:color="auto" w:fill="auto"/>
                <w:lang w:val="pt-PT" w:eastAsia="pt-PT" w:bidi="pt-PT"/>
              </w:rPr>
              <w:t>0082 PLANEJAMENTO URBANO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gridSpan w:val="2"/>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15.451.2.164 FORTALEC. FUNDO MUNIC. INFRAEST. DESENV.</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4.4.90.51.00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Obras e Instalações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14.072.386,12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2.148.702,32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1.523.335,46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1.591.885,56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1.655.560,98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1.718.472,30</w:t>
            </w:r>
          </w:p>
        </w:tc>
      </w:tr>
      <w:tr>
        <w:trPr>
          <w:trHeight w:val="25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4.4.90.52.00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pPr>
            <w:r>
              <w:rPr>
                <w:rFonts w:ascii="Arial" w:eastAsia="Arial" w:hAnsi="Arial" w:cs="Arial"/>
                <w:color w:val="000000"/>
                <w:spacing w:val="0"/>
                <w:w w:val="100"/>
                <w:position w:val="0"/>
                <w:shd w:val="clear" w:color="auto" w:fill="auto"/>
                <w:lang w:val="pt-PT" w:eastAsia="pt-PT" w:bidi="pt-PT"/>
              </w:rPr>
              <w:t>Equipamentos e Material Permanente</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1.748.342,24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1.788.278,00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1.230.300,00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1.285.663,50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1.337.090,04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1.387.899,46</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Projeto/Atividade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15.820.728,36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3.936.980,32</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2.753.635,46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2.877.549,06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2.992.651,02</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3.106.371,76</w:t>
            </w:r>
          </w:p>
        </w:tc>
      </w:tr>
      <w:tr>
        <w:trPr>
          <w:trHeight w:val="374" w:hRule="exact"/>
        </w:trPr>
        <w:tc>
          <w:tcPr>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da Unidade</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15.820.728,36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3.936.980,32</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2.753.635,46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2.877.549,06</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2.992.651,02</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3.106.371,76</w:t>
            </w:r>
          </w:p>
        </w:tc>
      </w:tr>
      <w:tr>
        <w:trPr>
          <w:trHeight w:val="302" w:hRule="exact"/>
        </w:trPr>
        <w:tc>
          <w:tcPr>
            <w:tcBorders/>
            <w:shd w:val="clear" w:color="auto" w:fill="FFFFFF"/>
            <w:vAlign w:val="top"/>
          </w:tcPr>
          <w:p>
            <w:pPr>
              <w:widowControl w:val="0"/>
              <w:rPr>
                <w:sz w:val="10"/>
                <w:szCs w:val="10"/>
              </w:rPr>
            </w:pPr>
          </w:p>
        </w:tc>
        <w:tc>
          <w:tcPr>
            <w:tcBorders>
              <w:top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200" w:right="0" w:firstLine="0"/>
              <w:jc w:val="left"/>
            </w:pPr>
            <w:r>
              <w:rPr>
                <w:rFonts w:ascii="Arial" w:eastAsia="Arial" w:hAnsi="Arial" w:cs="Arial"/>
                <w:color w:val="000000"/>
                <w:spacing w:val="0"/>
                <w:w w:val="100"/>
                <w:position w:val="0"/>
                <w:shd w:val="clear" w:color="auto" w:fill="auto"/>
                <w:lang w:val="pt-PT" w:eastAsia="pt-PT" w:bidi="pt-PT"/>
              </w:rPr>
              <w:t>Total do Órgão</w:t>
            </w:r>
          </w:p>
        </w:tc>
        <w:tc>
          <w:tcPr>
            <w:tcBorders>
              <w:top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137.594.345,94</w:t>
            </w:r>
          </w:p>
        </w:tc>
        <w:tc>
          <w:tcPr>
            <w:tcBorders>
              <w:top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144.964.949,22</w:t>
            </w:r>
          </w:p>
        </w:tc>
        <w:tc>
          <w:tcPr>
            <w:tcBorders>
              <w:top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8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90.050.458,70</w:t>
            </w:r>
          </w:p>
        </w:tc>
        <w:tc>
          <w:tcPr>
            <w:tcBorders>
              <w:top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135.849.054,57</w:t>
            </w:r>
          </w:p>
        </w:tc>
        <w:tc>
          <w:tcPr>
            <w:tcBorders>
              <w:top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141.283.016,84</w:t>
            </w:r>
          </w:p>
        </w:tc>
        <w:tc>
          <w:tcPr>
            <w:tcBorders>
              <w:top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146.651.771,60</w:t>
            </w:r>
          </w:p>
        </w:tc>
      </w:tr>
    </w:tbl>
    <w:p>
      <w:pPr>
        <w:sectPr>
          <w:footnotePr>
            <w:pos w:val="pageBottom"/>
            <w:numFmt w:val="decimal"/>
            <w:numRestart w:val="continuous"/>
          </w:footnotePr>
          <w:pgSz w:w="16840" w:h="11900" w:orient="landscape"/>
          <w:pgMar w:top="2068" w:left="1201" w:right="1547" w:bottom="2068" w:header="0" w:footer="1640" w:gutter="0"/>
          <w:cols w:space="720"/>
          <w:noEndnote/>
          <w:rtlGutter w:val="0"/>
          <w:docGrid w:linePitch="360"/>
        </w:sectPr>
      </w:pPr>
    </w:p>
    <w:p>
      <w:pPr>
        <w:widowControl w:val="0"/>
        <w:spacing w:line="1" w:lineRule="exact"/>
      </w:pPr>
      <w:r>
        <mc:AlternateContent>
          <mc:Choice Requires="wps">
            <w:drawing>
              <wp:anchor distT="0" distB="1871980" distL="114300" distR="114300" simplePos="0" relativeHeight="125829461" behindDoc="0" locked="0" layoutInCell="1" allowOverlap="1">
                <wp:simplePos x="0" y="0"/>
                <wp:positionH relativeFrom="page">
                  <wp:posOffset>4532630</wp:posOffset>
                </wp:positionH>
                <wp:positionV relativeFrom="paragraph">
                  <wp:posOffset>1283335</wp:posOffset>
                </wp:positionV>
                <wp:extent cx="5239385" cy="1151890"/>
                <wp:wrapSquare wrapText="bothSides"/>
                <wp:docPr id="199" name="Shape 199"/>
                <a:graphic xmlns:a="http://schemas.openxmlformats.org/drawingml/2006/main">
                  <a:graphicData uri="http://schemas.microsoft.com/office/word/2010/wordprocessingShape">
                    <wps:wsp>
                      <wps:cNvSpPr txBox="1"/>
                      <wps:spPr>
                        <a:xfrm>
                          <a:ext cx="5239385" cy="1151890"/>
                        </a:xfrm>
                        <a:prstGeom prst="rect"/>
                        <a:noFill/>
                      </wps:spPr>
                      <wps:txbx>
                        <w:txbxContent>
                          <w:tbl>
                            <w:tblPr>
                              <w:tblOverlap w:val="never"/>
                              <w:jc w:val="left"/>
                              <w:tblLayout w:type="fixed"/>
                            </w:tblPr>
                            <w:tblGrid>
                              <w:gridCol w:w="1286"/>
                              <w:gridCol w:w="1406"/>
                              <w:gridCol w:w="1421"/>
                              <w:gridCol w:w="1426"/>
                              <w:gridCol w:w="1426"/>
                              <w:gridCol w:w="1286"/>
                            </w:tblGrid>
                            <w:tr>
                              <w:trPr>
                                <w:tblHeader/>
                                <w:trHeight w:val="250"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2.657.229,20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4.469.490,04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4.648.269,64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4.824.903,89</w:t>
                                  </w:r>
                                </w:p>
                              </w:tc>
                            </w:tr>
                            <w:tr>
                              <w:trPr>
                                <w:trHeight w:val="374"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p>
                                  <w:pPr>
                                    <w:pStyle w:val="Style23"/>
                                    <w:keepNext w:val="0"/>
                                    <w:keepLines w:val="0"/>
                                    <w:widowControl w:val="0"/>
                                    <w:shd w:val="clear" w:color="auto" w:fill="auto"/>
                                    <w:tabs>
                                      <w:tab w:pos="8268" w:val="left"/>
                                    </w:tabs>
                                    <w:bidi w:val="0"/>
                                    <w:spacing w:before="0" w:after="0" w:line="199" w:lineRule="auto"/>
                                    <w:ind w:left="-300" w:right="0" w:firstLine="0"/>
                                    <w:jc w:val="left"/>
                                    <w:rPr>
                                      <w:sz w:val="16"/>
                                      <w:szCs w:val="16"/>
                                    </w:rPr>
                                  </w:pPr>
                                  <w:r>
                                    <w:rPr>
                                      <w:sz w:val="18"/>
                                      <w:szCs w:val="18"/>
                                      <w:u w:val="single"/>
                                    </w:rPr>
                                    <w:t xml:space="preserve"> </w:t>
                                    <w:tab/>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2.657.229,20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4.469.490,04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4.648.269,64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4.824.903,89</w:t>
                                  </w:r>
                                </w:p>
                              </w:tc>
                            </w:tr>
                            <w:tr>
                              <w:trPr>
                                <w:trHeight w:val="374"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2.657.229,20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4.469.490,04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4.648.269,64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4.824.903,89</w:t>
                                  </w:r>
                                </w:p>
                              </w:tc>
                            </w:tr>
                            <w:tr>
                              <w:trPr>
                                <w:trHeight w:val="374"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2.657.229,20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4.469.490,04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4.648.269,64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4.824.903,89</w:t>
                                  </w:r>
                                </w:p>
                              </w:tc>
                            </w:tr>
                            <w:tr>
                              <w:trPr>
                                <w:trHeight w:val="442"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303.794.287,64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363.602.329,41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226.953.058,52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304.065.049,10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304.681.822,94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316.259.732,59</w:t>
                                  </w:r>
                                </w:p>
                              </w:tc>
                            </w:tr>
                          </w:tbl>
                          <w:p>
                            <w:pPr>
                              <w:widowControl w:val="0"/>
                              <w:spacing w:line="1" w:lineRule="exact"/>
                            </w:pPr>
                          </w:p>
                        </w:txbxContent>
                      </wps:txbx>
                      <wps:bodyPr lIns="0" tIns="0" rIns="0" bIns="0">
                        <a:noAutoFit/>
                      </wps:bodyPr>
                    </wps:wsp>
                  </a:graphicData>
                </a:graphic>
              </wp:anchor>
            </w:drawing>
          </mc:Choice>
          <mc:Fallback>
            <w:pict>
              <v:shape id="_x0000_s1225" type="#_x0000_t202" style="position:absolute;margin-left:356.89999999999998pt;margin-top:101.05pt;width:412.55000000000001pt;height:90.700000000000003pt;z-index:-125829292;mso-wrap-distance-left:9.pt;mso-wrap-distance-right:9.pt;mso-wrap-distance-bottom:147.40000000000001pt;mso-position-horizontal-relative:page" filled="f" stroked="f">
                <v:textbox inset="0,0,0,0">
                  <w:txbxContent>
                    <w:tbl>
                      <w:tblPr>
                        <w:tblOverlap w:val="never"/>
                        <w:jc w:val="left"/>
                        <w:tblLayout w:type="fixed"/>
                      </w:tblPr>
                      <w:tblGrid>
                        <w:gridCol w:w="1286"/>
                        <w:gridCol w:w="1406"/>
                        <w:gridCol w:w="1421"/>
                        <w:gridCol w:w="1426"/>
                        <w:gridCol w:w="1426"/>
                        <w:gridCol w:w="1286"/>
                      </w:tblGrid>
                      <w:tr>
                        <w:trPr>
                          <w:tblHeader/>
                          <w:trHeight w:val="250"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2.657.229,20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4.469.490,04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4.648.269,64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4.824.903,89</w:t>
                            </w:r>
                          </w:p>
                        </w:tc>
                      </w:tr>
                      <w:tr>
                        <w:trPr>
                          <w:trHeight w:val="374"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p>
                            <w:pPr>
                              <w:pStyle w:val="Style23"/>
                              <w:keepNext w:val="0"/>
                              <w:keepLines w:val="0"/>
                              <w:widowControl w:val="0"/>
                              <w:shd w:val="clear" w:color="auto" w:fill="auto"/>
                              <w:tabs>
                                <w:tab w:pos="8268" w:val="left"/>
                              </w:tabs>
                              <w:bidi w:val="0"/>
                              <w:spacing w:before="0" w:after="0" w:line="199" w:lineRule="auto"/>
                              <w:ind w:left="-300" w:right="0" w:firstLine="0"/>
                              <w:jc w:val="left"/>
                              <w:rPr>
                                <w:sz w:val="16"/>
                                <w:szCs w:val="16"/>
                              </w:rPr>
                            </w:pPr>
                            <w:r>
                              <w:rPr>
                                <w:sz w:val="18"/>
                                <w:szCs w:val="18"/>
                                <w:u w:val="single"/>
                              </w:rPr>
                              <w:t xml:space="preserve"> </w:t>
                              <w:tab/>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2.657.229,20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4.469.490,04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4.648.269,64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4.824.903,89</w:t>
                            </w:r>
                          </w:p>
                        </w:tc>
                      </w:tr>
                      <w:tr>
                        <w:trPr>
                          <w:trHeight w:val="374"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2.657.229,20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4.469.490,04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4.648.269,64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4.824.903,89</w:t>
                            </w:r>
                          </w:p>
                        </w:tc>
                      </w:tr>
                      <w:tr>
                        <w:trPr>
                          <w:trHeight w:val="374"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0,00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2.657.229,20</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4.469.490,04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14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4.648.269,64</w:t>
                            </w:r>
                          </w:p>
                        </w:tc>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4.824.903,89</w:t>
                            </w:r>
                          </w:p>
                        </w:tc>
                      </w:tr>
                      <w:tr>
                        <w:trPr>
                          <w:trHeight w:val="442" w:hRule="exact"/>
                        </w:trPr>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303.794.287,64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14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363.602.329,41</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226.953.058,52</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304.065.049,10</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304.681.822,94</w:t>
                            </w:r>
                          </w:p>
                        </w:tc>
                        <w:tc>
                          <w:tcPr>
                            <w:tcBorders>
                              <w:top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PT" w:eastAsia="pt-PT" w:bidi="pt-PT"/>
                              </w:rPr>
                              <w:t>316.259.732,59</w:t>
                            </w:r>
                          </w:p>
                        </w:tc>
                      </w:tr>
                    </w:tbl>
                    <w:p>
                      <w:pPr>
                        <w:widowControl w:val="0"/>
                        <w:spacing w:line="1" w:lineRule="exact"/>
                      </w:pPr>
                    </w:p>
                  </w:txbxContent>
                </v:textbox>
                <w10:wrap type="square" anchorx="page"/>
              </v:shape>
            </w:pict>
          </mc:Fallback>
        </mc:AlternateContent>
      </w:r>
      <w:r>
        <mc:AlternateContent>
          <mc:Choice Requires="wps">
            <w:drawing>
              <wp:anchor distT="2706370" distB="635" distL="351790" distR="3741420" simplePos="0" relativeHeight="125829463" behindDoc="0" locked="0" layoutInCell="1" allowOverlap="1">
                <wp:simplePos x="0" y="0"/>
                <wp:positionH relativeFrom="page">
                  <wp:posOffset>4770120</wp:posOffset>
                </wp:positionH>
                <wp:positionV relativeFrom="paragraph">
                  <wp:posOffset>3989705</wp:posOffset>
                </wp:positionV>
                <wp:extent cx="1374775" cy="316865"/>
                <wp:wrapSquare wrapText="bothSides"/>
                <wp:docPr id="201" name="Shape 201"/>
                <a:graphic xmlns:a="http://schemas.openxmlformats.org/drawingml/2006/main">
                  <a:graphicData uri="http://schemas.microsoft.com/office/word/2010/wordprocessingShape">
                    <wps:wsp>
                      <wps:cNvSpPr txBox="1"/>
                      <wps:spPr>
                        <a:xfrm>
                          <a:ext cx="1374775" cy="316865"/>
                        </a:xfrm>
                        <a:prstGeom prst="rect"/>
                        <a:noFill/>
                      </wps:spPr>
                      <wps:txbx>
                        <w:txbxContent>
                          <w:p>
                            <w:pPr>
                              <w:pStyle w:val="Style18"/>
                              <w:keepNext w:val="0"/>
                              <w:keepLines w:val="0"/>
                              <w:widowControl w:val="0"/>
                              <w:shd w:val="clear" w:color="auto" w:fill="auto"/>
                              <w:bidi w:val="0"/>
                              <w:spacing w:before="0" w:after="6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Dilson Marcos Kovalski</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012541/0-0</w:t>
                            </w:r>
                          </w:p>
                        </w:txbxContent>
                      </wps:txbx>
                      <wps:bodyPr lIns="0" tIns="0" rIns="0" bIns="0">
                        <a:noAutoFit/>
                      </wps:bodyPr>
                    </wps:wsp>
                  </a:graphicData>
                </a:graphic>
              </wp:anchor>
            </w:drawing>
          </mc:Choice>
          <mc:Fallback>
            <w:pict>
              <v:shape id="_x0000_s1227" type="#_x0000_t202" style="position:absolute;margin-left:375.60000000000002pt;margin-top:314.14999999999998pt;width:108.25pt;height:24.949999999999999pt;z-index:-125829290;mso-wrap-distance-left:27.699999999999999pt;mso-wrap-distance-top:213.09999999999999pt;mso-wrap-distance-right:294.60000000000002pt;mso-wrap-distance-bottom:5.0000000000000003e-002pt;mso-position-horizontal-relative:page" filled="f" stroked="f">
                <v:textbox inset="0,0,0,0">
                  <w:txbxContent>
                    <w:p>
                      <w:pPr>
                        <w:pStyle w:val="Style18"/>
                        <w:keepNext w:val="0"/>
                        <w:keepLines w:val="0"/>
                        <w:widowControl w:val="0"/>
                        <w:shd w:val="clear" w:color="auto" w:fill="auto"/>
                        <w:bidi w:val="0"/>
                        <w:spacing w:before="0" w:after="6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Dilson Marcos Kovalski</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012541/0-0</w:t>
                      </w:r>
                    </w:p>
                  </w:txbxContent>
                </v:textbox>
                <w10:wrap type="square" anchorx="page"/>
              </v:shape>
            </w:pict>
          </mc:Fallback>
        </mc:AlternateContent>
      </w:r>
    </w:p>
    <w:tbl>
      <w:tblPr>
        <w:tblOverlap w:val="never"/>
        <w:jc w:val="center"/>
        <w:tblLayout w:type="fixed"/>
      </w:tblPr>
      <w:tblGrid>
        <w:gridCol w:w="1094"/>
        <w:gridCol w:w="4531"/>
        <w:gridCol w:w="1411"/>
        <w:gridCol w:w="1411"/>
        <w:gridCol w:w="1421"/>
        <w:gridCol w:w="1426"/>
        <w:gridCol w:w="1426"/>
        <w:gridCol w:w="1373"/>
      </w:tblGrid>
      <w:tr>
        <w:trPr>
          <w:trHeight w:val="365" w:hRule="exact"/>
        </w:trPr>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CÓDIGOS</w:t>
            </w:r>
          </w:p>
        </w:tc>
        <w:tc>
          <w:tcPr>
            <w:vMerge w:val="restart"/>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DISCRIMINAÇÃO</w:t>
            </w:r>
          </w:p>
        </w:tc>
        <w:tc>
          <w:tcPr>
            <w:gridSpan w:val="2"/>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10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DESPESA REALIZADA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ORÇADA</w:t>
            </w:r>
          </w:p>
        </w:tc>
        <w:tc>
          <w:tcPr>
            <w:gridSpan w:val="3"/>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2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PREVISTA</w:t>
            </w:r>
          </w:p>
        </w:tc>
      </w:tr>
      <w:tr>
        <w:trPr>
          <w:trHeight w:val="365"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2023</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2024</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2025</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2026</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2027</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20" w:right="0" w:firstLine="0"/>
              <w:jc w:val="center"/>
              <w:rPr>
                <w:sz w:val="20"/>
                <w:szCs w:val="20"/>
              </w:rPr>
            </w:pPr>
            <w:r>
              <w:rPr>
                <w:rFonts w:ascii="Arial" w:eastAsia="Arial" w:hAnsi="Arial" w:cs="Arial"/>
                <w:color w:val="000000"/>
                <w:spacing w:val="0"/>
                <w:w w:val="100"/>
                <w:position w:val="0"/>
                <w:sz w:val="20"/>
                <w:szCs w:val="20"/>
                <w:shd w:val="clear" w:color="auto" w:fill="auto"/>
                <w:lang w:val="pt-PT" w:eastAsia="pt-PT" w:bidi="pt-PT"/>
              </w:rPr>
              <w:t>2028</w:t>
            </w:r>
          </w:p>
        </w:tc>
      </w:tr>
    </w:tbl>
    <w:p>
      <w:pPr>
        <w:widowControl w:val="0"/>
        <w:spacing w:after="79" w:line="1" w:lineRule="exact"/>
      </w:pPr>
    </w:p>
    <w:p>
      <w:pPr>
        <w:pStyle w:val="Style54"/>
        <w:keepNext/>
        <w:keepLines/>
        <w:widowControl w:val="0"/>
        <w:shd w:val="clear" w:color="auto" w:fill="auto"/>
        <w:bidi w:val="0"/>
        <w:spacing w:before="0" w:after="140" w:line="252" w:lineRule="auto"/>
        <w:ind w:left="920" w:right="10020" w:firstLine="0"/>
        <w:jc w:val="right"/>
      </w:pPr>
      <w:bookmarkStart w:id="51" w:name="bookmark51"/>
      <w:r>
        <w:rPr>
          <w:color w:val="000000"/>
          <w:spacing w:val="0"/>
          <w:w w:val="100"/>
          <w:position w:val="0"/>
          <w:shd w:val="clear" w:color="auto" w:fill="auto"/>
          <w:lang w:val="pt-PT" w:eastAsia="pt-PT" w:bidi="pt-PT"/>
        </w:rPr>
        <w:t>09 RESERVA DE CONTINGÊNCIA 09.001 RESERVA DE CONTINGÊNCIA</w:t>
      </w:r>
      <w:bookmarkEnd w:id="51"/>
    </w:p>
    <w:p>
      <w:pPr>
        <w:pStyle w:val="Style29"/>
        <w:keepNext w:val="0"/>
        <w:keepLines w:val="0"/>
        <w:widowControl w:val="0"/>
        <w:shd w:val="clear" w:color="auto" w:fill="auto"/>
        <w:bidi w:val="0"/>
        <w:spacing w:before="0" w:after="80" w:line="240" w:lineRule="auto"/>
        <w:ind w:left="1180" w:right="0" w:firstLine="0"/>
        <w:jc w:val="left"/>
      </w:pPr>
      <w:r>
        <w:rPr>
          <w:color w:val="000000"/>
          <w:spacing w:val="0"/>
          <w:w w:val="100"/>
          <w:position w:val="0"/>
          <w:shd w:val="clear" w:color="auto" w:fill="auto"/>
          <w:lang w:val="pt-PT" w:eastAsia="pt-PT" w:bidi="pt-PT"/>
        </w:rPr>
        <w:t>9999 RESERVA DE CONTINGENCIA</w:t>
      </w:r>
    </w:p>
    <w:p>
      <w:pPr>
        <w:pStyle w:val="Style29"/>
        <w:keepNext w:val="0"/>
        <w:keepLines w:val="0"/>
        <w:widowControl w:val="0"/>
        <w:shd w:val="clear" w:color="auto" w:fill="auto"/>
        <w:bidi w:val="0"/>
        <w:spacing w:before="0" w:after="80" w:line="240" w:lineRule="auto"/>
        <w:ind w:left="520" w:right="0" w:firstLine="0"/>
        <w:jc w:val="left"/>
      </w:pPr>
      <w:r>
        <w:rPr>
          <w:color w:val="000000"/>
          <w:spacing w:val="0"/>
          <w:w w:val="100"/>
          <w:position w:val="0"/>
          <w:shd w:val="clear" w:color="auto" w:fill="auto"/>
          <w:lang w:val="pt-PT" w:eastAsia="pt-PT" w:bidi="pt-PT"/>
        </w:rPr>
        <w:t>99.999.9.001 RESERVA DE CONTINGENCIA</w:t>
      </w:r>
    </w:p>
    <w:p>
      <w:pPr>
        <w:pStyle w:val="Style29"/>
        <w:keepNext w:val="0"/>
        <w:keepLines w:val="0"/>
        <w:widowControl w:val="0"/>
        <w:shd w:val="clear" w:color="auto" w:fill="auto"/>
        <w:bidi w:val="0"/>
        <w:spacing w:before="0" w:after="80" w:line="240" w:lineRule="auto"/>
        <w:ind w:left="600" w:right="0" w:firstLine="0"/>
        <w:jc w:val="left"/>
      </w:pPr>
      <w:r>
        <w:rPr>
          <w:color w:val="000000"/>
          <w:spacing w:val="0"/>
          <w:w w:val="100"/>
          <w:position w:val="0"/>
          <w:shd w:val="clear" w:color="auto" w:fill="auto"/>
          <w:lang w:val="pt-PT" w:eastAsia="pt-PT" w:bidi="pt-PT"/>
        </w:rPr>
        <w:t>9.9.99.99.99 Reserva de Contingência</w:t>
      </w:r>
    </w:p>
    <w:p>
      <w:pPr>
        <w:pStyle w:val="Style29"/>
        <w:keepNext w:val="0"/>
        <w:keepLines w:val="0"/>
        <w:widowControl w:val="0"/>
        <w:shd w:val="clear" w:color="auto" w:fill="auto"/>
        <w:bidi w:val="0"/>
        <w:spacing w:before="0" w:after="160" w:line="240" w:lineRule="auto"/>
        <w:ind w:left="3820" w:right="0" w:firstLine="0"/>
        <w:jc w:val="left"/>
      </w:pPr>
      <w:r>
        <w:rPr>
          <w:color w:val="000000"/>
          <w:spacing w:val="0"/>
          <w:w w:val="100"/>
          <w:position w:val="0"/>
          <w:shd w:val="clear" w:color="auto" w:fill="auto"/>
          <w:lang w:val="pt-PT" w:eastAsia="pt-PT" w:bidi="pt-PT"/>
        </w:rPr>
        <w:t>Total do Projeto/Atividade</w:t>
      </w:r>
    </w:p>
    <w:p>
      <w:pPr>
        <w:pStyle w:val="Style29"/>
        <w:keepNext w:val="0"/>
        <w:keepLines w:val="0"/>
        <w:widowControl w:val="0"/>
        <w:shd w:val="clear" w:color="auto" w:fill="auto"/>
        <w:bidi w:val="0"/>
        <w:spacing w:before="0" w:after="160" w:line="240" w:lineRule="auto"/>
        <w:ind w:left="3820" w:right="0" w:firstLine="0"/>
        <w:jc w:val="left"/>
      </w:pPr>
      <w:r>
        <w:rPr>
          <w:color w:val="000000"/>
          <w:spacing w:val="0"/>
          <w:w w:val="100"/>
          <w:position w:val="0"/>
          <w:shd w:val="clear" w:color="auto" w:fill="auto"/>
          <w:lang w:val="pt-PT" w:eastAsia="pt-PT" w:bidi="pt-PT"/>
        </w:rPr>
        <w:t>Total da Unidade</w:t>
      </w:r>
    </w:p>
    <w:p>
      <w:pPr>
        <w:pStyle w:val="Style29"/>
        <w:keepNext w:val="0"/>
        <w:keepLines w:val="0"/>
        <w:widowControl w:val="0"/>
        <w:shd w:val="clear" w:color="auto" w:fill="auto"/>
        <w:bidi w:val="0"/>
        <w:spacing w:before="0" w:after="320" w:line="240" w:lineRule="auto"/>
        <w:ind w:left="3820" w:right="0" w:firstLine="0"/>
        <w:jc w:val="left"/>
      </w:pPr>
      <w:r>
        <w:rPr>
          <w:color w:val="000000"/>
          <w:spacing w:val="0"/>
          <w:w w:val="100"/>
          <w:position w:val="0"/>
          <w:shd w:val="clear" w:color="auto" w:fill="auto"/>
          <w:lang w:val="pt-PT" w:eastAsia="pt-PT" w:bidi="pt-PT"/>
        </w:rPr>
        <w:t>Total do Órgão</w:t>
      </w:r>
    </w:p>
    <w:p>
      <w:pPr>
        <w:pStyle w:val="Style29"/>
        <w:keepNext w:val="0"/>
        <w:keepLines w:val="0"/>
        <w:widowControl w:val="0"/>
        <w:shd w:val="clear" w:color="auto" w:fill="auto"/>
        <w:bidi w:val="0"/>
        <w:spacing w:before="0" w:after="2460" w:line="240" w:lineRule="auto"/>
        <w:ind w:left="3820" w:right="0" w:firstLine="0"/>
        <w:jc w:val="left"/>
      </w:pPr>
      <w:r>
        <w:rPr>
          <w:color w:val="000000"/>
          <w:spacing w:val="0"/>
          <w:w w:val="100"/>
          <w:position w:val="0"/>
          <w:shd w:val="clear" w:color="auto" w:fill="auto"/>
          <w:lang w:val="pt-PT" w:eastAsia="pt-PT" w:bidi="pt-PT"/>
        </w:rPr>
        <w:t>Total Geral</w:t>
      </w:r>
    </w:p>
    <w:p>
      <w:pPr>
        <w:pStyle w:val="Style29"/>
        <w:keepNext w:val="0"/>
        <w:keepLines w:val="0"/>
        <w:widowControl w:val="0"/>
        <w:shd w:val="clear" w:color="auto" w:fill="auto"/>
        <w:bidi w:val="0"/>
        <w:spacing w:before="0" w:after="80" w:line="240" w:lineRule="auto"/>
        <w:ind w:left="1540" w:right="0" w:firstLine="0"/>
        <w:jc w:val="left"/>
      </w:pPr>
      <w:r>
        <w:rPr>
          <w:b/>
          <w:bCs/>
          <w:color w:val="000000"/>
          <w:spacing w:val="0"/>
          <w:w w:val="100"/>
          <w:position w:val="0"/>
          <w:shd w:val="clear" w:color="auto" w:fill="auto"/>
          <w:lang w:val="pt-PT" w:eastAsia="pt-PT" w:bidi="pt-PT"/>
        </w:rPr>
        <w:t>Macelly Cristina de Souza Veras</w:t>
      </w:r>
    </w:p>
    <w:p>
      <w:pPr>
        <w:pStyle w:val="Style16"/>
        <w:keepNext w:val="0"/>
        <w:keepLines w:val="0"/>
        <w:widowControl w:val="0"/>
        <w:shd w:val="clear" w:color="auto" w:fill="auto"/>
        <w:bidi w:val="0"/>
        <w:spacing w:before="0" w:after="100" w:line="240" w:lineRule="auto"/>
        <w:ind w:left="2320" w:right="0" w:firstLine="0"/>
        <w:jc w:val="left"/>
        <w:sectPr>
          <w:footnotePr>
            <w:pos w:val="pageBottom"/>
            <w:numFmt w:val="decimal"/>
            <w:numRestart w:val="continuous"/>
          </w:footnotePr>
          <w:pgSz w:w="16840" w:h="11900" w:orient="landscape"/>
          <w:pgMar w:top="1857" w:left="768" w:right="1494" w:bottom="775" w:header="0" w:footer="347" w:gutter="0"/>
          <w:cols w:space="720"/>
          <w:noEndnote/>
          <w:rtlGutter w:val="0"/>
          <w:docGrid w:linePitch="360"/>
        </w:sectPr>
      </w:pPr>
      <w:r>
        <w:rPr>
          <w:color w:val="000000"/>
          <w:spacing w:val="0"/>
          <w:w w:val="100"/>
          <w:position w:val="0"/>
          <w:shd w:val="clear" w:color="auto" w:fill="auto"/>
          <w:lang w:val="pt-BR" w:eastAsia="pt-BR" w:bidi="pt-BR"/>
        </w:rPr>
        <w:t xml:space="preserve">Prefeita </w:t>
      </w:r>
      <w:r>
        <w:rPr>
          <w:color w:val="000000"/>
          <w:spacing w:val="0"/>
          <w:w w:val="100"/>
          <w:position w:val="0"/>
          <w:shd w:val="clear" w:color="auto" w:fill="auto"/>
          <w:lang w:val="pt-PT" w:eastAsia="pt-PT" w:bidi="pt-PT"/>
        </w:rPr>
        <w:t>Municipal</w:t>
      </w:r>
    </w:p>
    <w:p>
      <w:pPr>
        <w:pStyle w:val="Style33"/>
        <w:keepNext w:val="0"/>
        <w:keepLines w:val="0"/>
        <w:widowControl w:val="0"/>
        <w:shd w:val="clear" w:color="auto" w:fill="auto"/>
        <w:tabs>
          <w:tab w:pos="14198" w:val="left"/>
        </w:tabs>
        <w:bidi w:val="0"/>
        <w:spacing w:before="0" w:after="0" w:line="240" w:lineRule="auto"/>
        <w:ind w:left="0" w:right="0" w:firstLine="0"/>
        <w:jc w:val="both"/>
      </w:pPr>
      <w:r>
        <w:rPr>
          <w:color w:val="000000"/>
          <w:spacing w:val="0"/>
          <w:w w:val="100"/>
          <w:position w:val="0"/>
          <w:sz w:val="18"/>
          <w:szCs w:val="18"/>
          <w:shd w:val="clear" w:color="auto" w:fill="auto"/>
          <w:lang w:val="pt-PT" w:eastAsia="pt-PT" w:bidi="pt-PT"/>
        </w:rPr>
        <w:t>Anexo 6 (LRF, art 53, inciso III)</w:t>
        <w:tab/>
      </w:r>
      <w:r>
        <w:rPr>
          <w:color w:val="000000"/>
          <w:spacing w:val="0"/>
          <w:w w:val="100"/>
          <w:position w:val="0"/>
          <w:shd w:val="clear" w:color="auto" w:fill="auto"/>
          <w:lang w:val="pt-PT" w:eastAsia="pt-PT" w:bidi="pt-PT"/>
        </w:rPr>
        <w:t>(R$)</w:t>
      </w:r>
    </w:p>
    <w:p>
      <w:pPr>
        <w:pStyle w:val="Style3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ACIMA DA LINHA</w:t>
      </w:r>
    </w:p>
    <w:tbl>
      <w:tblPr>
        <w:tblOverlap w:val="never"/>
        <w:jc w:val="center"/>
        <w:tblLayout w:type="fixed"/>
      </w:tblPr>
      <w:tblGrid>
        <w:gridCol w:w="5160"/>
        <w:gridCol w:w="1565"/>
        <w:gridCol w:w="1555"/>
        <w:gridCol w:w="1565"/>
        <w:gridCol w:w="1555"/>
        <w:gridCol w:w="1565"/>
        <w:gridCol w:w="1550"/>
      </w:tblGrid>
      <w:tr>
        <w:trPr>
          <w:trHeight w:val="245"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100" w:right="0" w:firstLine="0"/>
              <w:jc w:val="center"/>
            </w:pPr>
            <w:r>
              <w:rPr>
                <w:rFonts w:ascii="Arial" w:eastAsia="Arial" w:hAnsi="Arial" w:cs="Arial"/>
                <w:b/>
                <w:bCs/>
                <w:color w:val="000000"/>
                <w:spacing w:val="0"/>
                <w:w w:val="100"/>
                <w:position w:val="0"/>
                <w:shd w:val="clear" w:color="auto" w:fill="auto"/>
                <w:lang w:val="pt-PT" w:eastAsia="pt-PT" w:bidi="pt-PT"/>
              </w:rPr>
              <w:t>RECEITAS PRIMÁRIAS</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r>
      <w:tr>
        <w:trPr>
          <w:trHeight w:val="226"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RECEITAS CORRENTES ( I )</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277.733.006,98</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319.684.974,54</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202.626.011,99</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278.643.285,48</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289.789.016,91</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300.800.999,56</w:t>
            </w:r>
          </w:p>
        </w:tc>
      </w:tr>
      <w:tr>
        <w:trPr>
          <w:trHeight w:val="178"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Impostos, Taxas e Contribuições de Melhoria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12.438.991,27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13.679.071,93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9.591.757,73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13.123.386,84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13.648.322,31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14.166.958,55</w:t>
            </w:r>
          </w:p>
        </w:tc>
      </w:tr>
      <w:tr>
        <w:trPr>
          <w:trHeight w:val="182"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Contribuições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6.686.922,75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7.651.165,51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3.493.216,23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4.650.410,96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4.836.427,40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5.020.211,64</w:t>
            </w:r>
          </w:p>
        </w:tc>
      </w:tr>
      <w:tr>
        <w:trPr>
          <w:trHeight w:val="182"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Receita Patrimonial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4.549.674,57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2.936.283,46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2.031.307,80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3.122.716,65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3.247.625,32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3.371.035,08</w:t>
            </w:r>
          </w:p>
        </w:tc>
      </w:tr>
      <w:tr>
        <w:trPr>
          <w:trHeight w:val="182"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Aplicações Financeiras ( II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4.845.838,08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4.541.673,34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1.966.606,45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2.031.307,80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2.102.403,57</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2.175.987,69</w:t>
            </w:r>
          </w:p>
        </w:tc>
      </w:tr>
      <w:tr>
        <w:trPr>
          <w:trHeight w:val="178"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Outras Receitas Patrimoniais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-296.163,51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-1.605.389,88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64.701,35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1.091.408,85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1.145.221,75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1.195.047,39</w:t>
            </w:r>
          </w:p>
        </w:tc>
      </w:tr>
      <w:tr>
        <w:trPr>
          <w:trHeight w:val="187"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 xml:space="preserve">Receita </w:t>
            </w:r>
            <w:r>
              <w:rPr>
                <w:rFonts w:ascii="Arial" w:eastAsia="Arial" w:hAnsi="Arial" w:cs="Arial"/>
                <w:color w:val="000000"/>
                <w:spacing w:val="0"/>
                <w:w w:val="100"/>
                <w:position w:val="0"/>
                <w:sz w:val="16"/>
                <w:szCs w:val="16"/>
                <w:shd w:val="clear" w:color="auto" w:fill="auto"/>
                <w:lang w:val="pt-BR" w:eastAsia="pt-BR" w:bidi="pt-BR"/>
              </w:rPr>
              <w:t>Agropecuária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173"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Receita Industrial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187"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Receita de Serviços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2.593.102,09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2.819.297,51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3.057.384,00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3.194.966,28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3.322.764,93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3.449.030,00</w:t>
            </w:r>
          </w:p>
        </w:tc>
      </w:tr>
      <w:tr>
        <w:trPr>
          <w:trHeight w:val="182"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Transferências Correntes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251.277.706,74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292.599.156,13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184.452.346,23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254.551.804,75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264.733.876,95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274.793.764,29</w:t>
            </w:r>
          </w:p>
        </w:tc>
      </w:tr>
      <w:tr>
        <w:trPr>
          <w:trHeight w:val="178"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Outras Receitas Correntes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186.609,56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182"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Outras Receitas Financeiras ( III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182"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18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Outras Receitas Correntes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186.609,56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187"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RECEITAS PRIMÁRIAS CORRENTES ( IV ) = ( I - II - III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272.887.168,90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315.143.301,20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200.659.405,54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276.611.977,68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287.686.613,34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298.625.011,87</w:t>
            </w:r>
          </w:p>
        </w:tc>
      </w:tr>
      <w:tr>
        <w:trPr>
          <w:trHeight w:val="178"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RECEITAS DE CAPITAL ( V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51.757.227,02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17.018.209,62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17.784.029,05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18.495.390,22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19.198.215,05</w:t>
            </w:r>
          </w:p>
        </w:tc>
      </w:tr>
      <w:tr>
        <w:trPr>
          <w:trHeight w:val="182"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Operações de Crédito ( VI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19.750.000,00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178"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Alienação de Bens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236.400,00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182"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 xml:space="preserve">Alienação de Bens Móveis ( </w:t>
            </w:r>
            <w:r>
              <w:rPr>
                <w:rFonts w:ascii="Arial" w:eastAsia="Arial" w:hAnsi="Arial" w:cs="Arial"/>
                <w:color w:val="000000"/>
                <w:spacing w:val="0"/>
                <w:w w:val="100"/>
                <w:position w:val="0"/>
                <w:sz w:val="16"/>
                <w:szCs w:val="16"/>
                <w:shd w:val="clear" w:color="auto" w:fill="auto"/>
                <w:lang w:val="pt-BR" w:eastAsia="pt-BR" w:bidi="pt-BR"/>
              </w:rPr>
              <w:t xml:space="preserve">VII </w:t>
            </w:r>
            <w:r>
              <w:rPr>
                <w:rFonts w:ascii="Arial" w:eastAsia="Arial" w:hAnsi="Arial" w:cs="Arial"/>
                <w:color w:val="000000"/>
                <w:spacing w:val="0"/>
                <w:w w:val="100"/>
                <w:position w:val="0"/>
                <w:sz w:val="16"/>
                <w:szCs w:val="16"/>
                <w:shd w:val="clear" w:color="auto" w:fill="auto"/>
                <w:lang w:val="pt-PT" w:eastAsia="pt-PT" w:bidi="pt-PT"/>
              </w:rPr>
              <w:t>)</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182"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8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Alienação de Bens Imóveis ( VIII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192"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Amortizações de Empréstimos ( IX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168"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Tranferências de Capital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31.770.827,02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17.018.209,62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17.784.029,05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18.495.390,22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19.198.215,05</w:t>
            </w:r>
          </w:p>
        </w:tc>
      </w:tr>
      <w:tr>
        <w:trPr>
          <w:trHeight w:val="182" w:hRule="exact"/>
        </w:trPr>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Outras Receitas de Capital ( X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187"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RECEITAS PRIMÁRIAS DE CAPITAL (XI)=(V-VI-VII-VII-IX-X)</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32.007.227,02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17.018.209,62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17.784.029,05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18.495.390,22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19.198.215,05</w:t>
            </w:r>
          </w:p>
        </w:tc>
      </w:tr>
      <w:tr>
        <w:trPr>
          <w:trHeight w:val="206" w:hRule="exact"/>
        </w:trPr>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RECEITA PRIMÁRIA TOTAL ( XII ) = ( IV + XI )</w:t>
            </w:r>
          </w:p>
        </w:tc>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304.894.395,92</w:t>
            </w:r>
          </w:p>
        </w:tc>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315.143.301,20</w:t>
            </w:r>
          </w:p>
        </w:tc>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217.677.615,16</w:t>
            </w:r>
          </w:p>
        </w:tc>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294.396.006,73</w:t>
            </w:r>
          </w:p>
        </w:tc>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306.182.003,56</w:t>
            </w:r>
          </w:p>
        </w:tc>
        <w:tc>
          <w:tcPr>
            <w:tcBorders>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317.823.226,92</w:t>
            </w:r>
          </w:p>
        </w:tc>
      </w:tr>
    </w:tbl>
    <w:p>
      <w:pPr>
        <w:widowControl w:val="0"/>
        <w:spacing w:line="1" w:lineRule="exact"/>
      </w:pPr>
    </w:p>
    <w:p>
      <w:pPr>
        <w:pStyle w:val="Style33"/>
        <w:keepNext w:val="0"/>
        <w:keepLines w:val="0"/>
        <w:widowControl w:val="0"/>
        <w:shd w:val="clear" w:color="auto" w:fill="auto"/>
        <w:bidi w:val="0"/>
        <w:spacing w:before="0" w:after="0" w:line="240" w:lineRule="auto"/>
        <w:ind w:left="6806" w:right="0" w:firstLine="0"/>
        <w:jc w:val="left"/>
      </w:pPr>
      <w:r>
        <w:rPr>
          <w:b/>
          <w:bCs/>
          <w:color w:val="000000"/>
          <w:spacing w:val="0"/>
          <w:w w:val="100"/>
          <w:position w:val="0"/>
          <w:shd w:val="clear" w:color="auto" w:fill="auto"/>
          <w:lang w:val="pt-PT" w:eastAsia="pt-PT" w:bidi="pt-PT"/>
        </w:rPr>
        <w:t>ACIMA DA LINHA</w:t>
      </w:r>
    </w:p>
    <w:tbl>
      <w:tblPr>
        <w:tblOverlap w:val="never"/>
        <w:jc w:val="center"/>
        <w:tblLayout w:type="fixed"/>
      </w:tblPr>
      <w:tblGrid>
        <w:gridCol w:w="5170"/>
        <w:gridCol w:w="1565"/>
        <w:gridCol w:w="1555"/>
        <w:gridCol w:w="1565"/>
        <w:gridCol w:w="1555"/>
        <w:gridCol w:w="1565"/>
        <w:gridCol w:w="1560"/>
      </w:tblGrid>
      <w:tr>
        <w:trPr>
          <w:trHeight w:val="250"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100" w:right="0" w:firstLine="0"/>
              <w:jc w:val="center"/>
            </w:pPr>
            <w:r>
              <w:rPr>
                <w:rFonts w:ascii="Arial" w:eastAsia="Arial" w:hAnsi="Arial" w:cs="Arial"/>
                <w:b/>
                <w:bCs/>
                <w:color w:val="000000"/>
                <w:spacing w:val="0"/>
                <w:w w:val="100"/>
                <w:position w:val="0"/>
                <w:shd w:val="clear" w:color="auto" w:fill="auto"/>
                <w:lang w:val="pt-PT" w:eastAsia="pt-PT" w:bidi="pt-PT"/>
              </w:rPr>
              <w:t>DESPESAS PRIMÁRIAS</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r>
      <w:tr>
        <w:trPr>
          <w:trHeight w:val="226"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DESPESAS CORRENTES ( XIII )</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269.325.721,79</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329.512.005,08</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180.849.536,96</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248.230.049,86</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250.773.423,73</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260.302.814,20</w:t>
            </w:r>
          </w:p>
        </w:tc>
      </w:tr>
      <w:tr>
        <w:trPr>
          <w:trHeight w:val="182"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Pessoal e Encargos Sociais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118.223.723,95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142.051.622,02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92.917.146,06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138.335.609,23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137.629.033,69</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142.858.937,09</w:t>
            </w:r>
          </w:p>
        </w:tc>
      </w:tr>
      <w:tr>
        <w:trPr>
          <w:trHeight w:val="178"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Juros e Encargos da Dívida ( XIV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8.112,47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1.487,29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326.759,12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341.463,28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355.121,82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368.616,45</w:t>
            </w:r>
          </w:p>
        </w:tc>
      </w:tr>
      <w:tr>
        <w:trPr>
          <w:trHeight w:val="182"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Outras Despesas Correntes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151.093.885,37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187.458.895,77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87.605.631,78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109.552.977,35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112.789.268,22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117.075.260,66</w:t>
            </w:r>
          </w:p>
        </w:tc>
      </w:tr>
      <w:tr>
        <w:trPr>
          <w:trHeight w:val="187"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DESPESAS PRIMÁRIAS CORRENTES ( XV ) = ( XIII - XIV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269.317.609,32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329.510.517,79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180.522.777,84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247.888.586,58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250.418.301,91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259.934.197,75</w:t>
            </w:r>
          </w:p>
        </w:tc>
      </w:tr>
      <w:tr>
        <w:trPr>
          <w:trHeight w:val="178"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DESPESAS DE CAPITAL ( XVI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34.468.565,85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34.090.324,33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40.501.347,70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48.288.042,03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46.059.563,71</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47.809.827,14</w:t>
            </w:r>
          </w:p>
        </w:tc>
      </w:tr>
      <w:tr>
        <w:trPr>
          <w:trHeight w:val="178"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0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Investimentos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31.544.931,23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26.314.213,52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38.609.447,64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42.311.006,47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44.003.446,74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45.675.577,73</w:t>
            </w:r>
          </w:p>
        </w:tc>
      </w:tr>
      <w:tr>
        <w:trPr>
          <w:trHeight w:val="182"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0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Inversões Financeiras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1.243.000,00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2.428.000,00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362.012,70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378.303,27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393.435,40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408.385,95</w:t>
            </w:r>
          </w:p>
        </w:tc>
      </w:tr>
      <w:tr>
        <w:trPr>
          <w:trHeight w:val="182"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8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Concessão de Empréstimos e Financiamentos ( XVII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187"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8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Aquisição de Títulos de Cred. de Cap já Integ ( XVIII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178" w:hRule="exact"/>
        </w:trPr>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28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Aquisição de Títulos de Crédito ( XIX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178"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8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Demais Inversões Financeiras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187"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0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Amortização da Dívida ( XX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1.680.634,62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5.348.110,81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1.529.887,36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5.598.732,29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1.662.681,57</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1.725.863,46</w:t>
            </w:r>
          </w:p>
        </w:tc>
      </w:tr>
      <w:tr>
        <w:trPr>
          <w:trHeight w:val="178"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DESP. PRIMÁRIAS DE CAPITAL (XXI) = ( XVI-XVII-XVIII-XIX-XX)</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32.787.931,23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28.742.213,52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38.971.460,34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42.689.309,74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44.396.882,14</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46.083.963,68</w:t>
            </w:r>
          </w:p>
        </w:tc>
      </w:tr>
      <w:tr>
        <w:trPr>
          <w:trHeight w:val="182"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RESERVA DO RPPS XXIIa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3.797.347,21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3.922.279,93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4.059.559,73</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4.201.644,32</w:t>
            </w:r>
          </w:p>
        </w:tc>
      </w:tr>
      <w:tr>
        <w:trPr>
          <w:trHeight w:val="187"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RESERVA DE CONTINGÊNCIA ( XXII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5.602.173,86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7.546.957,21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7.848.835,50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8.147.091,25</w:t>
            </w:r>
          </w:p>
        </w:tc>
      </w:tr>
      <w:tr>
        <w:trPr>
          <w:trHeight w:val="178"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DESPESAS PRIMÁRIAS TOTAL ( XXIII ) = ( XV + XXI + XXII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302.105.540,55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358.252.731,31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228.893.759,25</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302.047.133,46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306.723.579,28</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318.366.897,00</w:t>
            </w:r>
          </w:p>
        </w:tc>
      </w:tr>
      <w:tr>
        <w:trPr>
          <w:trHeight w:val="192" w:hRule="exact"/>
        </w:trPr>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RESULTADO PRIMARIO-Acima da linha ( XXIV ) = ( XII -XXIII )</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2.788.855,37</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-43.109.430,11</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-11.216.144,09</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-7.651.126,73</w:t>
            </w:r>
          </w:p>
        </w:tc>
        <w:tc>
          <w:tcPr>
            <w:tcBorders>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-541.575,72</w:t>
            </w:r>
          </w:p>
        </w:tc>
        <w:tc>
          <w:tcPr>
            <w:tcBorders>
              <w:left w:val="single" w:sz="4"/>
              <w:bottom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-543.670,08</w:t>
            </w:r>
          </w:p>
        </w:tc>
      </w:tr>
    </w:tbl>
    <w:p>
      <w:pPr>
        <w:widowControl w:val="0"/>
        <w:spacing w:line="1" w:lineRule="exact"/>
      </w:pPr>
      <w:r>
        <w:br w:type="page"/>
      </w:r>
    </w:p>
    <w:tbl>
      <w:tblPr>
        <w:tblOverlap w:val="never"/>
        <w:jc w:val="left"/>
        <w:tblLayout w:type="fixed"/>
      </w:tblPr>
      <w:tblGrid>
        <w:gridCol w:w="5170"/>
        <w:gridCol w:w="1565"/>
        <w:gridCol w:w="1555"/>
        <w:gridCol w:w="1565"/>
        <w:gridCol w:w="1555"/>
        <w:gridCol w:w="1565"/>
        <w:gridCol w:w="1565"/>
      </w:tblGrid>
      <w:tr>
        <w:trPr>
          <w:trHeight w:val="235" w:hRule="exact"/>
        </w:trPr>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60" w:right="0" w:firstLine="0"/>
              <w:jc w:val="center"/>
            </w:pPr>
            <w:r>
              <w:rPr>
                <w:rFonts w:ascii="Arial" w:eastAsia="Arial" w:hAnsi="Arial" w:cs="Arial"/>
                <w:b/>
                <w:bCs/>
                <w:color w:val="000000"/>
                <w:spacing w:val="0"/>
                <w:w w:val="100"/>
                <w:position w:val="0"/>
                <w:shd w:val="clear" w:color="auto" w:fill="auto"/>
                <w:lang w:val="pt-PT" w:eastAsia="pt-PT" w:bidi="pt-PT"/>
              </w:rPr>
              <w:t>Meta Fiscal Para o Resultado Primário</w:t>
            </w:r>
          </w:p>
        </w:tc>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tc>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2025</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r>
      <w:tr>
        <w:trPr>
          <w:trHeight w:val="245" w:hRule="exact"/>
        </w:trPr>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2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Meta fixada no Anexo de Metas Fiscais da LDO para o exercício</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2.788.855,37</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-43.109.430,11</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-11.216.144,09</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-7.651.126,73</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-541.575,72</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-543.670,08</w:t>
            </w:r>
          </w:p>
        </w:tc>
      </w:tr>
      <w:tr>
        <w:trPr>
          <w:trHeight w:val="235" w:hRule="exact"/>
        </w:trPr>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100" w:right="0" w:firstLine="0"/>
              <w:jc w:val="center"/>
            </w:pPr>
            <w:r>
              <w:rPr>
                <w:rFonts w:ascii="Arial" w:eastAsia="Arial" w:hAnsi="Arial" w:cs="Arial"/>
                <w:b/>
                <w:bCs/>
                <w:color w:val="000000"/>
                <w:spacing w:val="0"/>
                <w:w w:val="100"/>
                <w:position w:val="0"/>
                <w:shd w:val="clear" w:color="auto" w:fill="auto"/>
                <w:lang w:val="pt-PT" w:eastAsia="pt-PT" w:bidi="pt-PT"/>
              </w:rPr>
              <w:t>Juros Nominais</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2025</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r>
      <w:tr>
        <w:trPr>
          <w:trHeight w:val="235" w:hRule="exact"/>
        </w:trPr>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2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Juros, Encargos e Variações Monetárias Ativos (XXV)</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4.541.673,34</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2.928.913,11</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2.031.307,80</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3.122.716,65</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3.247.625,32</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3.371.035,08</w:t>
            </w:r>
          </w:p>
        </w:tc>
      </w:tr>
      <w:tr>
        <w:trPr>
          <w:trHeight w:val="278" w:hRule="exact"/>
        </w:trPr>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2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Juros, Encargos e Variações Monetárias Passivos (XXVI)</w:t>
            </w:r>
          </w:p>
        </w:tc>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8.112,47</w:t>
            </w:r>
          </w:p>
        </w:tc>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1.487,29</w:t>
            </w:r>
          </w:p>
        </w:tc>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326.759,12</w:t>
            </w:r>
          </w:p>
        </w:tc>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341.463,28</w:t>
            </w:r>
          </w:p>
        </w:tc>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355.121,82</w:t>
            </w:r>
          </w:p>
        </w:tc>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368.616,45</w:t>
            </w:r>
          </w:p>
        </w:tc>
      </w:tr>
      <w:tr>
        <w:trPr>
          <w:trHeight w:val="264" w:hRule="exact"/>
        </w:trPr>
        <w:tc>
          <w:tcPr>
            <w:tcBorders>
              <w:left w:val="single" w:sz="4"/>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60" w:right="0" w:firstLine="0"/>
              <w:jc w:val="center"/>
            </w:pPr>
            <w:r>
              <w:rPr>
                <w:rFonts w:ascii="Arial" w:eastAsia="Arial" w:hAnsi="Arial" w:cs="Arial"/>
                <w:b/>
                <w:bCs/>
                <w:color w:val="000000"/>
                <w:spacing w:val="0"/>
                <w:w w:val="100"/>
                <w:position w:val="0"/>
                <w:shd w:val="clear" w:color="auto" w:fill="auto"/>
                <w:lang w:val="pt-PT" w:eastAsia="pt-PT" w:bidi="pt-PT"/>
              </w:rPr>
              <w:t>RESULTADO NOMINAL - ACIMA DA LINHA (XXVII) = XXIV</w:t>
            </w:r>
          </w:p>
        </w:tc>
        <w:tc>
          <w:tcPr>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7.322.416,24</w:t>
            </w:r>
          </w:p>
        </w:tc>
        <w:tc>
          <w:tcPr>
            <w:tcBorders>
              <w:left w:val="single" w:sz="4"/>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-40.182.004,29</w:t>
            </w:r>
          </w:p>
        </w:tc>
        <w:tc>
          <w:tcPr>
            <w:tcBorders>
              <w:left w:val="single" w:sz="4"/>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-9.511.595,41</w:t>
            </w:r>
          </w:p>
        </w:tc>
        <w:tc>
          <w:tcPr>
            <w:tcBorders>
              <w:left w:val="single" w:sz="4"/>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-4.869.873,36</w:t>
            </w:r>
          </w:p>
        </w:tc>
        <w:tc>
          <w:tcPr>
            <w:tcBorders>
              <w:left w:val="single" w:sz="4"/>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2.350.927,78</w:t>
            </w:r>
          </w:p>
        </w:tc>
        <w:tc>
          <w:tcPr>
            <w:tcBorders>
              <w:left w:val="single" w:sz="4"/>
            </w:tcBorders>
            <w:shd w:val="clear" w:color="auto" w:fill="FFFFFF"/>
            <w:vAlign w:val="bottom"/>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2.458.748,55</w:t>
            </w:r>
          </w:p>
        </w:tc>
      </w:tr>
      <w:tr>
        <w:trPr>
          <w:trHeight w:val="240" w:hRule="exact"/>
        </w:trPr>
        <w:tc>
          <w:tcPr>
            <w:tcBorders>
              <w:left w:val="single" w:sz="4"/>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60" w:right="0" w:firstLine="0"/>
              <w:jc w:val="center"/>
            </w:pPr>
            <w:r>
              <w:rPr>
                <w:rFonts w:ascii="Arial" w:eastAsia="Arial" w:hAnsi="Arial" w:cs="Arial"/>
                <w:b/>
                <w:bCs/>
                <w:color w:val="000000"/>
                <w:spacing w:val="0"/>
                <w:w w:val="100"/>
                <w:position w:val="0"/>
                <w:shd w:val="clear" w:color="auto" w:fill="auto"/>
                <w:lang w:val="pt-PT" w:eastAsia="pt-PT" w:bidi="pt-PT"/>
              </w:rPr>
              <w:t>META FISCAL PARA O RESULTADO NOMINAL</w:t>
            </w:r>
          </w:p>
        </w:tc>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tc>
        <w:tc>
          <w:tcPr>
            <w:tcBorders>
              <w:left w:val="single" w:sz="4"/>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left w:val="single" w:sz="4"/>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2025</w:t>
            </w:r>
          </w:p>
        </w:tc>
        <w:tc>
          <w:tcPr>
            <w:tcBorders>
              <w:left w:val="single" w:sz="4"/>
            </w:tcBorders>
            <w:shd w:val="clear" w:color="auto" w:fill="FFFFFF"/>
            <w:vAlign w:val="center"/>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left w:val="single" w:sz="4"/>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left w:val="single" w:sz="4"/>
            </w:tcBorders>
            <w:shd w:val="clear" w:color="auto" w:fill="FFFFFF"/>
            <w:vAlign w:val="center"/>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r>
      <w:tr>
        <w:trPr>
          <w:trHeight w:val="264" w:hRule="exact"/>
        </w:trPr>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22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Meta fixada no Anexo de Metas Fiscais da LDO para o exercício</w:t>
            </w:r>
          </w:p>
        </w:tc>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7.626.580,98</w:t>
            </w:r>
          </w:p>
        </w:tc>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-38.569.244,06</w:t>
            </w:r>
          </w:p>
        </w:tc>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-9.576.296,76</w:t>
            </w:r>
          </w:p>
        </w:tc>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-5.961.282,21</w:t>
            </w:r>
          </w:p>
        </w:tc>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1.205.706,03</w:t>
            </w:r>
          </w:p>
        </w:tc>
        <w:tc>
          <w:tcPr>
            <w:tcBorders/>
            <w:shd w:val="clear" w:color="auto" w:fill="FFFFFF"/>
            <w:vAlign w:val="top"/>
          </w:tcPr>
          <w:p>
            <w:pPr>
              <w:pStyle w:val="Style23"/>
              <w:keepNext w:val="0"/>
              <w:keepLines w:val="0"/>
              <w:framePr w:w="14539" w:h="1997" w:hSpace="34" w:vSpace="360" w:wrap="notBeside" w:vAnchor="text" w:hAnchor="text" w:x="37" w:y="361"/>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1.263.701,16</w:t>
            </w:r>
          </w:p>
        </w:tc>
      </w:tr>
    </w:tbl>
    <w:p>
      <w:pPr>
        <w:pStyle w:val="Style33"/>
        <w:keepNext w:val="0"/>
        <w:keepLines w:val="0"/>
        <w:framePr w:w="2544" w:h="254" w:hSpace="2" w:wrap="notBeside" w:vAnchor="text" w:hAnchor="text" w:x="3" w:y="1"/>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Anexo 6 (LRF, art 53, inciso III)</w:t>
      </w:r>
    </w:p>
    <w:p>
      <w:pPr>
        <w:pStyle w:val="Style33"/>
        <w:keepNext w:val="0"/>
        <w:keepLines w:val="0"/>
        <w:framePr w:w="346" w:h="230" w:hSpace="2" w:wrap="notBeside" w:vAnchor="text" w:hAnchor="text" w:x="14207"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w:t>
      </w:r>
    </w:p>
    <w:p>
      <w:pPr>
        <w:widowControl w:val="0"/>
        <w:spacing w:line="1" w:lineRule="exact"/>
      </w:pPr>
    </w:p>
    <w:tbl>
      <w:tblPr>
        <w:tblOverlap w:val="never"/>
        <w:jc w:val="center"/>
        <w:tblLayout w:type="fixed"/>
      </w:tblPr>
      <w:tblGrid>
        <w:gridCol w:w="5074"/>
        <w:gridCol w:w="1565"/>
        <w:gridCol w:w="1555"/>
        <w:gridCol w:w="1565"/>
        <w:gridCol w:w="1555"/>
        <w:gridCol w:w="1565"/>
        <w:gridCol w:w="1570"/>
      </w:tblGrid>
      <w:tr>
        <w:trPr>
          <w:trHeight w:val="293" w:hRule="exact"/>
        </w:trPr>
        <w:tc>
          <w:tcPr>
            <w:gridSpan w:val="7"/>
            <w:tcBorders/>
            <w:shd w:val="clear" w:color="auto" w:fill="FFFFFF"/>
            <w:vAlign w:val="top"/>
          </w:tcPr>
          <w:p>
            <w:pPr>
              <w:pStyle w:val="Style23"/>
              <w:keepNext w:val="0"/>
              <w:keepLines w:val="0"/>
              <w:widowControl w:val="0"/>
              <w:shd w:val="clear" w:color="auto" w:fill="auto"/>
              <w:bidi w:val="0"/>
              <w:spacing w:before="0" w:after="0" w:line="240" w:lineRule="auto"/>
              <w:ind w:left="672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ABAIXO DA LINHA</w:t>
            </w:r>
          </w:p>
        </w:tc>
      </w:tr>
      <w:tr>
        <w:trPr>
          <w:trHeight w:val="235"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r>
      <w:tr>
        <w:trPr>
          <w:trHeight w:val="13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center"/>
            </w:pPr>
            <w:r>
              <w:rPr>
                <w:rFonts w:ascii="Arial" w:eastAsia="Arial" w:hAnsi="Arial" w:cs="Arial"/>
                <w:b/>
                <w:bCs/>
                <w:color w:val="000000"/>
                <w:spacing w:val="0"/>
                <w:w w:val="100"/>
                <w:position w:val="0"/>
                <w:shd w:val="clear" w:color="auto" w:fill="auto"/>
                <w:lang w:val="pt-PT" w:eastAsia="pt-PT" w:bidi="pt-PT"/>
              </w:rPr>
              <w:t>CÁLCULO DO RESULTADO NOMINAL</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4"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(b)</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(c)</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(d)</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(e)</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(f)</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(g)</w:t>
            </w:r>
          </w:p>
        </w:tc>
      </w:tr>
      <w:tr>
        <w:trPr>
          <w:trHeight w:val="245"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DÍVIDA CONSOLIDADA ( XXVIII )</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17.458.712,90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16.433.648,84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16.433.648,84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17.173.163,04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17.860.089,56</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18.538.772,96</w:t>
            </w:r>
          </w:p>
        </w:tc>
      </w:tr>
      <w:tr>
        <w:trPr>
          <w:trHeight w:val="24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DEDUÇÕES ( XXIX )</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97.029.736,68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94.836.728,51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94.836.728,51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99.104.381,29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103.068.556,55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106.985.161,69</w:t>
            </w:r>
          </w:p>
        </w:tc>
      </w:tr>
      <w:tr>
        <w:trPr>
          <w:trHeight w:val="24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Disponibilidade de Caixa Bruta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40.619.828,27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11.520.107,64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11.520.107,64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12.038.512,48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12.520.052,98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12.995.814,99</w:t>
            </w:r>
          </w:p>
        </w:tc>
      </w:tr>
      <w:tr>
        <w:trPr>
          <w:trHeight w:val="235"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Demais Haveres Financeiros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56.456.816,04</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83.385.731,98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83.385.731,98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87.138.089,92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90.623.613,52</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94.067.310,83</w:t>
            </w:r>
          </w:p>
        </w:tc>
      </w:tr>
      <w:tr>
        <w:trPr>
          <w:trHeight w:val="24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 -) Restos a Pagar ( XXX )</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46.907,63</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69.111,11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69.111,11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72.221,11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75.109,95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77.964,13</w:t>
            </w:r>
          </w:p>
        </w:tc>
      </w:tr>
      <w:tr>
        <w:trPr>
          <w:trHeight w:val="240"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 -) Depósitos Restituíveis e Valores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5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DÍVIDA CONSOLIDADA LÍQUIDA ( XXXI ) = (XXVIII - XXIX )</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-79.571.023,78</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-78.403.079,67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-78.403.079,67</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-81.931.218,25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-85.208.466,99</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-88.446.388,73</w:t>
            </w:r>
          </w:p>
        </w:tc>
      </w:tr>
      <w:tr>
        <w:trPr>
          <w:trHeight w:val="413"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Resultado Nominal - Abaixo da Linha (XXXII) = (XXXIa-XXXIb))</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b/>
                <w:bCs/>
                <w:color w:val="000000"/>
                <w:spacing w:val="0"/>
                <w:w w:val="100"/>
                <w:position w:val="0"/>
                <w:sz w:val="20"/>
                <w:szCs w:val="20"/>
                <w:shd w:val="clear" w:color="auto" w:fill="auto"/>
                <w:lang w:val="pt-PT" w:eastAsia="pt-PT" w:bidi="pt-PT"/>
              </w:rPr>
              <w:t>(a* - b)</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b/>
                <w:bCs/>
                <w:color w:val="000000"/>
                <w:spacing w:val="0"/>
                <w:w w:val="100"/>
                <w:position w:val="0"/>
                <w:sz w:val="20"/>
                <w:szCs w:val="20"/>
                <w:shd w:val="clear" w:color="auto" w:fill="auto"/>
                <w:lang w:val="pt-PT" w:eastAsia="pt-PT" w:bidi="pt-PT"/>
              </w:rPr>
              <w:t>(b - c)</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b/>
                <w:bCs/>
                <w:color w:val="000000"/>
                <w:spacing w:val="0"/>
                <w:w w:val="100"/>
                <w:position w:val="0"/>
                <w:sz w:val="20"/>
                <w:szCs w:val="20"/>
                <w:shd w:val="clear" w:color="auto" w:fill="auto"/>
                <w:lang w:val="pt-PT" w:eastAsia="pt-PT" w:bidi="pt-PT"/>
              </w:rPr>
              <w:t>(c - d)</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b/>
                <w:bCs/>
                <w:color w:val="000000"/>
                <w:spacing w:val="0"/>
                <w:w w:val="100"/>
                <w:position w:val="0"/>
                <w:sz w:val="20"/>
                <w:szCs w:val="20"/>
                <w:shd w:val="clear" w:color="auto" w:fill="auto"/>
                <w:lang w:val="pt-PT" w:eastAsia="pt-PT" w:bidi="pt-PT"/>
              </w:rPr>
              <w:t>(d - 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b/>
                <w:bCs/>
                <w:color w:val="000000"/>
                <w:spacing w:val="0"/>
                <w:w w:val="100"/>
                <w:position w:val="0"/>
                <w:sz w:val="20"/>
                <w:szCs w:val="20"/>
                <w:shd w:val="clear" w:color="auto" w:fill="auto"/>
                <w:lang w:val="pt-PT" w:eastAsia="pt-PT" w:bidi="pt-PT"/>
              </w:rPr>
              <w:t>(e - f)</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b/>
                <w:bCs/>
                <w:color w:val="000000"/>
                <w:spacing w:val="0"/>
                <w:w w:val="100"/>
                <w:position w:val="0"/>
                <w:sz w:val="20"/>
                <w:szCs w:val="20"/>
                <w:shd w:val="clear" w:color="auto" w:fill="auto"/>
                <w:lang w:val="pt-PT" w:eastAsia="pt-PT" w:bidi="pt-PT"/>
              </w:rPr>
              <w:t>(f - g)</w:t>
            </w:r>
          </w:p>
        </w:tc>
      </w:tr>
      <w:tr>
        <w:trPr>
          <w:trHeight w:val="23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26.069.238,00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-1.167.944,11</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0,00</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3.528.138,58</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3.277.248,74</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3.237.921,74</w:t>
            </w:r>
          </w:p>
        </w:tc>
      </w:tr>
    </w:tbl>
    <w:p>
      <w:pPr>
        <w:pStyle w:val="Style33"/>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a* Dívida Consolidada Líquida do exercício de 2022 (R$-53.501.785,78)</w:t>
      </w:r>
    </w:p>
    <w:p>
      <w:pPr>
        <w:widowControl w:val="0"/>
        <w:spacing w:line="1" w:lineRule="exact"/>
      </w:pPr>
      <w:r>
        <w:br w:type="page"/>
      </w:r>
    </w:p>
    <w:p>
      <w:pPr>
        <w:pStyle w:val="Style33"/>
        <w:keepNext w:val="0"/>
        <w:keepLines w:val="0"/>
        <w:widowControl w:val="0"/>
        <w:shd w:val="clear" w:color="auto" w:fill="auto"/>
        <w:tabs>
          <w:tab w:pos="14198" w:val="left"/>
        </w:tabs>
        <w:bidi w:val="0"/>
        <w:spacing w:before="0" w:after="0" w:line="240" w:lineRule="auto"/>
        <w:ind w:left="0" w:right="0" w:firstLine="0"/>
        <w:jc w:val="both"/>
      </w:pPr>
      <w:r>
        <w:rPr>
          <w:color w:val="000000"/>
          <w:spacing w:val="0"/>
          <w:w w:val="100"/>
          <w:position w:val="0"/>
          <w:sz w:val="18"/>
          <w:szCs w:val="18"/>
          <w:shd w:val="clear" w:color="auto" w:fill="auto"/>
          <w:lang w:val="pt-PT" w:eastAsia="pt-PT" w:bidi="pt-PT"/>
        </w:rPr>
        <w:t>Anexo 6 (LRF, art 53, inciso III)</w:t>
        <w:tab/>
      </w:r>
      <w:r>
        <w:rPr>
          <w:color w:val="000000"/>
          <w:spacing w:val="0"/>
          <w:w w:val="100"/>
          <w:position w:val="0"/>
          <w:shd w:val="clear" w:color="auto" w:fill="auto"/>
          <w:lang w:val="pt-PT" w:eastAsia="pt-PT" w:bidi="pt-PT"/>
        </w:rPr>
        <w:t>(R$)</w:t>
      </w:r>
    </w:p>
    <w:tbl>
      <w:tblPr>
        <w:tblOverlap w:val="never"/>
        <w:jc w:val="center"/>
        <w:tblLayout w:type="fixed"/>
      </w:tblPr>
      <w:tblGrid>
        <w:gridCol w:w="7272"/>
        <w:gridCol w:w="6950"/>
      </w:tblGrid>
      <w:tr>
        <w:trPr>
          <w:trHeight w:val="38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1340" w:right="0" w:firstLine="0"/>
              <w:jc w:val="left"/>
            </w:pPr>
            <w:r>
              <w:rPr>
                <w:rFonts w:ascii="Arial" w:eastAsia="Arial" w:hAnsi="Arial" w:cs="Arial"/>
                <w:b/>
                <w:bCs/>
                <w:color w:val="000000"/>
                <w:spacing w:val="0"/>
                <w:w w:val="100"/>
                <w:position w:val="0"/>
                <w:shd w:val="clear" w:color="auto" w:fill="auto"/>
                <w:lang w:val="pt-PT" w:eastAsia="pt-PT" w:bidi="pt-PT"/>
              </w:rPr>
              <w:t>AJUSTE METODOLÓGICO</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1740" w:right="0" w:firstLine="0"/>
              <w:jc w:val="left"/>
            </w:pPr>
            <w:r>
              <w:rPr>
                <w:rFonts w:ascii="Arial" w:eastAsia="Arial" w:hAnsi="Arial" w:cs="Arial"/>
                <w:b/>
                <w:bCs/>
                <w:color w:val="000000"/>
                <w:spacing w:val="0"/>
                <w:w w:val="100"/>
                <w:position w:val="0"/>
                <w:shd w:val="clear" w:color="auto" w:fill="auto"/>
                <w:lang w:val="pt-PT" w:eastAsia="pt-PT" w:bidi="pt-PT"/>
              </w:rPr>
              <w:t>EXERCÍCIO DE 2026</w:t>
            </w:r>
          </w:p>
        </w:tc>
      </w:tr>
      <w:tr>
        <w:trPr>
          <w:trHeight w:val="269"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VARIAÇÃO SALDO RPP = ( XXXIII ) = ( XXXd - XXXe )</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880" w:firstLine="0"/>
              <w:jc w:val="right"/>
            </w:pPr>
            <w:r>
              <w:rPr>
                <w:rFonts w:ascii="Arial" w:eastAsia="Arial" w:hAnsi="Arial" w:cs="Arial"/>
                <w:b/>
                <w:bCs/>
                <w:color w:val="000000"/>
                <w:spacing w:val="0"/>
                <w:w w:val="100"/>
                <w:position w:val="0"/>
                <w:shd w:val="clear" w:color="auto" w:fill="auto"/>
                <w:lang w:val="pt-PT" w:eastAsia="pt-PT" w:bidi="pt-PT"/>
              </w:rPr>
              <w:t>-3.110,00</w:t>
            </w:r>
          </w:p>
        </w:tc>
      </w:tr>
      <w:tr>
        <w:trPr>
          <w:trHeight w:val="245"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 xml:space="preserve">RECEITA DE </w:t>
            </w:r>
            <w:r>
              <w:rPr>
                <w:rFonts w:ascii="Arial" w:eastAsia="Arial" w:hAnsi="Arial" w:cs="Arial"/>
                <w:b/>
                <w:bCs/>
                <w:color w:val="000000"/>
                <w:spacing w:val="0"/>
                <w:w w:val="100"/>
                <w:position w:val="0"/>
                <w:shd w:val="clear" w:color="auto" w:fill="auto"/>
                <w:lang w:val="pt-PT" w:eastAsia="pt-PT" w:bidi="pt-PT"/>
              </w:rPr>
              <w:t>ALIEN.DE</w:t>
            </w:r>
            <w:r>
              <w:rPr>
                <w:rFonts w:ascii="Arial" w:eastAsia="Arial" w:hAnsi="Arial" w:cs="Arial"/>
                <w:b/>
                <w:bCs/>
                <w:color w:val="000000"/>
                <w:spacing w:val="0"/>
                <w:w w:val="100"/>
                <w:position w:val="0"/>
                <w:shd w:val="clear" w:color="auto" w:fill="auto"/>
                <w:lang w:val="pt-PT" w:eastAsia="pt-PT" w:bidi="pt-PT"/>
              </w:rPr>
              <w:t xml:space="preserve"> INVEST. PERMANENTES ( IX )</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880" w:firstLine="0"/>
              <w:jc w:val="right"/>
            </w:pPr>
            <w:r>
              <w:rPr>
                <w:rFonts w:ascii="Arial" w:eastAsia="Arial" w:hAnsi="Arial" w:cs="Arial"/>
                <w:b/>
                <w:bCs/>
                <w:color w:val="000000"/>
                <w:spacing w:val="0"/>
                <w:w w:val="100"/>
                <w:position w:val="0"/>
                <w:shd w:val="clear" w:color="auto" w:fill="auto"/>
                <w:lang w:val="pt-PT" w:eastAsia="pt-PT" w:bidi="pt-PT"/>
              </w:rPr>
              <w:t>0,00</w:t>
            </w:r>
          </w:p>
        </w:tc>
      </w:tr>
      <w:tr>
        <w:trPr>
          <w:trHeight w:val="264"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PASSIVOS RECONHECIDOS NA DC ( XXXIV ) = ( XXXI )</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880" w:firstLine="0"/>
              <w:jc w:val="right"/>
            </w:pPr>
            <w:r>
              <w:rPr>
                <w:rFonts w:ascii="Arial" w:eastAsia="Arial" w:hAnsi="Arial" w:cs="Arial"/>
                <w:b/>
                <w:bCs/>
                <w:color w:val="000000"/>
                <w:spacing w:val="0"/>
                <w:w w:val="100"/>
                <w:position w:val="0"/>
                <w:shd w:val="clear" w:color="auto" w:fill="auto"/>
                <w:lang w:val="pt-PT" w:eastAsia="pt-PT" w:bidi="pt-PT"/>
              </w:rPr>
              <w:t>-81.931.218,25</w:t>
            </w:r>
          </w:p>
        </w:tc>
      </w:tr>
      <w:tr>
        <w:trPr>
          <w:trHeight w:val="27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VARIAÇÃO CAMBIAL ( XXXV )</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880" w:firstLine="0"/>
              <w:jc w:val="right"/>
            </w:pPr>
            <w:r>
              <w:rPr>
                <w:rFonts w:ascii="Arial" w:eastAsia="Arial" w:hAnsi="Arial" w:cs="Arial"/>
                <w:b/>
                <w:bCs/>
                <w:color w:val="000000"/>
                <w:spacing w:val="0"/>
                <w:w w:val="100"/>
                <w:position w:val="0"/>
                <w:shd w:val="clear" w:color="auto" w:fill="auto"/>
                <w:lang w:val="pt-PT" w:eastAsia="pt-PT" w:bidi="pt-PT"/>
              </w:rPr>
              <w:t>0,00</w:t>
            </w:r>
          </w:p>
        </w:tc>
      </w:tr>
      <w:tr>
        <w:trPr>
          <w:trHeight w:val="23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PAGTO. DE PRECATÓRIOS INTEGRANTES DA DC ( XXXVI )</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880" w:firstLine="0"/>
              <w:jc w:val="right"/>
            </w:pPr>
            <w:r>
              <w:rPr>
                <w:rFonts w:ascii="Arial" w:eastAsia="Arial" w:hAnsi="Arial" w:cs="Arial"/>
                <w:b/>
                <w:bCs/>
                <w:color w:val="000000"/>
                <w:spacing w:val="0"/>
                <w:w w:val="100"/>
                <w:position w:val="0"/>
                <w:shd w:val="clear" w:color="auto" w:fill="auto"/>
                <w:lang w:val="pt-PT" w:eastAsia="pt-PT" w:bidi="pt-PT"/>
              </w:rPr>
              <w:t>0,00</w:t>
            </w:r>
          </w:p>
        </w:tc>
      </w:tr>
      <w:tr>
        <w:trPr>
          <w:trHeight w:val="23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RESULTADO DO BACEM ( XXXVII )</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880" w:firstLine="0"/>
              <w:jc w:val="right"/>
            </w:pPr>
            <w:r>
              <w:rPr>
                <w:rFonts w:ascii="Arial" w:eastAsia="Arial" w:hAnsi="Arial" w:cs="Arial"/>
                <w:b/>
                <w:bCs/>
                <w:color w:val="000000"/>
                <w:spacing w:val="0"/>
                <w:w w:val="100"/>
                <w:position w:val="0"/>
                <w:shd w:val="clear" w:color="auto" w:fill="auto"/>
                <w:lang w:val="pt-PT" w:eastAsia="pt-PT" w:bidi="pt-PT"/>
              </w:rPr>
              <w:t>0,00</w:t>
            </w:r>
          </w:p>
        </w:tc>
      </w:tr>
      <w:tr>
        <w:trPr>
          <w:trHeight w:val="2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OUTROS AJUSTES ( XXXVIII )</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880" w:firstLine="0"/>
              <w:jc w:val="right"/>
            </w:pPr>
            <w:r>
              <w:rPr>
                <w:rFonts w:ascii="Arial" w:eastAsia="Arial" w:hAnsi="Arial" w:cs="Arial"/>
                <w:b/>
                <w:bCs/>
                <w:color w:val="000000"/>
                <w:spacing w:val="0"/>
                <w:w w:val="100"/>
                <w:position w:val="0"/>
                <w:shd w:val="clear" w:color="auto" w:fill="auto"/>
                <w:lang w:val="pt-PT" w:eastAsia="pt-PT" w:bidi="pt-PT"/>
              </w:rPr>
              <w:t>0,00</w:t>
            </w:r>
          </w:p>
        </w:tc>
      </w:tr>
      <w:tr>
        <w:trPr>
          <w:trHeight w:val="509" w:hRule="exact"/>
        </w:trPr>
        <w:tc>
          <w:tcPr>
            <w:tcBorders/>
            <w:shd w:val="clear" w:color="auto" w:fill="FFFFFF"/>
            <w:vAlign w:val="bottom"/>
          </w:tcPr>
          <w:p>
            <w:pPr>
              <w:pStyle w:val="Style23"/>
              <w:keepNext w:val="0"/>
              <w:keepLines w:val="0"/>
              <w:widowControl w:val="0"/>
              <w:shd w:val="clear" w:color="auto" w:fill="auto"/>
              <w:bidi w:val="0"/>
              <w:spacing w:before="0" w:after="0" w:line="276" w:lineRule="auto"/>
              <w:ind w:left="0" w:right="0" w:firstLine="0"/>
              <w:jc w:val="left"/>
            </w:pPr>
            <w:r>
              <w:rPr>
                <w:rFonts w:ascii="Arial" w:eastAsia="Arial" w:hAnsi="Arial" w:cs="Arial"/>
                <w:b/>
                <w:bCs/>
                <w:color w:val="000000"/>
                <w:spacing w:val="0"/>
                <w:w w:val="100"/>
                <w:position w:val="0"/>
                <w:shd w:val="clear" w:color="auto" w:fill="auto"/>
                <w:lang w:val="pt-PT" w:eastAsia="pt-PT" w:bidi="pt-PT"/>
              </w:rPr>
              <w:t>RESULTADO NOMINAL AJUSTADO - abaixo da linha ( XXXIX ) = ( XXXII - XXXIII - IX + XXXIV + XXXV - XXXVI + XXXVII + XXXVIII)</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2880" w:firstLine="0"/>
              <w:jc w:val="right"/>
            </w:pPr>
            <w:r>
              <w:rPr>
                <w:rFonts w:ascii="Arial" w:eastAsia="Arial" w:hAnsi="Arial" w:cs="Arial"/>
                <w:b/>
                <w:bCs/>
                <w:color w:val="000000"/>
                <w:spacing w:val="0"/>
                <w:w w:val="100"/>
                <w:position w:val="0"/>
                <w:shd w:val="clear" w:color="auto" w:fill="auto"/>
                <w:lang w:val="pt-PT" w:eastAsia="pt-PT" w:bidi="pt-PT"/>
              </w:rPr>
              <w:t>-78.399.969,67</w:t>
            </w:r>
          </w:p>
        </w:tc>
      </w:tr>
      <w:tr>
        <w:trPr>
          <w:trHeight w:val="27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RESULTADO PRIMÁRIO - Abaixo da Linha ( XL ) = XXXIX )</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2880" w:firstLine="0"/>
              <w:jc w:val="right"/>
            </w:pPr>
            <w:r>
              <w:rPr>
                <w:rFonts w:ascii="Arial" w:eastAsia="Arial" w:hAnsi="Arial" w:cs="Arial"/>
                <w:b/>
                <w:bCs/>
                <w:color w:val="000000"/>
                <w:spacing w:val="0"/>
                <w:w w:val="100"/>
                <w:position w:val="0"/>
                <w:shd w:val="clear" w:color="auto" w:fill="auto"/>
                <w:lang w:val="pt-PT" w:eastAsia="pt-PT" w:bidi="pt-PT"/>
              </w:rPr>
              <w:t>-78.399.969,67</w:t>
            </w:r>
          </w:p>
        </w:tc>
      </w:tr>
    </w:tbl>
    <w:p>
      <w:pPr>
        <w:widowControl w:val="0"/>
        <w:spacing w:after="3279" w:line="1" w:lineRule="exact"/>
      </w:pPr>
    </w:p>
    <w:p>
      <w:pPr>
        <w:pStyle w:val="Style29"/>
        <w:keepNext w:val="0"/>
        <w:keepLines w:val="0"/>
        <w:widowControl w:val="0"/>
        <w:shd w:val="clear" w:color="auto" w:fill="auto"/>
        <w:bidi w:val="0"/>
        <w:spacing w:before="0" w:after="140" w:line="240" w:lineRule="auto"/>
        <w:ind w:left="6700" w:right="0" w:firstLine="0"/>
        <w:jc w:val="left"/>
      </w:pPr>
      <w:r>
        <mc:AlternateContent>
          <mc:Choice Requires="wps">
            <w:drawing>
              <wp:anchor distT="0" distB="0" distL="114300" distR="114300" simplePos="0" relativeHeight="125829465" behindDoc="0" locked="0" layoutInCell="1" allowOverlap="1">
                <wp:simplePos x="0" y="0"/>
                <wp:positionH relativeFrom="page">
                  <wp:posOffset>6915785</wp:posOffset>
                </wp:positionH>
                <wp:positionV relativeFrom="paragraph">
                  <wp:posOffset>12700</wp:posOffset>
                </wp:positionV>
                <wp:extent cx="1200785" cy="155575"/>
                <wp:wrapSquare wrapText="left"/>
                <wp:docPr id="203" name="Shape 203"/>
                <a:graphic xmlns:a="http://schemas.openxmlformats.org/drawingml/2006/main">
                  <a:graphicData uri="http://schemas.microsoft.com/office/word/2010/wordprocessingShape">
                    <wps:wsp>
                      <wps:cNvSpPr txBox="1"/>
                      <wps:spPr>
                        <a:xfrm>
                          <a:ext cx="1200785" cy="15557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Dilson Marcos Kovalski</w:t>
                            </w:r>
                          </w:p>
                        </w:txbxContent>
                      </wps:txbx>
                      <wps:bodyPr wrap="none" lIns="0" tIns="0" rIns="0" bIns="0">
                        <a:noAutoFit/>
                      </wps:bodyPr>
                    </wps:wsp>
                  </a:graphicData>
                </a:graphic>
              </wp:anchor>
            </w:drawing>
          </mc:Choice>
          <mc:Fallback>
            <w:pict>
              <v:shape id="_x0000_s1229" type="#_x0000_t202" style="position:absolute;margin-left:544.54999999999995pt;margin-top:1.pt;width:94.549999999999997pt;height:12.25pt;z-index:-125829288;mso-wrap-distance-left:9.pt;mso-wrap-distance-right:9.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Dilson Marcos Kovalski</w:t>
                      </w:r>
                    </w:p>
                  </w:txbxContent>
                </v:textbox>
                <w10:wrap type="square" side="left" anchorx="page"/>
              </v:shape>
            </w:pict>
          </mc:Fallback>
        </mc:AlternateContent>
      </w:r>
      <w:r>
        <w:rPr>
          <w:b/>
          <w:bCs/>
          <w:color w:val="000000"/>
          <w:spacing w:val="0"/>
          <w:w w:val="100"/>
          <w:position w:val="0"/>
          <w:shd w:val="clear" w:color="auto" w:fill="auto"/>
          <w:lang w:val="pt-PT" w:eastAsia="pt-PT" w:bidi="pt-PT"/>
        </w:rPr>
        <w:t>Macelly Cristina de Souza Veras</w:t>
      </w:r>
    </w:p>
    <w:p>
      <w:pPr>
        <w:pStyle w:val="Style21"/>
        <w:keepNext w:val="0"/>
        <w:keepLines w:val="0"/>
        <w:widowControl w:val="0"/>
        <w:shd w:val="clear" w:color="auto" w:fill="auto"/>
        <w:bidi w:val="0"/>
        <w:spacing w:before="0" w:after="0" w:line="240" w:lineRule="auto"/>
        <w:ind w:left="1140" w:right="0" w:firstLine="0"/>
        <w:jc w:val="left"/>
        <w:rPr>
          <w:sz w:val="16"/>
          <w:szCs w:val="16"/>
        </w:rPr>
        <w:sectPr>
          <w:headerReference w:type="default" r:id="rId99"/>
          <w:footerReference w:type="default" r:id="rId100"/>
          <w:footnotePr>
            <w:pos w:val="pageBottom"/>
            <w:numFmt w:val="decimal"/>
            <w:numRestart w:val="continuous"/>
          </w:footnotePr>
          <w:pgSz w:w="16840" w:h="11900" w:orient="landscape"/>
          <w:pgMar w:top="1857" w:left="768" w:right="1494" w:bottom="775" w:header="0" w:footer="347" w:gutter="0"/>
          <w:pgNumType w:start="99"/>
          <w:cols w:space="720"/>
          <w:noEndnote/>
          <w:rtlGutter w:val="0"/>
          <w:docGrid w:linePitch="360"/>
        </w:sectPr>
      </w:pPr>
      <w:r>
        <mc:AlternateContent>
          <mc:Choice Requires="wps">
            <w:drawing>
              <wp:anchor distT="0" distB="0" distL="114300" distR="114300" simplePos="0" relativeHeight="125829467" behindDoc="0" locked="0" layoutInCell="1" allowOverlap="1">
                <wp:simplePos x="0" y="0"/>
                <wp:positionH relativeFrom="page">
                  <wp:posOffset>5276215</wp:posOffset>
                </wp:positionH>
                <wp:positionV relativeFrom="paragraph">
                  <wp:posOffset>12700</wp:posOffset>
                </wp:positionV>
                <wp:extent cx="786130" cy="146050"/>
                <wp:wrapSquare wrapText="right"/>
                <wp:docPr id="207" name="Shape 207"/>
                <a:graphic xmlns:a="http://schemas.openxmlformats.org/drawingml/2006/main">
                  <a:graphicData uri="http://schemas.microsoft.com/office/word/2010/wordprocessingShape">
                    <wps:wsp>
                      <wps:cNvSpPr txBox="1"/>
                      <wps:spPr>
                        <a:xfrm>
                          <a:ext cx="786130" cy="14605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val="0"/>
                                <w:bCs w:val="0"/>
                                <w:color w:val="000000"/>
                                <w:spacing w:val="0"/>
                                <w:w w:val="100"/>
                                <w:position w:val="0"/>
                                <w:sz w:val="16"/>
                                <w:szCs w:val="16"/>
                                <w:shd w:val="clear" w:color="auto" w:fill="auto"/>
                                <w:lang w:val="pt-BR" w:eastAsia="pt-BR" w:bidi="pt-BR"/>
                              </w:rPr>
                              <w:t xml:space="preserve">Prefeita </w:t>
                            </w:r>
                            <w:r>
                              <w:rPr>
                                <w:rFonts w:ascii="Times New Roman" w:eastAsia="Times New Roman" w:hAnsi="Times New Roman" w:cs="Times New Roman"/>
                                <w:b w:val="0"/>
                                <w:bCs w:val="0"/>
                                <w:color w:val="000000"/>
                                <w:spacing w:val="0"/>
                                <w:w w:val="100"/>
                                <w:position w:val="0"/>
                                <w:sz w:val="16"/>
                                <w:szCs w:val="16"/>
                                <w:shd w:val="clear" w:color="auto" w:fill="auto"/>
                                <w:lang w:val="pt-PT" w:eastAsia="pt-PT" w:bidi="pt-PT"/>
                              </w:rPr>
                              <w:t>Municipal</w:t>
                            </w:r>
                          </w:p>
                        </w:txbxContent>
                      </wps:txbx>
                      <wps:bodyPr wrap="none" lIns="0" tIns="0" rIns="0" bIns="0">
                        <a:noAutoFit/>
                      </wps:bodyPr>
                    </wps:wsp>
                  </a:graphicData>
                </a:graphic>
              </wp:anchor>
            </w:drawing>
          </mc:Choice>
          <mc:Fallback>
            <w:pict>
              <v:shape id="_x0000_s1233" type="#_x0000_t202" style="position:absolute;margin-left:415.44999999999999pt;margin-top:1.pt;width:61.899999999999999pt;height:11.5pt;z-index:-125829286;mso-wrap-distance-left:9.pt;mso-wrap-distance-right:9.pt;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val="0"/>
                          <w:bCs w:val="0"/>
                          <w:color w:val="000000"/>
                          <w:spacing w:val="0"/>
                          <w:w w:val="100"/>
                          <w:position w:val="0"/>
                          <w:sz w:val="16"/>
                          <w:szCs w:val="16"/>
                          <w:shd w:val="clear" w:color="auto" w:fill="auto"/>
                          <w:lang w:val="pt-BR" w:eastAsia="pt-BR" w:bidi="pt-BR"/>
                        </w:rPr>
                        <w:t xml:space="preserve">Prefeita </w:t>
                      </w:r>
                      <w:r>
                        <w:rPr>
                          <w:rFonts w:ascii="Times New Roman" w:eastAsia="Times New Roman" w:hAnsi="Times New Roman" w:cs="Times New Roman"/>
                          <w:b w:val="0"/>
                          <w:bCs w:val="0"/>
                          <w:color w:val="000000"/>
                          <w:spacing w:val="0"/>
                          <w:w w:val="100"/>
                          <w:position w:val="0"/>
                          <w:sz w:val="16"/>
                          <w:szCs w:val="16"/>
                          <w:shd w:val="clear" w:color="auto" w:fill="auto"/>
                          <w:lang w:val="pt-PT" w:eastAsia="pt-PT" w:bidi="pt-PT"/>
                        </w:rPr>
                        <w:t>Municipal</w:t>
                      </w:r>
                    </w:p>
                  </w:txbxContent>
                </v:textbox>
                <w10:wrap type="square" side="right" anchorx="page"/>
              </v:shape>
            </w:pict>
          </mc:Fallback>
        </mc:AlternateContent>
      </w:r>
      <w:r>
        <w:rPr>
          <w:rFonts w:ascii="Times New Roman" w:eastAsia="Times New Roman" w:hAnsi="Times New Roman" w:cs="Times New Roman"/>
          <w:b w:val="0"/>
          <w:bCs w:val="0"/>
          <w:color w:val="000000"/>
          <w:spacing w:val="0"/>
          <w:w w:val="100"/>
          <w:position w:val="0"/>
          <w:sz w:val="16"/>
          <w:szCs w:val="16"/>
          <w:shd w:val="clear" w:color="auto" w:fill="auto"/>
          <w:lang w:val="pt-PT" w:eastAsia="pt-PT" w:bidi="pt-PT"/>
        </w:rPr>
        <w:t>Contador CRC n° 012541/0-0</w:t>
      </w:r>
    </w:p>
    <w:p>
      <w:pPr>
        <w:pStyle w:val="Style33"/>
        <w:keepNext w:val="0"/>
        <w:keepLines w:val="0"/>
        <w:widowControl w:val="0"/>
        <w:shd w:val="clear" w:color="auto" w:fill="auto"/>
        <w:bidi w:val="0"/>
        <w:spacing w:before="0" w:after="0" w:line="233" w:lineRule="auto"/>
        <w:ind w:left="2362" w:right="0" w:firstLine="0"/>
        <w:jc w:val="left"/>
        <w:rPr>
          <w:sz w:val="18"/>
          <w:szCs w:val="18"/>
        </w:rPr>
      </w:pPr>
      <w:r>
        <w:rPr>
          <w:color w:val="000000"/>
          <w:spacing w:val="0"/>
          <w:w w:val="100"/>
          <w:position w:val="0"/>
          <w:sz w:val="18"/>
          <w:szCs w:val="18"/>
          <w:shd w:val="clear" w:color="auto" w:fill="auto"/>
          <w:lang w:val="pt-PT" w:eastAsia="pt-PT" w:bidi="pt-PT"/>
        </w:rPr>
        <w:t>Art. 4°, §2°, inciso II da LRF</w:t>
      </w:r>
    </w:p>
    <w:p>
      <w:pPr>
        <w:pStyle w:val="Style33"/>
        <w:keepNext w:val="0"/>
        <w:keepLines w:val="0"/>
        <w:widowControl w:val="0"/>
        <w:shd w:val="clear" w:color="auto" w:fill="auto"/>
        <w:bidi w:val="0"/>
        <w:spacing w:before="0" w:after="0" w:line="240" w:lineRule="auto"/>
        <w:ind w:left="14131" w:right="0" w:firstLine="0"/>
        <w:jc w:val="left"/>
      </w:pPr>
      <w:r>
        <w:rPr>
          <w:color w:val="000000"/>
          <w:spacing w:val="0"/>
          <w:w w:val="100"/>
          <w:position w:val="0"/>
          <w:shd w:val="clear" w:color="auto" w:fill="auto"/>
          <w:lang w:val="pt-PT" w:eastAsia="pt-PT" w:bidi="pt-PT"/>
        </w:rPr>
        <w:t>(R$)</w:t>
      </w:r>
    </w:p>
    <w:tbl>
      <w:tblPr>
        <w:tblOverlap w:val="never"/>
        <w:jc w:val="center"/>
        <w:tblLayout w:type="fixed"/>
      </w:tblPr>
      <w:tblGrid>
        <w:gridCol w:w="3629"/>
        <w:gridCol w:w="1546"/>
        <w:gridCol w:w="1560"/>
        <w:gridCol w:w="1560"/>
        <w:gridCol w:w="1560"/>
        <w:gridCol w:w="1560"/>
        <w:gridCol w:w="1560"/>
        <w:gridCol w:w="1526"/>
      </w:tblGrid>
      <w:tr>
        <w:trPr>
          <w:trHeight w:val="283"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2022</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2025</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2027</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2028</w:t>
            </w:r>
          </w:p>
        </w:tc>
      </w:tr>
      <w:tr>
        <w:trPr>
          <w:trHeight w:val="235"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DÍVIDA CONSOLIDADA ( I )</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8.659.936,80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17.458.712,90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16.433.648,84</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16.433.648,84</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17.173.163,04</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17.860.089,56</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18.538.772,96</w:t>
            </w:r>
          </w:p>
        </w:tc>
      </w:tr>
      <w:tr>
        <w:trPr>
          <w:trHeight w:val="226"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00" w:right="0" w:firstLine="0"/>
              <w:jc w:val="left"/>
            </w:pPr>
            <w:r>
              <w:rPr>
                <w:rFonts w:ascii="Arial" w:eastAsia="Arial" w:hAnsi="Arial" w:cs="Arial"/>
                <w:color w:val="000000"/>
                <w:spacing w:val="0"/>
                <w:w w:val="100"/>
                <w:position w:val="0"/>
                <w:shd w:val="clear" w:color="auto" w:fill="auto"/>
                <w:lang w:val="pt-PT" w:eastAsia="pt-PT" w:bidi="pt-PT"/>
              </w:rPr>
              <w:t>Dívida Mobiliária</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226"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00" w:right="0" w:firstLine="0"/>
              <w:jc w:val="left"/>
            </w:pPr>
            <w:r>
              <w:rPr>
                <w:rFonts w:ascii="Arial" w:eastAsia="Arial" w:hAnsi="Arial" w:cs="Arial"/>
                <w:color w:val="000000"/>
                <w:spacing w:val="0"/>
                <w:w w:val="100"/>
                <w:position w:val="0"/>
                <w:shd w:val="clear" w:color="auto" w:fill="auto"/>
                <w:lang w:val="pt-PT" w:eastAsia="pt-PT" w:bidi="pt-PT"/>
              </w:rPr>
              <w:t>Outras Dívidas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8.659.936,80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17.458.712,90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16.433.648,84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16.433.648,84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17.173.163,04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17.860.089,56</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18.538.772,96</w:t>
            </w:r>
          </w:p>
        </w:tc>
      </w:tr>
      <w:tr>
        <w:trPr>
          <w:trHeight w:val="230"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DEDUÇÕES ( II )</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62.161.722,58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97.029.736,68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94.836.728,51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94.836.728,51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99.104.381,29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103.068.556,55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106.985.161,69</w:t>
            </w:r>
          </w:p>
        </w:tc>
      </w:tr>
      <w:tr>
        <w:trPr>
          <w:trHeight w:val="226"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00" w:right="0" w:firstLine="0"/>
              <w:jc w:val="left"/>
            </w:pPr>
            <w:r>
              <w:rPr>
                <w:rFonts w:ascii="Arial" w:eastAsia="Arial" w:hAnsi="Arial" w:cs="Arial"/>
                <w:color w:val="000000"/>
                <w:spacing w:val="0"/>
                <w:w w:val="100"/>
                <w:position w:val="0"/>
                <w:shd w:val="clear" w:color="auto" w:fill="auto"/>
                <w:lang w:val="pt-PT" w:eastAsia="pt-PT" w:bidi="pt-PT"/>
              </w:rPr>
              <w:t>Ativo Disponível</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20.949.105,39</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40.619.828,27</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11.520.107,64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11.520.107,64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12.038.512,48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12.520.052,98</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12.995.814,99</w:t>
            </w:r>
          </w:p>
        </w:tc>
      </w:tr>
      <w:tr>
        <w:trPr>
          <w:trHeight w:val="226"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00" w:right="0" w:firstLine="0"/>
              <w:jc w:val="left"/>
            </w:pPr>
            <w:r>
              <w:rPr>
                <w:rFonts w:ascii="Arial" w:eastAsia="Arial" w:hAnsi="Arial" w:cs="Arial"/>
                <w:color w:val="000000"/>
                <w:spacing w:val="0"/>
                <w:w w:val="100"/>
                <w:position w:val="0"/>
                <w:shd w:val="clear" w:color="auto" w:fill="auto"/>
                <w:lang w:val="pt-PT" w:eastAsia="pt-PT" w:bidi="pt-PT"/>
              </w:rPr>
              <w:t>Haveres Financeiros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43.859.148,51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56.456.816,04</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83.385.731,98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83.385.731,98</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87.138.089,92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90.623.613,52</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94.067.310,83</w:t>
            </w:r>
          </w:p>
        </w:tc>
      </w:tr>
      <w:tr>
        <w:trPr>
          <w:trHeight w:val="226" w:hRule="exact"/>
        </w:trPr>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200" w:right="0" w:firstLine="0"/>
              <w:jc w:val="left"/>
            </w:pPr>
            <w:r>
              <w:rPr>
                <w:rFonts w:ascii="Arial" w:eastAsia="Arial" w:hAnsi="Arial" w:cs="Arial"/>
                <w:color w:val="000000"/>
                <w:spacing w:val="0"/>
                <w:w w:val="100"/>
                <w:position w:val="0"/>
                <w:shd w:val="clear" w:color="auto" w:fill="auto"/>
                <w:lang w:val="pt-PT" w:eastAsia="pt-PT" w:bidi="pt-PT"/>
              </w:rPr>
              <w:t>( -) Restos a Pagar</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2.646.531,32</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46.907,63</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69.111,11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69.111,11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72.221,11</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75.109,95</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77.964,13</w:t>
            </w:r>
          </w:p>
        </w:tc>
      </w:tr>
      <w:tr>
        <w:trPr>
          <w:trHeight w:val="250"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00" w:right="0" w:firstLine="0"/>
              <w:jc w:val="left"/>
            </w:pPr>
            <w:r>
              <w:rPr>
                <w:rFonts w:ascii="Arial" w:eastAsia="Arial" w:hAnsi="Arial" w:cs="Arial"/>
                <w:color w:val="000000"/>
                <w:spacing w:val="0"/>
                <w:w w:val="100"/>
                <w:position w:val="0"/>
                <w:shd w:val="clear" w:color="auto" w:fill="auto"/>
                <w:lang w:val="pt-PT" w:eastAsia="pt-PT" w:bidi="pt-PT"/>
              </w:rPr>
              <w:t>( -) Depósitos Restituíveis e Valores</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PT" w:eastAsia="pt-PT" w:bidi="pt-PT"/>
              </w:rPr>
              <w:t>0,00</w:t>
            </w:r>
          </w:p>
        </w:tc>
      </w:tr>
      <w:tr>
        <w:trPr>
          <w:trHeight w:val="120" w:hRule="exact"/>
        </w:trPr>
        <w:tc>
          <w:tcPr>
            <w:gridSpan w:val="8"/>
            <w:tcBorders>
              <w:top w:val="single" w:sz="4"/>
            </w:tcBorders>
            <w:shd w:val="clear" w:color="auto" w:fill="FFFFFF"/>
            <w:vAlign w:val="top"/>
          </w:tcPr>
          <w:p>
            <w:pPr>
              <w:widowControl w:val="0"/>
              <w:rPr>
                <w:sz w:val="10"/>
                <w:szCs w:val="10"/>
              </w:rPr>
            </w:pPr>
          </w:p>
        </w:tc>
      </w:tr>
      <w:tr>
        <w:trPr>
          <w:trHeight w:val="288" w:hRule="exact"/>
        </w:trPr>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60" w:firstLine="0"/>
              <w:jc w:val="center"/>
              <w:rPr>
                <w:sz w:val="20"/>
                <w:szCs w:val="20"/>
              </w:rPr>
            </w:pPr>
            <w:r>
              <w:rPr>
                <w:rFonts w:ascii="Arial" w:eastAsia="Arial" w:hAnsi="Arial" w:cs="Arial"/>
                <w:b/>
                <w:bCs/>
                <w:color w:val="000000"/>
                <w:spacing w:val="0"/>
                <w:w w:val="100"/>
                <w:position w:val="0"/>
                <w:sz w:val="20"/>
                <w:szCs w:val="20"/>
                <w:shd w:val="clear" w:color="auto" w:fill="auto"/>
                <w:lang w:val="pt-PT" w:eastAsia="pt-PT" w:bidi="pt-PT"/>
              </w:rPr>
              <w:t>Dívida Consolidada Líquida</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-53.501.785,78</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-79.571.023,78</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-78.403.079,67</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-78.403.079,67</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-81.931.218,25</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-85.208.466,99</w:t>
            </w:r>
          </w:p>
        </w:tc>
        <w:tc>
          <w:tcPr>
            <w:tcBorders>
              <w:top w:val="single" w:sz="4"/>
              <w:left w:val="single" w:sz="4"/>
              <w:bottom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PT" w:eastAsia="pt-PT" w:bidi="pt-PT"/>
              </w:rPr>
              <w:t>-88.446.388,73</w:t>
            </w:r>
          </w:p>
        </w:tc>
      </w:tr>
    </w:tbl>
    <w:p>
      <w:pPr>
        <w:widowControl w:val="0"/>
        <w:spacing w:after="959" w:line="1" w:lineRule="exact"/>
      </w:pPr>
    </w:p>
    <w:p>
      <w:pPr>
        <w:pStyle w:val="Style29"/>
        <w:keepNext w:val="0"/>
        <w:keepLines w:val="0"/>
        <w:widowControl w:val="0"/>
        <w:shd w:val="clear" w:color="auto" w:fill="auto"/>
        <w:bidi w:val="0"/>
        <w:spacing w:before="0" w:after="0" w:line="240" w:lineRule="auto"/>
        <w:ind w:left="960" w:right="0" w:firstLine="0"/>
        <w:jc w:val="left"/>
      </w:pPr>
      <w:r>
        <mc:AlternateContent>
          <mc:Choice Requires="wps">
            <w:drawing>
              <wp:anchor distT="0" distB="0" distL="114300" distR="114300" simplePos="0" relativeHeight="125829469" behindDoc="0" locked="0" layoutInCell="1" allowOverlap="1">
                <wp:simplePos x="0" y="0"/>
                <wp:positionH relativeFrom="page">
                  <wp:posOffset>4404360</wp:posOffset>
                </wp:positionH>
                <wp:positionV relativeFrom="paragraph">
                  <wp:posOffset>12700</wp:posOffset>
                </wp:positionV>
                <wp:extent cx="1374775" cy="280670"/>
                <wp:wrapSquare wrapText="left"/>
                <wp:docPr id="209" name="Shape 209"/>
                <a:graphic xmlns:a="http://schemas.openxmlformats.org/drawingml/2006/main">
                  <a:graphicData uri="http://schemas.microsoft.com/office/word/2010/wordprocessingShape">
                    <wps:wsp>
                      <wps:cNvSpPr txBox="1"/>
                      <wps:spPr>
                        <a:xfrm>
                          <a:ext cx="1374775" cy="28067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Dilson Marcos Kovalski</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wps:txbx>
                      <wps:bodyPr lIns="0" tIns="0" rIns="0" bIns="0">
                        <a:noAutoFit/>
                      </wps:bodyPr>
                    </wps:wsp>
                  </a:graphicData>
                </a:graphic>
              </wp:anchor>
            </w:drawing>
          </mc:Choice>
          <mc:Fallback>
            <w:pict>
              <v:shape id="_x0000_s1235" type="#_x0000_t202" style="position:absolute;margin-left:346.80000000000001pt;margin-top:1.pt;width:108.25pt;height:22.100000000000001pt;z-index:-125829284;mso-wrap-distance-left:9.pt;mso-wrap-distance-right:9.pt;mso-position-horizontal-relative:page" filled="f" stroked="f">
                <v:textbox inset="0,0,0,0">
                  <w:txbxContent>
                    <w:p>
                      <w:pPr>
                        <w:pStyle w:val="Style2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Dilson Marcos Kovalski</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Contador CRC n° 012541/O-0</w:t>
                      </w:r>
                    </w:p>
                  </w:txbxContent>
                </v:textbox>
                <w10:wrap type="square" side="left" anchorx="page"/>
              </v:shape>
            </w:pict>
          </mc:Fallback>
        </mc:AlternateContent>
      </w:r>
      <w:r>
        <w:rPr>
          <w:b/>
          <w:bCs/>
          <w:color w:val="000000"/>
          <w:spacing w:val="0"/>
          <w:w w:val="100"/>
          <w:position w:val="0"/>
          <w:shd w:val="clear" w:color="auto" w:fill="auto"/>
          <w:lang w:val="pt-PT" w:eastAsia="pt-PT" w:bidi="pt-PT"/>
        </w:rPr>
        <w:t>Macelly Cristina de Souza Veras</w:t>
      </w:r>
    </w:p>
    <w:p>
      <w:pPr>
        <w:pStyle w:val="Style16"/>
        <w:keepNext w:val="0"/>
        <w:keepLines w:val="0"/>
        <w:widowControl w:val="0"/>
        <w:shd w:val="clear" w:color="auto" w:fill="auto"/>
        <w:bidi w:val="0"/>
        <w:spacing w:before="0" w:after="0" w:line="240" w:lineRule="auto"/>
        <w:ind w:left="1720" w:right="0" w:firstLine="0"/>
        <w:jc w:val="left"/>
      </w:pPr>
      <w:r>
        <w:rPr>
          <w:color w:val="000000"/>
          <w:spacing w:val="0"/>
          <w:w w:val="100"/>
          <w:position w:val="0"/>
          <w:shd w:val="clear" w:color="auto" w:fill="auto"/>
          <w:lang w:val="pt-PT" w:eastAsia="pt-PT" w:bidi="pt-PT"/>
        </w:rPr>
        <w:t>Prefeito Municipal</w:t>
      </w:r>
    </w:p>
    <w:sectPr>
      <w:headerReference w:type="default" r:id="rId101"/>
      <w:footerReference w:type="default" r:id="rId102"/>
      <w:footnotePr>
        <w:pos w:val="pageBottom"/>
        <w:numFmt w:val="decimal"/>
        <w:numRestart w:val="continuous"/>
      </w:footnotePr>
      <w:pgSz w:w="16840" w:h="11900" w:orient="landscape"/>
      <w:pgMar w:top="1857" w:left="768" w:right="1494" w:bottom="775" w:header="0" w:footer="347"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1297305</wp:posOffset>
              </wp:positionH>
              <wp:positionV relativeFrom="page">
                <wp:posOffset>10180955</wp:posOffset>
              </wp:positionV>
              <wp:extent cx="4998720" cy="103505"/>
              <wp:wrapNone/>
              <wp:docPr id="4" name="Shape 4"/>
              <a:graphic xmlns:a="http://schemas.openxmlformats.org/drawingml/2006/main">
                <a:graphicData uri="http://schemas.microsoft.com/office/word/2010/wordprocessingShape">
                  <wps:wsp>
                    <wps:cNvSpPr txBox="1"/>
                    <wps:spPr>
                      <a:xfrm>
                        <a:ext cx="4998720" cy="10350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 xml:space="preserve">Rua Quintino Bocaiuva, 248 - Centro | </w:t>
                          </w:r>
                          <w:r>
                            <w:rPr>
                              <w:rFonts w:ascii="Arial" w:eastAsia="Arial" w:hAnsi="Arial" w:cs="Arial"/>
                              <w:color w:val="000000"/>
                              <w:spacing w:val="0"/>
                              <w:w w:val="100"/>
                              <w:position w:val="0"/>
                              <w:sz w:val="16"/>
                              <w:szCs w:val="16"/>
                              <w:shd w:val="clear" w:color="auto" w:fill="auto"/>
                              <w:lang w:val="pt-BR" w:eastAsia="pt-BR" w:bidi="pt-BR"/>
                            </w:rPr>
                            <w:t xml:space="preserve">CEP: </w:t>
                          </w:r>
                          <w:r>
                            <w:rPr>
                              <w:rFonts w:ascii="Arial" w:eastAsia="Arial" w:hAnsi="Arial" w:cs="Arial"/>
                              <w:color w:val="000000"/>
                              <w:spacing w:val="0"/>
                              <w:w w:val="100"/>
                              <w:position w:val="0"/>
                              <w:sz w:val="16"/>
                              <w:szCs w:val="16"/>
                              <w:shd w:val="clear" w:color="auto" w:fill="auto"/>
                              <w:lang w:val="pt-PT" w:eastAsia="pt-PT" w:bidi="pt-PT"/>
                            </w:rPr>
                            <w:t xml:space="preserve">69.190-000 - Maués - Amazonas - e-Mail: </w:t>
                          </w:r>
                          <w:r>
                            <w:rPr>
                              <w:rFonts w:ascii="Arial" w:eastAsia="Arial" w:hAnsi="Arial" w:cs="Arial"/>
                              <w:color w:val="000000"/>
                              <w:spacing w:val="0"/>
                              <w:w w:val="100"/>
                              <w:position w:val="0"/>
                              <w:sz w:val="16"/>
                              <w:szCs w:val="16"/>
                              <w:shd w:val="clear" w:color="auto" w:fill="auto"/>
                              <w:lang w:val="en-US" w:eastAsia="en-US" w:bidi="en-US"/>
                            </w:rPr>
                            <w:t>seplan.maues.am@gmall.com</w:t>
                          </w:r>
                        </w:p>
                      </w:txbxContent>
                    </wps:txbx>
                    <wps:bodyPr wrap="none" lIns="0" tIns="0" rIns="0" bIns="0">
                      <a:spAutoFit/>
                    </wps:bodyPr>
                  </wps:wsp>
                </a:graphicData>
              </a:graphic>
            </wp:anchor>
          </w:drawing>
        </mc:Choice>
        <mc:Fallback>
          <w:pict>
            <v:shape id="_x0000_s1030" type="#_x0000_t202" style="position:absolute;margin-left:102.15000000000001pt;margin-top:801.64999999999998pt;width:393.60000000000002pt;height:8.15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 xml:space="preserve">Rua Quintino Bocaiuva, 248 - Centro | </w:t>
                    </w:r>
                    <w:r>
                      <w:rPr>
                        <w:rFonts w:ascii="Arial" w:eastAsia="Arial" w:hAnsi="Arial" w:cs="Arial"/>
                        <w:color w:val="000000"/>
                        <w:spacing w:val="0"/>
                        <w:w w:val="100"/>
                        <w:position w:val="0"/>
                        <w:sz w:val="16"/>
                        <w:szCs w:val="16"/>
                        <w:shd w:val="clear" w:color="auto" w:fill="auto"/>
                        <w:lang w:val="pt-BR" w:eastAsia="pt-BR" w:bidi="pt-BR"/>
                      </w:rPr>
                      <w:t xml:space="preserve">CEP: </w:t>
                    </w:r>
                    <w:r>
                      <w:rPr>
                        <w:rFonts w:ascii="Arial" w:eastAsia="Arial" w:hAnsi="Arial" w:cs="Arial"/>
                        <w:color w:val="000000"/>
                        <w:spacing w:val="0"/>
                        <w:w w:val="100"/>
                        <w:position w:val="0"/>
                        <w:sz w:val="16"/>
                        <w:szCs w:val="16"/>
                        <w:shd w:val="clear" w:color="auto" w:fill="auto"/>
                        <w:lang w:val="pt-PT" w:eastAsia="pt-PT" w:bidi="pt-PT"/>
                      </w:rPr>
                      <w:t xml:space="preserve">69.190-000 - Maués - Amazonas - e-Mail: </w:t>
                    </w:r>
                    <w:r>
                      <w:rPr>
                        <w:rFonts w:ascii="Arial" w:eastAsia="Arial" w:hAnsi="Arial" w:cs="Arial"/>
                        <w:color w:val="000000"/>
                        <w:spacing w:val="0"/>
                        <w:w w:val="100"/>
                        <w:position w:val="0"/>
                        <w:sz w:val="16"/>
                        <w:szCs w:val="16"/>
                        <w:shd w:val="clear" w:color="auto" w:fill="auto"/>
                        <w:lang w:val="en-US" w:eastAsia="en-US" w:bidi="en-US"/>
                      </w:rPr>
                      <w:t>seplan.maues.am@gmall.com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833755</wp:posOffset>
              </wp:positionH>
              <wp:positionV relativeFrom="page">
                <wp:posOffset>10132060</wp:posOffset>
              </wp:positionV>
              <wp:extent cx="3846830" cy="0"/>
              <wp:wrapNone/>
              <wp:docPr id="6" name="Shape 6"/>
              <a:graphic xmlns:a="http://schemas.openxmlformats.org/drawingml/2006/main">
                <a:graphicData uri="http://schemas.microsoft.com/office/word/2010/wordprocessingShape">
                  <wps:wsp>
                    <wps:cNvCnPr/>
                    <wps:spPr>
                      <a:xfrm>
                        <a:ext cx="3846830" cy="0"/>
                      </a:xfrm>
                      <a:prstGeom prst="straightConnector1"/>
                      <a:ln w="12700">
                        <a:solidFill/>
                      </a:ln>
                    </wps:spPr>
                    <wps:bodyPr/>
                  </wps:wsp>
                </a:graphicData>
              </a:graphic>
            </wp:anchor>
          </w:drawing>
        </mc:Choice>
        <mc:Fallback>
          <w:pict>
            <v:shape o:spt="32" o:oned="true" path="m,l21600,21600e" style="position:absolute;margin-left:65.650000000000006pt;margin-top:797.79999999999995pt;width:302.89999999999998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1307465</wp:posOffset>
              </wp:positionH>
              <wp:positionV relativeFrom="page">
                <wp:posOffset>10193020</wp:posOffset>
              </wp:positionV>
              <wp:extent cx="5005070" cy="97790"/>
              <wp:wrapNone/>
              <wp:docPr id="25" name="Shape 25"/>
              <a:graphic xmlns:a="http://schemas.openxmlformats.org/drawingml/2006/main">
                <a:graphicData uri="http://schemas.microsoft.com/office/word/2010/wordprocessingShape">
                  <wps:wsp>
                    <wps:cNvSpPr txBox="1"/>
                    <wps:spPr>
                      <a:xfrm>
                        <a:ext cx="5005070" cy="9779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 xml:space="preserve">Rua Quintino Bocaiuva, 248 - Centro | </w:t>
                          </w:r>
                          <w:r>
                            <w:rPr>
                              <w:rFonts w:ascii="Arial" w:eastAsia="Arial" w:hAnsi="Arial" w:cs="Arial"/>
                              <w:color w:val="000000"/>
                              <w:spacing w:val="0"/>
                              <w:w w:val="100"/>
                              <w:position w:val="0"/>
                              <w:sz w:val="16"/>
                              <w:szCs w:val="16"/>
                              <w:shd w:val="clear" w:color="auto" w:fill="auto"/>
                              <w:lang w:val="pt-BR" w:eastAsia="pt-BR" w:bidi="pt-BR"/>
                            </w:rPr>
                            <w:t xml:space="preserve">CEP: </w:t>
                          </w:r>
                          <w:r>
                            <w:rPr>
                              <w:rFonts w:ascii="Arial" w:eastAsia="Arial" w:hAnsi="Arial" w:cs="Arial"/>
                              <w:color w:val="000000"/>
                              <w:spacing w:val="0"/>
                              <w:w w:val="100"/>
                              <w:position w:val="0"/>
                              <w:sz w:val="16"/>
                              <w:szCs w:val="16"/>
                              <w:shd w:val="clear" w:color="auto" w:fill="auto"/>
                              <w:lang w:val="pt-PT" w:eastAsia="pt-PT" w:bidi="pt-PT"/>
                            </w:rPr>
                            <w:t xml:space="preserve">69.190-000 - Maués - Amazonas - e-Mail: </w:t>
                          </w:r>
                          <w:r>
                            <w:rPr>
                              <w:rFonts w:ascii="Arial" w:eastAsia="Arial" w:hAnsi="Arial" w:cs="Arial"/>
                              <w:color w:val="000000"/>
                              <w:spacing w:val="0"/>
                              <w:w w:val="100"/>
                              <w:position w:val="0"/>
                              <w:sz w:val="16"/>
                              <w:szCs w:val="16"/>
                              <w:shd w:val="clear" w:color="auto" w:fill="auto"/>
                              <w:lang w:val="en-US" w:eastAsia="en-US" w:bidi="en-US"/>
                            </w:rPr>
                            <w:t>seplan.maues.am@gmail.com</w:t>
                          </w:r>
                        </w:p>
                      </w:txbxContent>
                    </wps:txbx>
                    <wps:bodyPr wrap="none" lIns="0" tIns="0" rIns="0" bIns="0">
                      <a:spAutoFit/>
                    </wps:bodyPr>
                  </wps:wsp>
                </a:graphicData>
              </a:graphic>
            </wp:anchor>
          </w:drawing>
        </mc:Choice>
        <mc:Fallback>
          <w:pict>
            <v:shape id="_x0000_s1051" type="#_x0000_t202" style="position:absolute;margin-left:102.95pt;margin-top:802.60000000000002pt;width:394.10000000000002pt;height:7.7000000000000002pt;z-index:-188744054;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 xml:space="preserve">Rua Quintino Bocaiuva, 248 - Centro | </w:t>
                    </w:r>
                    <w:r>
                      <w:rPr>
                        <w:rFonts w:ascii="Arial" w:eastAsia="Arial" w:hAnsi="Arial" w:cs="Arial"/>
                        <w:color w:val="000000"/>
                        <w:spacing w:val="0"/>
                        <w:w w:val="100"/>
                        <w:position w:val="0"/>
                        <w:sz w:val="16"/>
                        <w:szCs w:val="16"/>
                        <w:shd w:val="clear" w:color="auto" w:fill="auto"/>
                        <w:lang w:val="pt-BR" w:eastAsia="pt-BR" w:bidi="pt-BR"/>
                      </w:rPr>
                      <w:t xml:space="preserve">CEP: </w:t>
                    </w:r>
                    <w:r>
                      <w:rPr>
                        <w:rFonts w:ascii="Arial" w:eastAsia="Arial" w:hAnsi="Arial" w:cs="Arial"/>
                        <w:color w:val="000000"/>
                        <w:spacing w:val="0"/>
                        <w:w w:val="100"/>
                        <w:position w:val="0"/>
                        <w:sz w:val="16"/>
                        <w:szCs w:val="16"/>
                        <w:shd w:val="clear" w:color="auto" w:fill="auto"/>
                        <w:lang w:val="pt-PT" w:eastAsia="pt-PT" w:bidi="pt-PT"/>
                      </w:rPr>
                      <w:t xml:space="preserve">69.190-000 - Maués - Amazonas - e-Mail: </w:t>
                    </w:r>
                    <w:r>
                      <w:rPr>
                        <w:rFonts w:ascii="Arial" w:eastAsia="Arial" w:hAnsi="Arial" w:cs="Arial"/>
                        <w:color w:val="000000"/>
                        <w:spacing w:val="0"/>
                        <w:w w:val="100"/>
                        <w:position w:val="0"/>
                        <w:sz w:val="16"/>
                        <w:szCs w:val="16"/>
                        <w:shd w:val="clear" w:color="auto" w:fill="auto"/>
                        <w:lang w:val="en-US" w:eastAsia="en-US" w:bidi="en-US"/>
                      </w:rPr>
                      <w:t>seplan.maues.am@gmail.com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844550</wp:posOffset>
              </wp:positionH>
              <wp:positionV relativeFrom="page">
                <wp:posOffset>10140950</wp:posOffset>
              </wp:positionV>
              <wp:extent cx="3846830" cy="0"/>
              <wp:wrapNone/>
              <wp:docPr id="27" name="Shape 27"/>
              <a:graphic xmlns:a="http://schemas.openxmlformats.org/drawingml/2006/main">
                <a:graphicData uri="http://schemas.microsoft.com/office/word/2010/wordprocessingShape">
                  <wps:wsp>
                    <wps:cNvCnPr/>
                    <wps:spPr>
                      <a:xfrm>
                        <a:ext cx="3846830" cy="0"/>
                      </a:xfrm>
                      <a:prstGeom prst="straightConnector1"/>
                      <a:ln w="12700">
                        <a:solidFill/>
                      </a:ln>
                    </wps:spPr>
                    <wps:bodyPr/>
                  </wps:wsp>
                </a:graphicData>
              </a:graphic>
            </wp:anchor>
          </w:drawing>
        </mc:Choice>
        <mc:Fallback>
          <w:pict>
            <v:shape o:spt="32" o:oned="true" path="m,l21600,21600e" style="position:absolute;margin-left:66.5pt;margin-top:798.5pt;width:302.89999999999998pt;height:0;z-index:-251658240;mso-position-horizontal-relative:page;mso-position-vertical-relative:page">
              <v:stroke weight="1.pt"/>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1313815</wp:posOffset>
              </wp:positionH>
              <wp:positionV relativeFrom="page">
                <wp:posOffset>10180955</wp:posOffset>
              </wp:positionV>
              <wp:extent cx="5005070" cy="97790"/>
              <wp:wrapNone/>
              <wp:docPr id="31" name="Shape 31"/>
              <a:graphic xmlns:a="http://schemas.openxmlformats.org/drawingml/2006/main">
                <a:graphicData uri="http://schemas.microsoft.com/office/word/2010/wordprocessingShape">
                  <wps:wsp>
                    <wps:cNvSpPr txBox="1"/>
                    <wps:spPr>
                      <a:xfrm>
                        <a:ext cx="5005070" cy="9779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 xml:space="preserve">Rua Quintino Bocaiúva, 248 - Centro | </w:t>
                          </w:r>
                          <w:r>
                            <w:rPr>
                              <w:rFonts w:ascii="Arial" w:eastAsia="Arial" w:hAnsi="Arial" w:cs="Arial"/>
                              <w:color w:val="000000"/>
                              <w:spacing w:val="0"/>
                              <w:w w:val="100"/>
                              <w:position w:val="0"/>
                              <w:sz w:val="16"/>
                              <w:szCs w:val="16"/>
                              <w:shd w:val="clear" w:color="auto" w:fill="auto"/>
                              <w:lang w:val="pt-BR" w:eastAsia="pt-BR" w:bidi="pt-BR"/>
                            </w:rPr>
                            <w:t xml:space="preserve">CEP: </w:t>
                          </w:r>
                          <w:r>
                            <w:rPr>
                              <w:rFonts w:ascii="Arial" w:eastAsia="Arial" w:hAnsi="Arial" w:cs="Arial"/>
                              <w:color w:val="000000"/>
                              <w:spacing w:val="0"/>
                              <w:w w:val="100"/>
                              <w:position w:val="0"/>
                              <w:sz w:val="16"/>
                              <w:szCs w:val="16"/>
                              <w:shd w:val="clear" w:color="auto" w:fill="auto"/>
                              <w:lang w:val="pt-PT" w:eastAsia="pt-PT" w:bidi="pt-PT"/>
                            </w:rPr>
                            <w:t>69.190-000 - Maués - Amazonas e-Mal): seplan.maues.am@gmai).com</w:t>
                          </w:r>
                        </w:p>
                      </w:txbxContent>
                    </wps:txbx>
                    <wps:bodyPr wrap="none" lIns="0" tIns="0" rIns="0" bIns="0">
                      <a:spAutoFit/>
                    </wps:bodyPr>
                  </wps:wsp>
                </a:graphicData>
              </a:graphic>
            </wp:anchor>
          </w:drawing>
        </mc:Choice>
        <mc:Fallback>
          <w:pict>
            <v:shape id="_x0000_s1057" type="#_x0000_t202" style="position:absolute;margin-left:103.45pt;margin-top:801.64999999999998pt;width:394.10000000000002pt;height:7.7000000000000002pt;z-index:-188744050;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 xml:space="preserve">Rua Quintino Bocaiúva, 248 - Centro | </w:t>
                    </w:r>
                    <w:r>
                      <w:rPr>
                        <w:rFonts w:ascii="Arial" w:eastAsia="Arial" w:hAnsi="Arial" w:cs="Arial"/>
                        <w:color w:val="000000"/>
                        <w:spacing w:val="0"/>
                        <w:w w:val="100"/>
                        <w:position w:val="0"/>
                        <w:sz w:val="16"/>
                        <w:szCs w:val="16"/>
                        <w:shd w:val="clear" w:color="auto" w:fill="auto"/>
                        <w:lang w:val="pt-BR" w:eastAsia="pt-BR" w:bidi="pt-BR"/>
                      </w:rPr>
                      <w:t xml:space="preserve">CEP: </w:t>
                    </w:r>
                    <w:r>
                      <w:rPr>
                        <w:rFonts w:ascii="Arial" w:eastAsia="Arial" w:hAnsi="Arial" w:cs="Arial"/>
                        <w:color w:val="000000"/>
                        <w:spacing w:val="0"/>
                        <w:w w:val="100"/>
                        <w:position w:val="0"/>
                        <w:sz w:val="16"/>
                        <w:szCs w:val="16"/>
                        <w:shd w:val="clear" w:color="auto" w:fill="auto"/>
                        <w:lang w:val="pt-PT" w:eastAsia="pt-PT" w:bidi="pt-PT"/>
                      </w:rPr>
                      <w:t>69.190-000 - Maués - Amazonas e-Mal): seplan.maues.am@gmai).com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850265</wp:posOffset>
              </wp:positionH>
              <wp:positionV relativeFrom="page">
                <wp:posOffset>10132060</wp:posOffset>
              </wp:positionV>
              <wp:extent cx="3846830" cy="0"/>
              <wp:wrapNone/>
              <wp:docPr id="33" name="Shape 33"/>
              <a:graphic xmlns:a="http://schemas.openxmlformats.org/drawingml/2006/main">
                <a:graphicData uri="http://schemas.microsoft.com/office/word/2010/wordprocessingShape">
                  <wps:wsp>
                    <wps:cNvCnPr/>
                    <wps:spPr>
                      <a:xfrm>
                        <a:ext cx="3846830" cy="0"/>
                      </a:xfrm>
                      <a:prstGeom prst="straightConnector1"/>
                      <a:ln w="12700">
                        <a:solidFill/>
                      </a:ln>
                    </wps:spPr>
                    <wps:bodyPr/>
                  </wps:wsp>
                </a:graphicData>
              </a:graphic>
            </wp:anchor>
          </w:drawing>
        </mc:Choice>
        <mc:Fallback>
          <w:pict>
            <v:shape o:spt="32" o:oned="true" path="m,l21600,21600e" style="position:absolute;margin-left:66.950000000000003pt;margin-top:797.79999999999995pt;width:302.89999999999998pt;height:0;z-index:-251658240;mso-position-horizontal-relative:page;mso-position-vertical-relative:page">
              <v:stroke weight="1.pt"/>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7" behindDoc="1" locked="0" layoutInCell="1" allowOverlap="1">
              <wp:simplePos x="0" y="0"/>
              <wp:positionH relativeFrom="page">
                <wp:posOffset>1337945</wp:posOffset>
              </wp:positionH>
              <wp:positionV relativeFrom="page">
                <wp:posOffset>10193020</wp:posOffset>
              </wp:positionV>
              <wp:extent cx="4998720" cy="103505"/>
              <wp:wrapNone/>
              <wp:docPr id="37" name="Shape 37"/>
              <a:graphic xmlns:a="http://schemas.openxmlformats.org/drawingml/2006/main">
                <a:graphicData uri="http://schemas.microsoft.com/office/word/2010/wordprocessingShape">
                  <wps:wsp>
                    <wps:cNvSpPr txBox="1"/>
                    <wps:spPr>
                      <a:xfrm>
                        <a:ext cx="4998720" cy="10350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 xml:space="preserve">Rua Quintino Bocaiúva, 248 - Centro I </w:t>
                          </w:r>
                          <w:r>
                            <w:rPr>
                              <w:rFonts w:ascii="Arial" w:eastAsia="Arial" w:hAnsi="Arial" w:cs="Arial"/>
                              <w:color w:val="000000"/>
                              <w:spacing w:val="0"/>
                              <w:w w:val="100"/>
                              <w:position w:val="0"/>
                              <w:sz w:val="16"/>
                              <w:szCs w:val="16"/>
                              <w:shd w:val="clear" w:color="auto" w:fill="auto"/>
                              <w:lang w:val="pt-BR" w:eastAsia="pt-BR" w:bidi="pt-BR"/>
                            </w:rPr>
                            <w:t xml:space="preserve">CEP: </w:t>
                          </w:r>
                          <w:r>
                            <w:rPr>
                              <w:rFonts w:ascii="Arial" w:eastAsia="Arial" w:hAnsi="Arial" w:cs="Arial"/>
                              <w:color w:val="000000"/>
                              <w:spacing w:val="0"/>
                              <w:w w:val="100"/>
                              <w:position w:val="0"/>
                              <w:sz w:val="16"/>
                              <w:szCs w:val="16"/>
                              <w:shd w:val="clear" w:color="auto" w:fill="auto"/>
                              <w:lang w:val="pt-PT" w:eastAsia="pt-PT" w:bidi="pt-PT"/>
                            </w:rPr>
                            <w:t xml:space="preserve">69.190-000 - Maués - Amazonas - e-Mail: </w:t>
                          </w:r>
                          <w:r>
                            <w:rPr>
                              <w:rFonts w:ascii="Arial" w:eastAsia="Arial" w:hAnsi="Arial" w:cs="Arial"/>
                              <w:color w:val="000000"/>
                              <w:spacing w:val="0"/>
                              <w:w w:val="100"/>
                              <w:position w:val="0"/>
                              <w:sz w:val="16"/>
                              <w:szCs w:val="16"/>
                              <w:shd w:val="clear" w:color="auto" w:fill="auto"/>
                              <w:lang w:val="en-US" w:eastAsia="en-US" w:bidi="en-US"/>
                            </w:rPr>
                            <w:t>seplan.maues.am@gmall.com</w:t>
                          </w:r>
                        </w:p>
                      </w:txbxContent>
                    </wps:txbx>
                    <wps:bodyPr wrap="none" lIns="0" tIns="0" rIns="0" bIns="0">
                      <a:spAutoFit/>
                    </wps:bodyPr>
                  </wps:wsp>
                </a:graphicData>
              </a:graphic>
            </wp:anchor>
          </w:drawing>
        </mc:Choice>
        <mc:Fallback>
          <w:pict>
            <v:shape id="_x0000_s1063" type="#_x0000_t202" style="position:absolute;margin-left:105.34999999999999pt;margin-top:802.60000000000002pt;width:393.60000000000002pt;height:8.1500000000000004pt;z-index:-188744046;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 xml:space="preserve">Rua Quintino Bocaiúva, 248 - Centro I </w:t>
                    </w:r>
                    <w:r>
                      <w:rPr>
                        <w:rFonts w:ascii="Arial" w:eastAsia="Arial" w:hAnsi="Arial" w:cs="Arial"/>
                        <w:color w:val="000000"/>
                        <w:spacing w:val="0"/>
                        <w:w w:val="100"/>
                        <w:position w:val="0"/>
                        <w:sz w:val="16"/>
                        <w:szCs w:val="16"/>
                        <w:shd w:val="clear" w:color="auto" w:fill="auto"/>
                        <w:lang w:val="pt-BR" w:eastAsia="pt-BR" w:bidi="pt-BR"/>
                      </w:rPr>
                      <w:t xml:space="preserve">CEP: </w:t>
                    </w:r>
                    <w:r>
                      <w:rPr>
                        <w:rFonts w:ascii="Arial" w:eastAsia="Arial" w:hAnsi="Arial" w:cs="Arial"/>
                        <w:color w:val="000000"/>
                        <w:spacing w:val="0"/>
                        <w:w w:val="100"/>
                        <w:position w:val="0"/>
                        <w:sz w:val="16"/>
                        <w:szCs w:val="16"/>
                        <w:shd w:val="clear" w:color="auto" w:fill="auto"/>
                        <w:lang w:val="pt-PT" w:eastAsia="pt-PT" w:bidi="pt-PT"/>
                      </w:rPr>
                      <w:t xml:space="preserve">69.190-000 - Maués - Amazonas - e-Mail: </w:t>
                    </w:r>
                    <w:r>
                      <w:rPr>
                        <w:rFonts w:ascii="Arial" w:eastAsia="Arial" w:hAnsi="Arial" w:cs="Arial"/>
                        <w:color w:val="000000"/>
                        <w:spacing w:val="0"/>
                        <w:w w:val="100"/>
                        <w:position w:val="0"/>
                        <w:sz w:val="16"/>
                        <w:szCs w:val="16"/>
                        <w:shd w:val="clear" w:color="auto" w:fill="auto"/>
                        <w:lang w:val="en-US" w:eastAsia="en-US" w:bidi="en-US"/>
                      </w:rPr>
                      <w:t>seplan.maues.am@gmall.com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868680</wp:posOffset>
              </wp:positionH>
              <wp:positionV relativeFrom="page">
                <wp:posOffset>10144125</wp:posOffset>
              </wp:positionV>
              <wp:extent cx="3846830" cy="0"/>
              <wp:wrapNone/>
              <wp:docPr id="39" name="Shape 39"/>
              <a:graphic xmlns:a="http://schemas.openxmlformats.org/drawingml/2006/main">
                <a:graphicData uri="http://schemas.microsoft.com/office/word/2010/wordprocessingShape">
                  <wps:wsp>
                    <wps:cNvCnPr/>
                    <wps:spPr>
                      <a:xfrm>
                        <a:ext cx="3846830" cy="0"/>
                      </a:xfrm>
                      <a:prstGeom prst="straightConnector1"/>
                      <a:ln w="12700">
                        <a:solidFill/>
                      </a:ln>
                    </wps:spPr>
                    <wps:bodyPr/>
                  </wps:wsp>
                </a:graphicData>
              </a:graphic>
            </wp:anchor>
          </w:drawing>
        </mc:Choice>
        <mc:Fallback>
          <w:pict>
            <v:shape o:spt="32" o:oned="true" path="m,l21600,21600e" style="position:absolute;margin-left:68.400000000000006pt;margin-top:798.75pt;width:302.89999999999998pt;height:0;z-index:-251658240;mso-position-horizontal-relative:page;mso-position-vertical-relative:page">
              <v:stroke weight="1.pt"/>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1" behindDoc="1" locked="0" layoutInCell="1" allowOverlap="1">
              <wp:simplePos x="0" y="0"/>
              <wp:positionH relativeFrom="page">
                <wp:posOffset>1304925</wp:posOffset>
              </wp:positionH>
              <wp:positionV relativeFrom="page">
                <wp:posOffset>10059035</wp:posOffset>
              </wp:positionV>
              <wp:extent cx="5467985" cy="237490"/>
              <wp:wrapNone/>
              <wp:docPr id="51" name="Shape 51"/>
              <a:graphic xmlns:a="http://schemas.openxmlformats.org/drawingml/2006/main">
                <a:graphicData uri="http://schemas.microsoft.com/office/word/2010/wordprocessingShape">
                  <wps:wsp>
                    <wps:cNvSpPr txBox="1"/>
                    <wps:spPr>
                      <a:xfrm>
                        <a:ext cx="5467985" cy="237490"/>
                      </a:xfrm>
                      <a:prstGeom prst="rect"/>
                      <a:noFill/>
                    </wps:spPr>
                    <wps:txbx>
                      <w:txbxContent>
                        <w:p>
                          <w:pPr>
                            <w:pStyle w:val="Style4"/>
                            <w:keepNext w:val="0"/>
                            <w:keepLines w:val="0"/>
                            <w:widowControl w:val="0"/>
                            <w:shd w:val="clear" w:color="auto" w:fill="auto"/>
                            <w:tabs>
                              <w:tab w:pos="8611" w:val="right"/>
                            </w:tabs>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 xml:space="preserve">Rua Quintino Bocaiuva. 248 - Centro | </w:t>
                          </w:r>
                          <w:r>
                            <w:rPr>
                              <w:rFonts w:ascii="Arial" w:eastAsia="Arial" w:hAnsi="Arial" w:cs="Arial"/>
                              <w:color w:val="000000"/>
                              <w:spacing w:val="0"/>
                              <w:w w:val="100"/>
                              <w:position w:val="0"/>
                              <w:sz w:val="16"/>
                              <w:szCs w:val="16"/>
                              <w:shd w:val="clear" w:color="auto" w:fill="auto"/>
                              <w:lang w:val="pt-BR" w:eastAsia="pt-BR" w:bidi="pt-BR"/>
                            </w:rPr>
                            <w:t xml:space="preserve">CEP: </w:t>
                          </w:r>
                          <w:r>
                            <w:rPr>
                              <w:rFonts w:ascii="Arial" w:eastAsia="Arial" w:hAnsi="Arial" w:cs="Arial"/>
                              <w:color w:val="000000"/>
                              <w:spacing w:val="0"/>
                              <w:w w:val="100"/>
                              <w:position w:val="0"/>
                              <w:sz w:val="16"/>
                              <w:szCs w:val="16"/>
                              <w:shd w:val="clear" w:color="auto" w:fill="auto"/>
                              <w:lang w:val="pt-PT" w:eastAsia="pt-PT" w:bidi="pt-PT"/>
                            </w:rPr>
                            <w:t xml:space="preserve">69.190-000 - Maués - Amazonas - e-Mail: </w:t>
                          </w:r>
                          <w:r>
                            <w:rPr>
                              <w:rFonts w:ascii="Arial" w:eastAsia="Arial" w:hAnsi="Arial" w:cs="Arial"/>
                              <w:color w:val="000000"/>
                              <w:spacing w:val="0"/>
                              <w:w w:val="100"/>
                              <w:position w:val="0"/>
                              <w:sz w:val="16"/>
                              <w:szCs w:val="16"/>
                              <w:shd w:val="clear" w:color="auto" w:fill="auto"/>
                              <w:lang w:val="en-US" w:eastAsia="en-US" w:bidi="en-US"/>
                            </w:rPr>
                            <w:t>seplan.maues.am@gmail.com</w:t>
                            <w:tab/>
                          </w:r>
                        </w:p>
                      </w:txbxContent>
                    </wps:txbx>
                    <wps:bodyPr lIns="0" tIns="0" rIns="0" bIns="0">
                      <a:spAutoFit/>
                    </wps:bodyPr>
                  </wps:wsp>
                </a:graphicData>
              </a:graphic>
            </wp:anchor>
          </w:drawing>
        </mc:Choice>
        <mc:Fallback>
          <w:pict>
            <v:shape id="_x0000_s1077" type="#_x0000_t202" style="position:absolute;margin-left:102.75pt;margin-top:792.04999999999995pt;width:430.55000000000001pt;height:18.699999999999999pt;z-index:-188744042;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8611" w:val="right"/>
                      </w:tabs>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 xml:space="preserve">Rua Quintino Bocaiuva. 248 - Centro | </w:t>
                    </w:r>
                    <w:r>
                      <w:rPr>
                        <w:rFonts w:ascii="Arial" w:eastAsia="Arial" w:hAnsi="Arial" w:cs="Arial"/>
                        <w:color w:val="000000"/>
                        <w:spacing w:val="0"/>
                        <w:w w:val="100"/>
                        <w:position w:val="0"/>
                        <w:sz w:val="16"/>
                        <w:szCs w:val="16"/>
                        <w:shd w:val="clear" w:color="auto" w:fill="auto"/>
                        <w:lang w:val="pt-BR" w:eastAsia="pt-BR" w:bidi="pt-BR"/>
                      </w:rPr>
                      <w:t xml:space="preserve">CEP: </w:t>
                    </w:r>
                    <w:r>
                      <w:rPr>
                        <w:rFonts w:ascii="Arial" w:eastAsia="Arial" w:hAnsi="Arial" w:cs="Arial"/>
                        <w:color w:val="000000"/>
                        <w:spacing w:val="0"/>
                        <w:w w:val="100"/>
                        <w:position w:val="0"/>
                        <w:sz w:val="16"/>
                        <w:szCs w:val="16"/>
                        <w:shd w:val="clear" w:color="auto" w:fill="auto"/>
                        <w:lang w:val="pt-PT" w:eastAsia="pt-PT" w:bidi="pt-PT"/>
                      </w:rPr>
                      <w:t xml:space="preserve">69.190-000 - Maués - Amazonas - e-Mail: </w:t>
                    </w:r>
                    <w:r>
                      <w:rPr>
                        <w:rFonts w:ascii="Arial" w:eastAsia="Arial" w:hAnsi="Arial" w:cs="Arial"/>
                        <w:color w:val="000000"/>
                        <w:spacing w:val="0"/>
                        <w:w w:val="100"/>
                        <w:position w:val="0"/>
                        <w:sz w:val="16"/>
                        <w:szCs w:val="16"/>
                        <w:shd w:val="clear" w:color="auto" w:fill="auto"/>
                        <w:lang w:val="en-US" w:eastAsia="en-US" w:bidi="en-US"/>
                      </w:rPr>
                      <w:t>seplan.maues.am@gmail.com</w:t>
                      <w:tab/>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3" behindDoc="1" locked="0" layoutInCell="1" allowOverlap="1">
              <wp:simplePos x="0" y="0"/>
              <wp:positionH relativeFrom="page">
                <wp:posOffset>163830</wp:posOffset>
              </wp:positionH>
              <wp:positionV relativeFrom="page">
                <wp:posOffset>10422890</wp:posOffset>
              </wp:positionV>
              <wp:extent cx="6937375" cy="91440"/>
              <wp:wrapNone/>
              <wp:docPr id="57" name="Shape 57"/>
              <a:graphic xmlns:a="http://schemas.openxmlformats.org/drawingml/2006/main">
                <a:graphicData uri="http://schemas.microsoft.com/office/word/2010/wordprocessingShape">
                  <wps:wsp>
                    <wps:cNvSpPr txBox="1"/>
                    <wps:spPr>
                      <a:xfrm>
                        <a:ext cx="6937375" cy="91440"/>
                      </a:xfrm>
                      <a:prstGeom prst="rect"/>
                      <a:noFill/>
                    </wps:spPr>
                    <wps:txbx>
                      <w:txbxContent>
                        <w:p>
                          <w:pPr>
                            <w:pStyle w:val="Style4"/>
                            <w:keepNext w:val="0"/>
                            <w:keepLines w:val="0"/>
                            <w:widowControl w:val="0"/>
                            <w:shd w:val="clear" w:color="auto" w:fill="auto"/>
                            <w:tabs>
                              <w:tab w:pos="10925" w:val="right"/>
                            </w:tabs>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en-US" w:eastAsia="en-US" w:bidi="en-US"/>
                            </w:rPr>
                            <w:t>https://www.diariomunicipal.com.br/aam/materia/57B96147/51c19584dfab6d3a55f7d72996d4ff6051c1</w:t>
                          </w:r>
                          <w:r>
                            <w:rPr>
                              <w:rFonts w:ascii="Arial" w:eastAsia="Arial" w:hAnsi="Arial" w:cs="Arial"/>
                              <w:color w:val="000000"/>
                              <w:spacing w:val="0"/>
                              <w:w w:val="100"/>
                              <w:position w:val="0"/>
                              <w:sz w:val="16"/>
                              <w:szCs w:val="16"/>
                              <w:shd w:val="clear" w:color="auto" w:fill="auto"/>
                              <w:lang w:val="pt-PT" w:eastAsia="pt-PT" w:bidi="pt-PT"/>
                            </w:rPr>
                            <w:t>9584dfab6d3a55f7d72996d4ff60</w:t>
                            <w:tab/>
                          </w:r>
                          <w:fldSimple w:instr=" PAGE \* MERGEFORMAT ">
                            <w:r>
                              <w:rPr>
                                <w:rFonts w:ascii="Arial" w:eastAsia="Arial" w:hAnsi="Arial" w:cs="Arial"/>
                                <w:color w:val="000000"/>
                                <w:spacing w:val="0"/>
                                <w:w w:val="100"/>
                                <w:position w:val="0"/>
                                <w:sz w:val="16"/>
                                <w:szCs w:val="16"/>
                                <w:shd w:val="clear" w:color="auto" w:fill="auto"/>
                                <w:lang w:val="pt-PT" w:eastAsia="pt-PT" w:bidi="pt-PT"/>
                              </w:rPr>
                              <w:t>#</w:t>
                            </w:r>
                          </w:fldSimple>
                          <w:r>
                            <w:rPr>
                              <w:rFonts w:ascii="Arial" w:eastAsia="Arial" w:hAnsi="Arial" w:cs="Arial"/>
                              <w:color w:val="000000"/>
                              <w:spacing w:val="0"/>
                              <w:w w:val="100"/>
                              <w:position w:val="0"/>
                              <w:sz w:val="16"/>
                              <w:szCs w:val="16"/>
                              <w:shd w:val="clear" w:color="auto" w:fill="auto"/>
                              <w:lang w:val="pt-PT" w:eastAsia="pt-PT" w:bidi="pt-PT"/>
                            </w:rPr>
                            <w:t>/9</w:t>
                          </w:r>
                        </w:p>
                      </w:txbxContent>
                    </wps:txbx>
                    <wps:bodyPr lIns="0" tIns="0" rIns="0" bIns="0">
                      <a:spAutoFit/>
                    </wps:bodyPr>
                  </wps:wsp>
                </a:graphicData>
              </a:graphic>
            </wp:anchor>
          </w:drawing>
        </mc:Choice>
        <mc:Fallback>
          <w:pict>
            <v:shape id="_x0000_s1083" type="#_x0000_t202" style="position:absolute;margin-left:12.9pt;margin-top:820.70000000000005pt;width:546.25pt;height:7.2000000000000002pt;z-index:-188744040;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925" w:val="right"/>
                      </w:tabs>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en-US" w:eastAsia="en-US" w:bidi="en-US"/>
                      </w:rPr>
                      <w:t>https://www.diariomunicipal.com.br/aam/materia/57B96147/51c19584dfab6d3a55f7d72996d4ff6051c1</w:t>
                    </w:r>
                    <w:r>
                      <w:rPr>
                        <w:rFonts w:ascii="Arial" w:eastAsia="Arial" w:hAnsi="Arial" w:cs="Arial"/>
                        <w:color w:val="000000"/>
                        <w:spacing w:val="0"/>
                        <w:w w:val="100"/>
                        <w:position w:val="0"/>
                        <w:sz w:val="16"/>
                        <w:szCs w:val="16"/>
                        <w:shd w:val="clear" w:color="auto" w:fill="auto"/>
                        <w:lang w:val="pt-PT" w:eastAsia="pt-PT" w:bidi="pt-PT"/>
                      </w:rPr>
                      <w:t>9584dfab6d3a55f7d72996d4ff60</w:t>
                      <w:tab/>
                    </w:r>
                    <w:fldSimple w:instr=" PAGE \* MERGEFORMAT ">
                      <w:r>
                        <w:rPr>
                          <w:rFonts w:ascii="Arial" w:eastAsia="Arial" w:hAnsi="Arial" w:cs="Arial"/>
                          <w:color w:val="000000"/>
                          <w:spacing w:val="0"/>
                          <w:w w:val="100"/>
                          <w:position w:val="0"/>
                          <w:sz w:val="16"/>
                          <w:szCs w:val="16"/>
                          <w:shd w:val="clear" w:color="auto" w:fill="auto"/>
                          <w:lang w:val="pt-PT" w:eastAsia="pt-PT" w:bidi="pt-PT"/>
                        </w:rPr>
                        <w:t>#</w:t>
                      </w:r>
                    </w:fldSimple>
                    <w:r>
                      <w:rPr>
                        <w:rFonts w:ascii="Arial" w:eastAsia="Arial" w:hAnsi="Arial" w:cs="Arial"/>
                        <w:color w:val="000000"/>
                        <w:spacing w:val="0"/>
                        <w:w w:val="100"/>
                        <w:position w:val="0"/>
                        <w:sz w:val="16"/>
                        <w:szCs w:val="16"/>
                        <w:shd w:val="clear" w:color="auto" w:fill="auto"/>
                        <w:lang w:val="pt-PT" w:eastAsia="pt-PT" w:bidi="pt-PT"/>
                      </w:rPr>
                      <w:t>/9</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2842260</wp:posOffset>
              </wp:positionH>
              <wp:positionV relativeFrom="page">
                <wp:posOffset>1042670</wp:posOffset>
              </wp:positionV>
              <wp:extent cx="1908175" cy="433070"/>
              <wp:wrapNone/>
              <wp:docPr id="1" name="Shape 1"/>
              <a:graphic xmlns:a="http://schemas.openxmlformats.org/drawingml/2006/main">
                <a:graphicData uri="http://schemas.microsoft.com/office/word/2010/wordprocessingShape">
                  <wps:wsp>
                    <wps:cNvSpPr txBox="1"/>
                    <wps:spPr>
                      <a:xfrm>
                        <a:ext cx="1908175" cy="4330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MUNICÍPIO DE MAUÉS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PODER EXECUTIVO MUNICIPAL</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223.80000000000001pt;margin-top:82.099999999999994pt;width:150.25pt;height:34.100000000000001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MUNICÍPIO DE MAUÉS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PODER EXECUTIVO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818515</wp:posOffset>
              </wp:positionH>
              <wp:positionV relativeFrom="page">
                <wp:posOffset>1588135</wp:posOffset>
              </wp:positionV>
              <wp:extent cx="4468495" cy="0"/>
              <wp:wrapNone/>
              <wp:docPr id="3" name="Shape 3"/>
              <a:graphic xmlns:a="http://schemas.openxmlformats.org/drawingml/2006/main">
                <a:graphicData uri="http://schemas.microsoft.com/office/word/2010/wordprocessingShape">
                  <wps:wsp>
                    <wps:cNvCnPr/>
                    <wps:spPr>
                      <a:xfrm>
                        <a:ext cx="4468495" cy="0"/>
                      </a:xfrm>
                      <a:prstGeom prst="straightConnector1"/>
                      <a:ln w="12700">
                        <a:solidFill/>
                      </a:ln>
                    </wps:spPr>
                    <wps:bodyPr/>
                  </wps:wsp>
                </a:graphicData>
              </a:graphic>
            </wp:anchor>
          </w:drawing>
        </mc:Choice>
        <mc:Fallback>
          <w:pict>
            <v:shape o:spt="32" o:oned="true" path="m,l21600,21600e" style="position:absolute;margin-left:64.450000000000003pt;margin-top:125.05pt;width:351.85000000000002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2851785</wp:posOffset>
              </wp:positionH>
              <wp:positionV relativeFrom="page">
                <wp:posOffset>1049020</wp:posOffset>
              </wp:positionV>
              <wp:extent cx="1908175" cy="433070"/>
              <wp:wrapNone/>
              <wp:docPr id="13" name="Shape 13"/>
              <a:graphic xmlns:a="http://schemas.openxmlformats.org/drawingml/2006/main">
                <a:graphicData uri="http://schemas.microsoft.com/office/word/2010/wordprocessingShape">
                  <wps:wsp>
                    <wps:cNvSpPr txBox="1"/>
                    <wps:spPr>
                      <a:xfrm>
                        <a:ext cx="1908175" cy="4330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MUNICÍPIO DE MAUÉS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PODER EXECUTIVO MUNICIPAL</w:t>
                          </w:r>
                        </w:p>
                      </w:txbxContent>
                    </wps:txbx>
                    <wps:bodyPr wrap="none" lIns="0" tIns="0" rIns="0" bIns="0">
                      <a:spAutoFit/>
                    </wps:bodyPr>
                  </wps:wsp>
                </a:graphicData>
              </a:graphic>
            </wp:anchor>
          </w:drawing>
        </mc:Choice>
        <mc:Fallback>
          <w:pict>
            <v:shape id="_x0000_s1039" type="#_x0000_t202" style="position:absolute;margin-left:224.55000000000001pt;margin-top:82.599999999999994pt;width:150.25pt;height:34.100000000000001pt;z-index:-188744058;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MUNICÍPIO DE MAUÉS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PODER EXECUTIVO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828040</wp:posOffset>
              </wp:positionH>
              <wp:positionV relativeFrom="page">
                <wp:posOffset>1597660</wp:posOffset>
              </wp:positionV>
              <wp:extent cx="4462145" cy="0"/>
              <wp:wrapNone/>
              <wp:docPr id="15" name="Shape 15"/>
              <a:graphic xmlns:a="http://schemas.openxmlformats.org/drawingml/2006/main">
                <a:graphicData uri="http://schemas.microsoft.com/office/word/2010/wordprocessingShape">
                  <wps:wsp>
                    <wps:cNvCnPr/>
                    <wps:spPr>
                      <a:xfrm>
                        <a:ext cx="4462145" cy="0"/>
                      </a:xfrm>
                      <a:prstGeom prst="straightConnector1"/>
                      <a:ln w="12700">
                        <a:solidFill/>
                      </a:ln>
                    </wps:spPr>
                    <wps:bodyPr/>
                  </wps:wsp>
                </a:graphicData>
              </a:graphic>
            </wp:anchor>
          </w:drawing>
        </mc:Choice>
        <mc:Fallback>
          <w:pict>
            <v:shape o:spt="32" o:oned="true" path="m,l21600,21600e" style="position:absolute;margin-left:65.200000000000003pt;margin-top:125.8pt;width:351.35000000000002pt;height:0;z-index:-251658240;mso-position-horizontal-relative:page;mso-position-vertical-relative:page">
              <v:stroke weight="1.pt"/>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2849880</wp:posOffset>
              </wp:positionH>
              <wp:positionV relativeFrom="page">
                <wp:posOffset>1042670</wp:posOffset>
              </wp:positionV>
              <wp:extent cx="1908175" cy="426720"/>
              <wp:wrapNone/>
              <wp:docPr id="22" name="Shape 22"/>
              <a:graphic xmlns:a="http://schemas.openxmlformats.org/drawingml/2006/main">
                <a:graphicData uri="http://schemas.microsoft.com/office/word/2010/wordprocessingShape">
                  <wps:wsp>
                    <wps:cNvSpPr txBox="1"/>
                    <wps:spPr>
                      <a:xfrm>
                        <a:ext cx="1908175" cy="42672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MUNICÍPIO DE MAUÉS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PODER EXECUTIVO MUNICIPAL</w:t>
                          </w:r>
                        </w:p>
                      </w:txbxContent>
                    </wps:txbx>
                    <wps:bodyPr wrap="none" lIns="0" tIns="0" rIns="0" bIns="0">
                      <a:spAutoFit/>
                    </wps:bodyPr>
                  </wps:wsp>
                </a:graphicData>
              </a:graphic>
            </wp:anchor>
          </w:drawing>
        </mc:Choice>
        <mc:Fallback>
          <w:pict>
            <v:shape id="_x0000_s1048" type="#_x0000_t202" style="position:absolute;margin-left:224.40000000000001pt;margin-top:82.099999999999994pt;width:150.25pt;height:33.600000000000001pt;z-index:-188744056;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MUNICÍPIO DE MAUÉS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PODER EXECUTIVO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826135</wp:posOffset>
              </wp:positionH>
              <wp:positionV relativeFrom="page">
                <wp:posOffset>1594485</wp:posOffset>
              </wp:positionV>
              <wp:extent cx="4468495" cy="0"/>
              <wp:wrapNone/>
              <wp:docPr id="24" name="Shape 24"/>
              <a:graphic xmlns:a="http://schemas.openxmlformats.org/drawingml/2006/main">
                <a:graphicData uri="http://schemas.microsoft.com/office/word/2010/wordprocessingShape">
                  <wps:wsp>
                    <wps:cNvCnPr/>
                    <wps:spPr>
                      <a:xfrm>
                        <a:ext cx="4468495" cy="0"/>
                      </a:xfrm>
                      <a:prstGeom prst="straightConnector1"/>
                      <a:ln w="12700">
                        <a:solidFill/>
                      </a:ln>
                    </wps:spPr>
                    <wps:bodyPr/>
                  </wps:wsp>
                </a:graphicData>
              </a:graphic>
            </wp:anchor>
          </w:drawing>
        </mc:Choice>
        <mc:Fallback>
          <w:pict>
            <v:shape o:spt="32" o:oned="true" path="m,l21600,21600e" style="position:absolute;margin-left:65.049999999999997pt;margin-top:125.55pt;width:351.85000000000002pt;height:0;z-index:-251658240;mso-position-horizontal-relative:page;mso-position-vertical-relative:page">
              <v:stroke weight="1.pt"/>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2861945</wp:posOffset>
              </wp:positionH>
              <wp:positionV relativeFrom="page">
                <wp:posOffset>1049020</wp:posOffset>
              </wp:positionV>
              <wp:extent cx="1913890" cy="426720"/>
              <wp:wrapNone/>
              <wp:docPr id="28" name="Shape 28"/>
              <a:graphic xmlns:a="http://schemas.openxmlformats.org/drawingml/2006/main">
                <a:graphicData uri="http://schemas.microsoft.com/office/word/2010/wordprocessingShape">
                  <wps:wsp>
                    <wps:cNvSpPr txBox="1"/>
                    <wps:spPr>
                      <a:xfrm>
                        <a:ext cx="1913890" cy="42672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MUNICÍPIO DE MAUÉS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PODER EXECUTIVO MUNICIPAL</w:t>
                          </w:r>
                        </w:p>
                      </w:txbxContent>
                    </wps:txbx>
                    <wps:bodyPr wrap="none" lIns="0" tIns="0" rIns="0" bIns="0">
                      <a:spAutoFit/>
                    </wps:bodyPr>
                  </wps:wsp>
                </a:graphicData>
              </a:graphic>
            </wp:anchor>
          </w:drawing>
        </mc:Choice>
        <mc:Fallback>
          <w:pict>
            <v:shape id="_x0000_s1054" type="#_x0000_t202" style="position:absolute;margin-left:225.34999999999999pt;margin-top:82.599999999999994pt;width:150.69999999999999pt;height:33.600000000000001pt;z-index:-188744052;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MUNICÍPIO DE MAUÉS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PODER EXECUTIVO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844550</wp:posOffset>
              </wp:positionH>
              <wp:positionV relativeFrom="page">
                <wp:posOffset>1591310</wp:posOffset>
              </wp:positionV>
              <wp:extent cx="4468495" cy="0"/>
              <wp:wrapNone/>
              <wp:docPr id="30" name="Shape 30"/>
              <a:graphic xmlns:a="http://schemas.openxmlformats.org/drawingml/2006/main">
                <a:graphicData uri="http://schemas.microsoft.com/office/word/2010/wordprocessingShape">
                  <wps:wsp>
                    <wps:cNvCnPr/>
                    <wps:spPr>
                      <a:xfrm>
                        <a:ext cx="4468495" cy="0"/>
                      </a:xfrm>
                      <a:prstGeom prst="straightConnector1"/>
                      <a:ln w="12700">
                        <a:solidFill/>
                      </a:ln>
                    </wps:spPr>
                    <wps:bodyPr/>
                  </wps:wsp>
                </a:graphicData>
              </a:graphic>
            </wp:anchor>
          </w:drawing>
        </mc:Choice>
        <mc:Fallback>
          <w:pict>
            <v:shape o:spt="32" o:oned="true" path="m,l21600,21600e" style="position:absolute;margin-left:66.5pt;margin-top:125.3pt;width:351.85000000000002pt;height:0;z-index:-251658240;mso-position-horizontal-relative:page;mso-position-vertical-relative:page">
              <v:stroke weight="1.pt"/>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2819400</wp:posOffset>
              </wp:positionH>
              <wp:positionV relativeFrom="page">
                <wp:posOffset>1049020</wp:posOffset>
              </wp:positionV>
              <wp:extent cx="1908175" cy="426720"/>
              <wp:wrapNone/>
              <wp:docPr id="34" name="Shape 34"/>
              <a:graphic xmlns:a="http://schemas.openxmlformats.org/drawingml/2006/main">
                <a:graphicData uri="http://schemas.microsoft.com/office/word/2010/wordprocessingShape">
                  <wps:wsp>
                    <wps:cNvSpPr txBox="1"/>
                    <wps:spPr>
                      <a:xfrm>
                        <a:ext cx="1908175" cy="42672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MUNICÍPIO DE MAUÉS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PODER EXECUTIVO MUNICIPAL</w:t>
                          </w:r>
                        </w:p>
                      </w:txbxContent>
                    </wps:txbx>
                    <wps:bodyPr wrap="none" lIns="0" tIns="0" rIns="0" bIns="0">
                      <a:spAutoFit/>
                    </wps:bodyPr>
                  </wps:wsp>
                </a:graphicData>
              </a:graphic>
            </wp:anchor>
          </w:drawing>
        </mc:Choice>
        <mc:Fallback>
          <w:pict>
            <v:shape id="_x0000_s1060" type="#_x0000_t202" style="position:absolute;margin-left:222.pt;margin-top:82.599999999999994pt;width:150.25pt;height:33.600000000000001pt;z-index:-188744048;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MUNICÍPIO DE MAUÉS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PODER EXECUTIVO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802005</wp:posOffset>
              </wp:positionH>
              <wp:positionV relativeFrom="page">
                <wp:posOffset>1597660</wp:posOffset>
              </wp:positionV>
              <wp:extent cx="4456430" cy="0"/>
              <wp:wrapNone/>
              <wp:docPr id="36" name="Shape 36"/>
              <a:graphic xmlns:a="http://schemas.openxmlformats.org/drawingml/2006/main">
                <a:graphicData uri="http://schemas.microsoft.com/office/word/2010/wordprocessingShape">
                  <wps:wsp>
                    <wps:cNvCnPr/>
                    <wps:spPr>
                      <a:xfrm>
                        <a:ext cx="4456430" cy="0"/>
                      </a:xfrm>
                      <a:prstGeom prst="straightConnector1"/>
                      <a:ln w="12700">
                        <a:solidFill/>
                      </a:ln>
                    </wps:spPr>
                    <wps:bodyPr/>
                  </wps:wsp>
                </a:graphicData>
              </a:graphic>
            </wp:anchor>
          </w:drawing>
        </mc:Choice>
        <mc:Fallback>
          <w:pict>
            <v:shape o:spt="32" o:oned="true" path="m,l21600,21600e" style="position:absolute;margin-left:63.149999999999999pt;margin-top:125.8pt;width:350.89999999999998pt;height:0;z-index:-251658240;mso-position-horizontal-relative:page;mso-position-vertical-relative:page">
              <v:stroke weight="1.pt"/>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9" behindDoc="1" locked="0" layoutInCell="1" allowOverlap="1">
              <wp:simplePos x="0" y="0"/>
              <wp:positionH relativeFrom="page">
                <wp:posOffset>2859405</wp:posOffset>
              </wp:positionH>
              <wp:positionV relativeFrom="page">
                <wp:posOffset>1055370</wp:posOffset>
              </wp:positionV>
              <wp:extent cx="1913890" cy="426720"/>
              <wp:wrapNone/>
              <wp:docPr id="48" name="Shape 48"/>
              <a:graphic xmlns:a="http://schemas.openxmlformats.org/drawingml/2006/main">
                <a:graphicData uri="http://schemas.microsoft.com/office/word/2010/wordprocessingShape">
                  <wps:wsp>
                    <wps:cNvSpPr txBox="1"/>
                    <wps:spPr>
                      <a:xfrm>
                        <a:ext cx="1913890" cy="42672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MUNICÍPIO DE MAUÉS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PODER EXECUTIVO MUNICIPAL</w:t>
                          </w:r>
                        </w:p>
                      </w:txbxContent>
                    </wps:txbx>
                    <wps:bodyPr wrap="none" lIns="0" tIns="0" rIns="0" bIns="0">
                      <a:spAutoFit/>
                    </wps:bodyPr>
                  </wps:wsp>
                </a:graphicData>
              </a:graphic>
            </wp:anchor>
          </w:drawing>
        </mc:Choice>
        <mc:Fallback>
          <w:pict>
            <v:shape id="_x0000_s1074" type="#_x0000_t202" style="position:absolute;margin-left:225.15000000000001pt;margin-top:83.099999999999994pt;width:150.69999999999999pt;height:33.600000000000001pt;z-index:-188744044;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MUNICÍPIO DE MAUÉS</w:t>
                    </w:r>
                  </w:p>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PODER EXECUTIVO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841375</wp:posOffset>
              </wp:positionH>
              <wp:positionV relativeFrom="page">
                <wp:posOffset>1600200</wp:posOffset>
              </wp:positionV>
              <wp:extent cx="4462145" cy="0"/>
              <wp:wrapNone/>
              <wp:docPr id="50" name="Shape 50"/>
              <a:graphic xmlns:a="http://schemas.openxmlformats.org/drawingml/2006/main">
                <a:graphicData uri="http://schemas.microsoft.com/office/word/2010/wordprocessingShape">
                  <wps:wsp>
                    <wps:cNvCnPr/>
                    <wps:spPr>
                      <a:xfrm>
                        <a:ext cx="4462145" cy="0"/>
                      </a:xfrm>
                      <a:prstGeom prst="straightConnector1"/>
                      <a:ln w="12700">
                        <a:solidFill/>
                      </a:ln>
                    </wps:spPr>
                    <wps:bodyPr/>
                  </wps:wsp>
                </a:graphicData>
              </a:graphic>
            </wp:anchor>
          </w:drawing>
        </mc:Choice>
        <mc:Fallback>
          <w:pict>
            <v:shape o:spt="32" o:oned="true" path="m,l21600,21600e" style="position:absolute;margin-left:66.25pt;margin-top:126.pt;width:351.35000000000002pt;height:0;z-index:-251658240;mso-position-horizontal-relative:page;mso-position-vertical-relative:page">
              <v:stroke weight="1.pt"/>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5" behindDoc="1" locked="0" layoutInCell="1" allowOverlap="1">
              <wp:simplePos x="0" y="0"/>
              <wp:positionH relativeFrom="page">
                <wp:posOffset>2122170</wp:posOffset>
              </wp:positionH>
              <wp:positionV relativeFrom="page">
                <wp:posOffset>428625</wp:posOffset>
              </wp:positionV>
              <wp:extent cx="2359025" cy="155575"/>
              <wp:wrapNone/>
              <wp:docPr id="65" name="Shape 65"/>
              <a:graphic xmlns:a="http://schemas.openxmlformats.org/drawingml/2006/main">
                <a:graphicData uri="http://schemas.microsoft.com/office/word/2010/wordprocessingShape">
                  <wps:wsp>
                    <wps:cNvSpPr txBox="1"/>
                    <wps:spPr>
                      <a:xfrm>
                        <a:ext cx="2359025" cy="15557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lang w:val="pt-PT" w:eastAsia="pt-PT" w:bidi="pt-PT"/>
                            </w:rPr>
                            <w:t>Prefeitura Municipal de Maués</w:t>
                          </w:r>
                        </w:p>
                      </w:txbxContent>
                    </wps:txbx>
                    <wps:bodyPr wrap="none" lIns="0" tIns="0" rIns="0" bIns="0">
                      <a:spAutoFit/>
                    </wps:bodyPr>
                  </wps:wsp>
                </a:graphicData>
              </a:graphic>
            </wp:anchor>
          </w:drawing>
        </mc:Choice>
        <mc:Fallback>
          <w:pict>
            <v:shape id="_x0000_s1091" type="#_x0000_t202" style="position:absolute;margin-left:167.09999999999999pt;margin-top:33.75pt;width:185.75pt;height:12.25pt;z-index:-188744038;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lang w:val="pt-PT" w:eastAsia="pt-PT" w:bidi="pt-PT"/>
                      </w:rPr>
                      <w:t>Prefeitura Municipal de Maués</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7" behindDoc="1" locked="0" layoutInCell="1" allowOverlap="1">
              <wp:simplePos x="0" y="0"/>
              <wp:positionH relativeFrom="page">
                <wp:posOffset>2089785</wp:posOffset>
              </wp:positionH>
              <wp:positionV relativeFrom="page">
                <wp:posOffset>430530</wp:posOffset>
              </wp:positionV>
              <wp:extent cx="2176145" cy="140335"/>
              <wp:wrapNone/>
              <wp:docPr id="69" name="Shape 69"/>
              <a:graphic xmlns:a="http://schemas.openxmlformats.org/drawingml/2006/main">
                <a:graphicData uri="http://schemas.microsoft.com/office/word/2010/wordprocessingShape">
                  <wps:wsp>
                    <wps:cNvSpPr txBox="1"/>
                    <wps:spPr>
                      <a:xfrm>
                        <a:ext cx="2176145" cy="1403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b/>
                              <w:bCs/>
                              <w:color w:val="000000"/>
                              <w:spacing w:val="0"/>
                              <w:w w:val="100"/>
                              <w:position w:val="0"/>
                              <w:sz w:val="24"/>
                              <w:szCs w:val="24"/>
                              <w:shd w:val="clear" w:color="auto" w:fill="auto"/>
                              <w:lang w:val="pt-PT" w:eastAsia="pt-PT" w:bidi="pt-PT"/>
                            </w:rPr>
                            <w:t>Prefeitura Municipal de Maués</w:t>
                          </w:r>
                        </w:p>
                      </w:txbxContent>
                    </wps:txbx>
                    <wps:bodyPr wrap="none" lIns="0" tIns="0" rIns="0" bIns="0">
                      <a:spAutoFit/>
                    </wps:bodyPr>
                  </wps:wsp>
                </a:graphicData>
              </a:graphic>
            </wp:anchor>
          </w:drawing>
        </mc:Choice>
        <mc:Fallback>
          <w:pict>
            <v:shape id="_x0000_s1095" type="#_x0000_t202" style="position:absolute;margin-left:164.55000000000001pt;margin-top:33.899999999999999pt;width:171.34999999999999pt;height:11.050000000000001pt;z-index:-188744036;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b/>
                        <w:bCs/>
                        <w:color w:val="000000"/>
                        <w:spacing w:val="0"/>
                        <w:w w:val="100"/>
                        <w:position w:val="0"/>
                        <w:sz w:val="24"/>
                        <w:szCs w:val="24"/>
                        <w:shd w:val="clear" w:color="auto" w:fill="auto"/>
                        <w:lang w:val="pt-PT" w:eastAsia="pt-PT" w:bidi="pt-PT"/>
                      </w:rPr>
                      <w:t>Prefeitura Municipal de Maués</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9" behindDoc="1" locked="0" layoutInCell="1" allowOverlap="1">
              <wp:simplePos x="0" y="0"/>
              <wp:positionH relativeFrom="page">
                <wp:posOffset>2089785</wp:posOffset>
              </wp:positionH>
              <wp:positionV relativeFrom="page">
                <wp:posOffset>430530</wp:posOffset>
              </wp:positionV>
              <wp:extent cx="2176145" cy="140335"/>
              <wp:wrapNone/>
              <wp:docPr id="75" name="Shape 75"/>
              <a:graphic xmlns:a="http://schemas.openxmlformats.org/drawingml/2006/main">
                <a:graphicData uri="http://schemas.microsoft.com/office/word/2010/wordprocessingShape">
                  <wps:wsp>
                    <wps:cNvSpPr txBox="1"/>
                    <wps:spPr>
                      <a:xfrm>
                        <a:ext cx="2176145" cy="1403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b/>
                              <w:bCs/>
                              <w:color w:val="000000"/>
                              <w:spacing w:val="0"/>
                              <w:w w:val="100"/>
                              <w:position w:val="0"/>
                              <w:sz w:val="24"/>
                              <w:szCs w:val="24"/>
                              <w:shd w:val="clear" w:color="auto" w:fill="auto"/>
                              <w:lang w:val="pt-PT" w:eastAsia="pt-PT" w:bidi="pt-PT"/>
                            </w:rPr>
                            <w:t>Prefeitura Municipal de Maués</w:t>
                          </w:r>
                        </w:p>
                      </w:txbxContent>
                    </wps:txbx>
                    <wps:bodyPr wrap="none" lIns="0" tIns="0" rIns="0" bIns="0">
                      <a:spAutoFit/>
                    </wps:bodyPr>
                  </wps:wsp>
                </a:graphicData>
              </a:graphic>
            </wp:anchor>
          </w:drawing>
        </mc:Choice>
        <mc:Fallback>
          <w:pict>
            <v:shape id="_x0000_s1101" type="#_x0000_t202" style="position:absolute;margin-left:164.55000000000001pt;margin-top:33.899999999999999pt;width:171.34999999999999pt;height:11.050000000000001pt;z-index:-188744034;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b/>
                        <w:bCs/>
                        <w:color w:val="000000"/>
                        <w:spacing w:val="0"/>
                        <w:w w:val="100"/>
                        <w:position w:val="0"/>
                        <w:sz w:val="24"/>
                        <w:szCs w:val="24"/>
                        <w:shd w:val="clear" w:color="auto" w:fill="auto"/>
                        <w:lang w:val="pt-PT" w:eastAsia="pt-PT" w:bidi="pt-PT"/>
                      </w:rPr>
                      <w:t>Prefeitura Municipal de Maués</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1" behindDoc="1" locked="0" layoutInCell="1" allowOverlap="1">
              <wp:simplePos x="0" y="0"/>
              <wp:positionH relativeFrom="page">
                <wp:posOffset>2335530</wp:posOffset>
              </wp:positionH>
              <wp:positionV relativeFrom="page">
                <wp:posOffset>420370</wp:posOffset>
              </wp:positionV>
              <wp:extent cx="2533015" cy="167640"/>
              <wp:wrapNone/>
              <wp:docPr id="83" name="Shape 83"/>
              <a:graphic xmlns:a="http://schemas.openxmlformats.org/drawingml/2006/main">
                <a:graphicData uri="http://schemas.microsoft.com/office/word/2010/wordprocessingShape">
                  <wps:wsp>
                    <wps:cNvSpPr txBox="1"/>
                    <wps:spPr>
                      <a:xfrm>
                        <a:ext cx="2533015" cy="16764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bCs/>
                              <w:color w:val="000000"/>
                              <w:spacing w:val="0"/>
                              <w:w w:val="100"/>
                              <w:position w:val="0"/>
                              <w:sz w:val="28"/>
                              <w:szCs w:val="28"/>
                              <w:shd w:val="clear" w:color="auto" w:fill="auto"/>
                              <w:lang w:val="pt-PT" w:eastAsia="pt-PT" w:bidi="pt-PT"/>
                            </w:rPr>
                            <w:t>Prefeitura Municipal de Maués</w:t>
                          </w:r>
                        </w:p>
                      </w:txbxContent>
                    </wps:txbx>
                    <wps:bodyPr wrap="none" lIns="0" tIns="0" rIns="0" bIns="0">
                      <a:spAutoFit/>
                    </wps:bodyPr>
                  </wps:wsp>
                </a:graphicData>
              </a:graphic>
            </wp:anchor>
          </w:drawing>
        </mc:Choice>
        <mc:Fallback>
          <w:pict>
            <v:shape id="_x0000_s1109" type="#_x0000_t202" style="position:absolute;margin-left:183.90000000000001pt;margin-top:33.100000000000001pt;width:199.44999999999999pt;height:13.199999999999999pt;z-index:-188744032;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bCs/>
                        <w:color w:val="000000"/>
                        <w:spacing w:val="0"/>
                        <w:w w:val="100"/>
                        <w:position w:val="0"/>
                        <w:sz w:val="28"/>
                        <w:szCs w:val="28"/>
                        <w:shd w:val="clear" w:color="auto" w:fill="auto"/>
                        <w:lang w:val="pt-PT" w:eastAsia="pt-PT" w:bidi="pt-PT"/>
                      </w:rPr>
                      <w:t>Prefeitura Municipal de Maués</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3" behindDoc="1" locked="0" layoutInCell="1" allowOverlap="1">
              <wp:simplePos x="0" y="0"/>
              <wp:positionH relativeFrom="page">
                <wp:posOffset>2178050</wp:posOffset>
              </wp:positionH>
              <wp:positionV relativeFrom="page">
                <wp:posOffset>421005</wp:posOffset>
              </wp:positionV>
              <wp:extent cx="2176145" cy="140335"/>
              <wp:wrapNone/>
              <wp:docPr id="89" name="Shape 89"/>
              <a:graphic xmlns:a="http://schemas.openxmlformats.org/drawingml/2006/main">
                <a:graphicData uri="http://schemas.microsoft.com/office/word/2010/wordprocessingShape">
                  <wps:wsp>
                    <wps:cNvSpPr txBox="1"/>
                    <wps:spPr>
                      <a:xfrm>
                        <a:ext cx="2176145" cy="1403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b/>
                              <w:bCs/>
                              <w:color w:val="000000"/>
                              <w:spacing w:val="0"/>
                              <w:w w:val="100"/>
                              <w:position w:val="0"/>
                              <w:sz w:val="24"/>
                              <w:szCs w:val="24"/>
                              <w:shd w:val="clear" w:color="auto" w:fill="auto"/>
                              <w:lang w:val="pt-PT" w:eastAsia="pt-PT" w:bidi="pt-PT"/>
                            </w:rPr>
                            <w:t>Prefeitura Municipal de Maués</w:t>
                          </w:r>
                        </w:p>
                      </w:txbxContent>
                    </wps:txbx>
                    <wps:bodyPr wrap="none" lIns="0" tIns="0" rIns="0" bIns="0">
                      <a:spAutoFit/>
                    </wps:bodyPr>
                  </wps:wsp>
                </a:graphicData>
              </a:graphic>
            </wp:anchor>
          </w:drawing>
        </mc:Choice>
        <mc:Fallback>
          <w:pict>
            <v:shape id="_x0000_s1115" type="#_x0000_t202" style="position:absolute;margin-left:171.5pt;margin-top:33.149999999999999pt;width:171.34999999999999pt;height:11.050000000000001pt;z-index:-188744030;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b/>
                        <w:bCs/>
                        <w:color w:val="000000"/>
                        <w:spacing w:val="0"/>
                        <w:w w:val="100"/>
                        <w:position w:val="0"/>
                        <w:sz w:val="24"/>
                        <w:szCs w:val="24"/>
                        <w:shd w:val="clear" w:color="auto" w:fill="auto"/>
                        <w:lang w:val="pt-PT" w:eastAsia="pt-PT" w:bidi="pt-PT"/>
                      </w:rPr>
                      <w:t>Prefeitura Municipal de Maués</w:t>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5" behindDoc="1" locked="0" layoutInCell="1" allowOverlap="1">
              <wp:simplePos x="0" y="0"/>
              <wp:positionH relativeFrom="page">
                <wp:posOffset>2300605</wp:posOffset>
              </wp:positionH>
              <wp:positionV relativeFrom="page">
                <wp:posOffset>261620</wp:posOffset>
              </wp:positionV>
              <wp:extent cx="3435350" cy="655320"/>
              <wp:wrapNone/>
              <wp:docPr id="93" name="Shape 93"/>
              <a:graphic xmlns:a="http://schemas.openxmlformats.org/drawingml/2006/main">
                <a:graphicData uri="http://schemas.microsoft.com/office/word/2010/wordprocessingShape">
                  <wps:wsp>
                    <wps:cNvSpPr txBox="1"/>
                    <wps:spPr>
                      <a:xfrm>
                        <a:ext cx="3435350" cy="65532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bCs/>
                              <w:color w:val="000000"/>
                              <w:spacing w:val="0"/>
                              <w:w w:val="100"/>
                              <w:position w:val="0"/>
                              <w:sz w:val="28"/>
                              <w:szCs w:val="28"/>
                              <w:shd w:val="clear" w:color="auto" w:fill="auto"/>
                              <w:lang w:val="pt-PT" w:eastAsia="pt-PT" w:bidi="pt-PT"/>
                            </w:rPr>
                            <w:t>Prefeitura Municipal de Maués</w:t>
                          </w:r>
                        </w:p>
                        <w:p>
                          <w:pPr>
                            <w:pStyle w:val="Style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LEI DE DIRETRIZES </w:t>
                          </w:r>
                          <w:r>
                            <w:rPr>
                              <w:rFonts w:ascii="Arial" w:eastAsia="Arial" w:hAnsi="Arial" w:cs="Arial"/>
                              <w:color w:val="000000"/>
                              <w:spacing w:val="0"/>
                              <w:w w:val="100"/>
                              <w:position w:val="0"/>
                              <w:sz w:val="18"/>
                              <w:szCs w:val="18"/>
                              <w:shd w:val="clear" w:color="auto" w:fill="auto"/>
                              <w:lang w:val="pt-BR" w:eastAsia="pt-BR" w:bidi="pt-BR"/>
                            </w:rPr>
                            <w:t xml:space="preserve">ORÇAMENTÁRIAS </w:t>
                          </w:r>
                          <w:r>
                            <w:rPr>
                              <w:rFonts w:ascii="Arial" w:eastAsia="Arial" w:hAnsi="Arial" w:cs="Arial"/>
                              <w:color w:val="000000"/>
                              <w:spacing w:val="0"/>
                              <w:w w:val="100"/>
                              <w:position w:val="0"/>
                              <w:sz w:val="18"/>
                              <w:szCs w:val="18"/>
                              <w:shd w:val="clear" w:color="auto" w:fill="auto"/>
                              <w:lang w:val="pt-PT" w:eastAsia="pt-PT" w:bidi="pt-PT"/>
                            </w:rPr>
                            <w:t>- 2026</w:t>
                          </w:r>
                        </w:p>
                        <w:p>
                          <w:pPr>
                            <w:pStyle w:val="Style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METODOLOGIA E MEMÓRIA DE CÁLCULO DAS METAS ANUAIS</w:t>
                          </w:r>
                        </w:p>
                        <w:p>
                          <w:pPr>
                            <w:pStyle w:val="Style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I - RECEITAS</w:t>
                          </w:r>
                        </w:p>
                      </w:txbxContent>
                    </wps:txbx>
                    <wps:bodyPr wrap="none" lIns="0" tIns="0" rIns="0" bIns="0">
                      <a:spAutoFit/>
                    </wps:bodyPr>
                  </wps:wsp>
                </a:graphicData>
              </a:graphic>
            </wp:anchor>
          </w:drawing>
        </mc:Choice>
        <mc:Fallback>
          <w:pict>
            <v:shape id="_x0000_s1119" type="#_x0000_t202" style="position:absolute;margin-left:181.15000000000001pt;margin-top:20.600000000000001pt;width:270.5pt;height:51.600000000000001pt;z-index:-188744028;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bCs/>
                        <w:color w:val="000000"/>
                        <w:spacing w:val="0"/>
                        <w:w w:val="100"/>
                        <w:position w:val="0"/>
                        <w:sz w:val="28"/>
                        <w:szCs w:val="28"/>
                        <w:shd w:val="clear" w:color="auto" w:fill="auto"/>
                        <w:lang w:val="pt-PT" w:eastAsia="pt-PT" w:bidi="pt-PT"/>
                      </w:rPr>
                      <w:t>Prefeitura Municipal de Maués</w:t>
                    </w:r>
                  </w:p>
                  <w:p>
                    <w:pPr>
                      <w:pStyle w:val="Style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LEI DE DIRETRIZES </w:t>
                    </w:r>
                    <w:r>
                      <w:rPr>
                        <w:rFonts w:ascii="Arial" w:eastAsia="Arial" w:hAnsi="Arial" w:cs="Arial"/>
                        <w:color w:val="000000"/>
                        <w:spacing w:val="0"/>
                        <w:w w:val="100"/>
                        <w:position w:val="0"/>
                        <w:sz w:val="18"/>
                        <w:szCs w:val="18"/>
                        <w:shd w:val="clear" w:color="auto" w:fill="auto"/>
                        <w:lang w:val="pt-BR" w:eastAsia="pt-BR" w:bidi="pt-BR"/>
                      </w:rPr>
                      <w:t xml:space="preserve">ORÇAMENTÁRIAS </w:t>
                    </w:r>
                    <w:r>
                      <w:rPr>
                        <w:rFonts w:ascii="Arial" w:eastAsia="Arial" w:hAnsi="Arial" w:cs="Arial"/>
                        <w:color w:val="000000"/>
                        <w:spacing w:val="0"/>
                        <w:w w:val="100"/>
                        <w:position w:val="0"/>
                        <w:sz w:val="18"/>
                        <w:szCs w:val="18"/>
                        <w:shd w:val="clear" w:color="auto" w:fill="auto"/>
                        <w:lang w:val="pt-PT" w:eastAsia="pt-PT" w:bidi="pt-PT"/>
                      </w:rPr>
                      <w:t>- 2026</w:t>
                    </w:r>
                  </w:p>
                  <w:p>
                    <w:pPr>
                      <w:pStyle w:val="Style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METODOLOGIA E MEMÓRIA DE CÁLCULO DAS METAS ANUAIS</w:t>
                    </w:r>
                  </w:p>
                  <w:p>
                    <w:pPr>
                      <w:pStyle w:val="Style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I - RECEITAS</w:t>
                    </w:r>
                  </w:p>
                </w:txbxContent>
              </v:textbox>
              <w10:wrap anchorx="page" anchory="page"/>
            </v:shape>
          </w:pict>
        </mc:Fallback>
      </mc:AlternateContent>
    </w:r>
    <w:r>
      <mc:AlternateContent>
        <mc:Choice Requires="wps">
          <w:drawing>
            <wp:anchor distT="0" distB="0" distL="0" distR="0" simplePos="0" relativeHeight="62914727" behindDoc="1" locked="0" layoutInCell="1" allowOverlap="1">
              <wp:simplePos x="0" y="0"/>
              <wp:positionH relativeFrom="page">
                <wp:posOffset>9792970</wp:posOffset>
              </wp:positionH>
              <wp:positionV relativeFrom="page">
                <wp:posOffset>1148715</wp:posOffset>
              </wp:positionV>
              <wp:extent cx="186055" cy="97790"/>
              <wp:wrapNone/>
              <wp:docPr id="95" name="Shape 95"/>
              <a:graphic xmlns:a="http://schemas.openxmlformats.org/drawingml/2006/main">
                <a:graphicData uri="http://schemas.microsoft.com/office/word/2010/wordprocessingShape">
                  <wps:wsp>
                    <wps:cNvSpPr txBox="1"/>
                    <wps:spPr>
                      <a:xfrm>
                        <a:ext cx="186055" cy="9779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(R$)</w:t>
                          </w:r>
                        </w:p>
                      </w:txbxContent>
                    </wps:txbx>
                    <wps:bodyPr wrap="none" lIns="0" tIns="0" rIns="0" bIns="0">
                      <a:spAutoFit/>
                    </wps:bodyPr>
                  </wps:wsp>
                </a:graphicData>
              </a:graphic>
            </wp:anchor>
          </w:drawing>
        </mc:Choice>
        <mc:Fallback>
          <w:pict>
            <v:shape id="_x0000_s1121" type="#_x0000_t202" style="position:absolute;margin-left:771.10000000000002pt;margin-top:90.450000000000003pt;width:14.65pt;height:7.7000000000000002pt;z-index:-188744026;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(R$)</w:t>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9" behindDoc="1" locked="0" layoutInCell="1" allowOverlap="1">
              <wp:simplePos x="0" y="0"/>
              <wp:positionH relativeFrom="page">
                <wp:posOffset>2408555</wp:posOffset>
              </wp:positionH>
              <wp:positionV relativeFrom="page">
                <wp:posOffset>247015</wp:posOffset>
              </wp:positionV>
              <wp:extent cx="4693920" cy="868680"/>
              <wp:wrapNone/>
              <wp:docPr id="99" name="Shape 99"/>
              <a:graphic xmlns:a="http://schemas.openxmlformats.org/drawingml/2006/main">
                <a:graphicData uri="http://schemas.microsoft.com/office/word/2010/wordprocessingShape">
                  <wps:wsp>
                    <wps:cNvSpPr txBox="1"/>
                    <wps:spPr>
                      <a:xfrm>
                        <a:ext cx="4693920" cy="86868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wps:txbx>
                    <wps:bodyPr wrap="none" lIns="0" tIns="0" rIns="0" bIns="0">
                      <a:spAutoFit/>
                    </wps:bodyPr>
                  </wps:wsp>
                </a:graphicData>
              </a:graphic>
            </wp:anchor>
          </w:drawing>
        </mc:Choice>
        <mc:Fallback>
          <w:pict>
            <v:shape id="_x0000_s1125" type="#_x0000_t202" style="position:absolute;margin-left:189.65000000000001pt;margin-top:19.449999999999999pt;width:369.60000000000002pt;height:68.400000000000006pt;z-index:-188744024;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v:textbox>
              <w10:wrap anchorx="page" anchory="page"/>
            </v:shape>
          </w:pict>
        </mc:Fallback>
      </mc:AlternateContent>
    </w:r>
    <w:r>
      <mc:AlternateContent>
        <mc:Choice Requires="wps">
          <w:drawing>
            <wp:anchor distT="0" distB="0" distL="0" distR="0" simplePos="0" relativeHeight="62914731" behindDoc="1" locked="0" layoutInCell="1" allowOverlap="1">
              <wp:simplePos x="0" y="0"/>
              <wp:positionH relativeFrom="page">
                <wp:posOffset>8827770</wp:posOffset>
              </wp:positionH>
              <wp:positionV relativeFrom="page">
                <wp:posOffset>770890</wp:posOffset>
              </wp:positionV>
              <wp:extent cx="701040" cy="265430"/>
              <wp:wrapNone/>
              <wp:docPr id="101" name="Shape 101"/>
              <a:graphic xmlns:a="http://schemas.openxmlformats.org/drawingml/2006/main">
                <a:graphicData uri="http://schemas.microsoft.com/office/word/2010/wordprocessingShape">
                  <wps:wsp>
                    <wps:cNvSpPr txBox="1"/>
                    <wps:spPr>
                      <a:xfrm>
                        <a:ext cx="701040" cy="26543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wps:txbx>
                    <wps:bodyPr wrap="none" lIns="0" tIns="0" rIns="0" bIns="0">
                      <a:spAutoFit/>
                    </wps:bodyPr>
                  </wps:wsp>
                </a:graphicData>
              </a:graphic>
            </wp:anchor>
          </w:drawing>
        </mc:Choice>
        <mc:Fallback>
          <w:pict>
            <v:shape id="_x0000_s1127" type="#_x0000_t202" style="position:absolute;margin-left:695.10000000000002pt;margin-top:60.700000000000003pt;width:55.200000000000003pt;height:20.899999999999999pt;z-index:-188744022;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v:textbox>
              <w10:wrap anchorx="page" anchory="page"/>
            </v:shape>
          </w:pict>
        </mc:Fallback>
      </mc:AlternateContent>
    </w: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3" behindDoc="1" locked="0" layoutInCell="1" allowOverlap="1">
              <wp:simplePos x="0" y="0"/>
              <wp:positionH relativeFrom="page">
                <wp:posOffset>2408555</wp:posOffset>
              </wp:positionH>
              <wp:positionV relativeFrom="page">
                <wp:posOffset>247015</wp:posOffset>
              </wp:positionV>
              <wp:extent cx="4693920" cy="868680"/>
              <wp:wrapNone/>
              <wp:docPr id="109" name="Shape 109"/>
              <a:graphic xmlns:a="http://schemas.openxmlformats.org/drawingml/2006/main">
                <a:graphicData uri="http://schemas.microsoft.com/office/word/2010/wordprocessingShape">
                  <wps:wsp>
                    <wps:cNvSpPr txBox="1"/>
                    <wps:spPr>
                      <a:xfrm>
                        <a:ext cx="4693920" cy="86868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wps:txbx>
                    <wps:bodyPr wrap="none" lIns="0" tIns="0" rIns="0" bIns="0">
                      <a:spAutoFit/>
                    </wps:bodyPr>
                  </wps:wsp>
                </a:graphicData>
              </a:graphic>
            </wp:anchor>
          </w:drawing>
        </mc:Choice>
        <mc:Fallback>
          <w:pict>
            <v:shape id="_x0000_s1135" type="#_x0000_t202" style="position:absolute;margin-left:189.65000000000001pt;margin-top:19.449999999999999pt;width:369.60000000000002pt;height:68.400000000000006pt;z-index:-188744020;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v:textbox>
              <w10:wrap anchorx="page" anchory="page"/>
            </v:shape>
          </w:pict>
        </mc:Fallback>
      </mc:AlternateContent>
    </w:r>
    <w:r>
      <mc:AlternateContent>
        <mc:Choice Requires="wps">
          <w:drawing>
            <wp:anchor distT="0" distB="0" distL="0" distR="0" simplePos="0" relativeHeight="62914735" behindDoc="1" locked="0" layoutInCell="1" allowOverlap="1">
              <wp:simplePos x="0" y="0"/>
              <wp:positionH relativeFrom="page">
                <wp:posOffset>8827770</wp:posOffset>
              </wp:positionH>
              <wp:positionV relativeFrom="page">
                <wp:posOffset>770890</wp:posOffset>
              </wp:positionV>
              <wp:extent cx="701040" cy="265430"/>
              <wp:wrapNone/>
              <wp:docPr id="111" name="Shape 111"/>
              <a:graphic xmlns:a="http://schemas.openxmlformats.org/drawingml/2006/main">
                <a:graphicData uri="http://schemas.microsoft.com/office/word/2010/wordprocessingShape">
                  <wps:wsp>
                    <wps:cNvSpPr txBox="1"/>
                    <wps:spPr>
                      <a:xfrm>
                        <a:ext cx="701040" cy="26543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wps:txbx>
                    <wps:bodyPr wrap="none" lIns="0" tIns="0" rIns="0" bIns="0">
                      <a:spAutoFit/>
                    </wps:bodyPr>
                  </wps:wsp>
                </a:graphicData>
              </a:graphic>
            </wp:anchor>
          </w:drawing>
        </mc:Choice>
        <mc:Fallback>
          <w:pict>
            <v:shape id="_x0000_s1137" type="#_x0000_t202" style="position:absolute;margin-left:695.10000000000002pt;margin-top:60.700000000000003pt;width:55.200000000000003pt;height:20.899999999999999pt;z-index:-188744018;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v:textbox>
              <w10:wrap anchorx="page" anchory="page"/>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7" behindDoc="1" locked="0" layoutInCell="1" allowOverlap="1">
              <wp:simplePos x="0" y="0"/>
              <wp:positionH relativeFrom="page">
                <wp:posOffset>2408555</wp:posOffset>
              </wp:positionH>
              <wp:positionV relativeFrom="page">
                <wp:posOffset>247015</wp:posOffset>
              </wp:positionV>
              <wp:extent cx="4693920" cy="868680"/>
              <wp:wrapNone/>
              <wp:docPr id="113" name="Shape 113"/>
              <a:graphic xmlns:a="http://schemas.openxmlformats.org/drawingml/2006/main">
                <a:graphicData uri="http://schemas.microsoft.com/office/word/2010/wordprocessingShape">
                  <wps:wsp>
                    <wps:cNvSpPr txBox="1"/>
                    <wps:spPr>
                      <a:xfrm>
                        <a:ext cx="4693920" cy="86868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wps:txbx>
                    <wps:bodyPr wrap="none" lIns="0" tIns="0" rIns="0" bIns="0">
                      <a:spAutoFit/>
                    </wps:bodyPr>
                  </wps:wsp>
                </a:graphicData>
              </a:graphic>
            </wp:anchor>
          </w:drawing>
        </mc:Choice>
        <mc:Fallback>
          <w:pict>
            <v:shape id="_x0000_s1139" type="#_x0000_t202" style="position:absolute;margin-left:189.65000000000001pt;margin-top:19.449999999999999pt;width:369.60000000000002pt;height:68.400000000000006pt;z-index:-188744016;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v:textbox>
              <w10:wrap anchorx="page" anchory="page"/>
            </v:shape>
          </w:pict>
        </mc:Fallback>
      </mc:AlternateContent>
    </w:r>
    <w:r>
      <mc:AlternateContent>
        <mc:Choice Requires="wps">
          <w:drawing>
            <wp:anchor distT="0" distB="0" distL="0" distR="0" simplePos="0" relativeHeight="62914739" behindDoc="1" locked="0" layoutInCell="1" allowOverlap="1">
              <wp:simplePos x="0" y="0"/>
              <wp:positionH relativeFrom="page">
                <wp:posOffset>8827770</wp:posOffset>
              </wp:positionH>
              <wp:positionV relativeFrom="page">
                <wp:posOffset>770890</wp:posOffset>
              </wp:positionV>
              <wp:extent cx="701040" cy="265430"/>
              <wp:wrapNone/>
              <wp:docPr id="115" name="Shape 115"/>
              <a:graphic xmlns:a="http://schemas.openxmlformats.org/drawingml/2006/main">
                <a:graphicData uri="http://schemas.microsoft.com/office/word/2010/wordprocessingShape">
                  <wps:wsp>
                    <wps:cNvSpPr txBox="1"/>
                    <wps:spPr>
                      <a:xfrm>
                        <a:ext cx="701040" cy="26543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wps:txbx>
                    <wps:bodyPr wrap="none" lIns="0" tIns="0" rIns="0" bIns="0">
                      <a:spAutoFit/>
                    </wps:bodyPr>
                  </wps:wsp>
                </a:graphicData>
              </a:graphic>
            </wp:anchor>
          </w:drawing>
        </mc:Choice>
        <mc:Fallback>
          <w:pict>
            <v:shape id="_x0000_s1141" type="#_x0000_t202" style="position:absolute;margin-left:695.10000000000002pt;margin-top:60.700000000000003pt;width:55.200000000000003pt;height:20.899999999999999pt;z-index:-188744014;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v:textbox>
              <w10:wrap anchorx="page" anchory="page"/>
            </v:shape>
          </w:pict>
        </mc:Fallback>
      </mc:AlternateContent>
    </w: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1" behindDoc="1" locked="0" layoutInCell="1" allowOverlap="1">
              <wp:simplePos x="0" y="0"/>
              <wp:positionH relativeFrom="page">
                <wp:posOffset>2408555</wp:posOffset>
              </wp:positionH>
              <wp:positionV relativeFrom="page">
                <wp:posOffset>247015</wp:posOffset>
              </wp:positionV>
              <wp:extent cx="4693920" cy="868680"/>
              <wp:wrapNone/>
              <wp:docPr id="117" name="Shape 117"/>
              <a:graphic xmlns:a="http://schemas.openxmlformats.org/drawingml/2006/main">
                <a:graphicData uri="http://schemas.microsoft.com/office/word/2010/wordprocessingShape">
                  <wps:wsp>
                    <wps:cNvSpPr txBox="1"/>
                    <wps:spPr>
                      <a:xfrm>
                        <a:ext cx="4693920" cy="86868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wps:txbx>
                    <wps:bodyPr wrap="none" lIns="0" tIns="0" rIns="0" bIns="0">
                      <a:spAutoFit/>
                    </wps:bodyPr>
                  </wps:wsp>
                </a:graphicData>
              </a:graphic>
            </wp:anchor>
          </w:drawing>
        </mc:Choice>
        <mc:Fallback>
          <w:pict>
            <v:shape id="_x0000_s1143" type="#_x0000_t202" style="position:absolute;margin-left:189.65000000000001pt;margin-top:19.449999999999999pt;width:369.60000000000002pt;height:68.400000000000006pt;z-index:-188744012;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v:textbox>
              <w10:wrap anchorx="page" anchory="page"/>
            </v:shape>
          </w:pict>
        </mc:Fallback>
      </mc:AlternateContent>
    </w:r>
    <w:r>
      <mc:AlternateContent>
        <mc:Choice Requires="wps">
          <w:drawing>
            <wp:anchor distT="0" distB="0" distL="0" distR="0" simplePos="0" relativeHeight="62914743" behindDoc="1" locked="0" layoutInCell="1" allowOverlap="1">
              <wp:simplePos x="0" y="0"/>
              <wp:positionH relativeFrom="page">
                <wp:posOffset>8827770</wp:posOffset>
              </wp:positionH>
              <wp:positionV relativeFrom="page">
                <wp:posOffset>770890</wp:posOffset>
              </wp:positionV>
              <wp:extent cx="701040" cy="265430"/>
              <wp:wrapNone/>
              <wp:docPr id="119" name="Shape 119"/>
              <a:graphic xmlns:a="http://schemas.openxmlformats.org/drawingml/2006/main">
                <a:graphicData uri="http://schemas.microsoft.com/office/word/2010/wordprocessingShape">
                  <wps:wsp>
                    <wps:cNvSpPr txBox="1"/>
                    <wps:spPr>
                      <a:xfrm>
                        <a:ext cx="701040" cy="26543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wps:txbx>
                    <wps:bodyPr wrap="none" lIns="0" tIns="0" rIns="0" bIns="0">
                      <a:spAutoFit/>
                    </wps:bodyPr>
                  </wps:wsp>
                </a:graphicData>
              </a:graphic>
            </wp:anchor>
          </w:drawing>
        </mc:Choice>
        <mc:Fallback>
          <w:pict>
            <v:shape id="_x0000_s1145" type="#_x0000_t202" style="position:absolute;margin-left:695.10000000000002pt;margin-top:60.700000000000003pt;width:55.200000000000003pt;height:20.899999999999999pt;z-index:-188744010;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v:textbox>
              <w10:wrap anchorx="page" anchory="page"/>
            </v:shape>
          </w:pict>
        </mc:Fallback>
      </mc:AlternateContent>
    </w: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5" behindDoc="1" locked="0" layoutInCell="1" allowOverlap="1">
              <wp:simplePos x="0" y="0"/>
              <wp:positionH relativeFrom="page">
                <wp:posOffset>2408555</wp:posOffset>
              </wp:positionH>
              <wp:positionV relativeFrom="page">
                <wp:posOffset>247015</wp:posOffset>
              </wp:positionV>
              <wp:extent cx="4693920" cy="868680"/>
              <wp:wrapNone/>
              <wp:docPr id="121" name="Shape 121"/>
              <a:graphic xmlns:a="http://schemas.openxmlformats.org/drawingml/2006/main">
                <a:graphicData uri="http://schemas.microsoft.com/office/word/2010/wordprocessingShape">
                  <wps:wsp>
                    <wps:cNvSpPr txBox="1"/>
                    <wps:spPr>
                      <a:xfrm>
                        <a:ext cx="4693920" cy="86868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wps:txbx>
                    <wps:bodyPr wrap="none" lIns="0" tIns="0" rIns="0" bIns="0">
                      <a:spAutoFit/>
                    </wps:bodyPr>
                  </wps:wsp>
                </a:graphicData>
              </a:graphic>
            </wp:anchor>
          </w:drawing>
        </mc:Choice>
        <mc:Fallback>
          <w:pict>
            <v:shape id="_x0000_s1147" type="#_x0000_t202" style="position:absolute;margin-left:189.65000000000001pt;margin-top:19.449999999999999pt;width:369.60000000000002pt;height:68.400000000000006pt;z-index:-188744008;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v:textbox>
              <w10:wrap anchorx="page" anchory="page"/>
            </v:shape>
          </w:pict>
        </mc:Fallback>
      </mc:AlternateContent>
    </w:r>
    <w:r>
      <mc:AlternateContent>
        <mc:Choice Requires="wps">
          <w:drawing>
            <wp:anchor distT="0" distB="0" distL="0" distR="0" simplePos="0" relativeHeight="62914747" behindDoc="1" locked="0" layoutInCell="1" allowOverlap="1">
              <wp:simplePos x="0" y="0"/>
              <wp:positionH relativeFrom="page">
                <wp:posOffset>8827770</wp:posOffset>
              </wp:positionH>
              <wp:positionV relativeFrom="page">
                <wp:posOffset>770890</wp:posOffset>
              </wp:positionV>
              <wp:extent cx="701040" cy="265430"/>
              <wp:wrapNone/>
              <wp:docPr id="123" name="Shape 123"/>
              <a:graphic xmlns:a="http://schemas.openxmlformats.org/drawingml/2006/main">
                <a:graphicData uri="http://schemas.microsoft.com/office/word/2010/wordprocessingShape">
                  <wps:wsp>
                    <wps:cNvSpPr txBox="1"/>
                    <wps:spPr>
                      <a:xfrm>
                        <a:ext cx="701040" cy="26543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wps:txbx>
                    <wps:bodyPr wrap="none" lIns="0" tIns="0" rIns="0" bIns="0">
                      <a:spAutoFit/>
                    </wps:bodyPr>
                  </wps:wsp>
                </a:graphicData>
              </a:graphic>
            </wp:anchor>
          </w:drawing>
        </mc:Choice>
        <mc:Fallback>
          <w:pict>
            <v:shape id="_x0000_s1149" type="#_x0000_t202" style="position:absolute;margin-left:695.10000000000002pt;margin-top:60.700000000000003pt;width:55.200000000000003pt;height:20.899999999999999pt;z-index:-188744006;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v:textbox>
              <w10:wrap anchorx="page" anchory="page"/>
            </v:shape>
          </w:pict>
        </mc:Fallback>
      </mc:AlternateContent>
    </w: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9" behindDoc="1" locked="0" layoutInCell="1" allowOverlap="1">
              <wp:simplePos x="0" y="0"/>
              <wp:positionH relativeFrom="page">
                <wp:posOffset>8827770</wp:posOffset>
              </wp:positionH>
              <wp:positionV relativeFrom="page">
                <wp:posOffset>992505</wp:posOffset>
              </wp:positionV>
              <wp:extent cx="701040" cy="265430"/>
              <wp:wrapNone/>
              <wp:docPr id="131" name="Shape 131"/>
              <a:graphic xmlns:a="http://schemas.openxmlformats.org/drawingml/2006/main">
                <a:graphicData uri="http://schemas.microsoft.com/office/word/2010/wordprocessingShape">
                  <wps:wsp>
                    <wps:cNvSpPr txBox="1"/>
                    <wps:spPr>
                      <a:xfrm>
                        <a:ext cx="701040" cy="26543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wps:txbx>
                    <wps:bodyPr wrap="none" lIns="0" tIns="0" rIns="0" bIns="0">
                      <a:spAutoFit/>
                    </wps:bodyPr>
                  </wps:wsp>
                </a:graphicData>
              </a:graphic>
            </wp:anchor>
          </w:drawing>
        </mc:Choice>
        <mc:Fallback>
          <w:pict>
            <v:shape id="_x0000_s1157" type="#_x0000_t202" style="position:absolute;margin-left:695.10000000000002pt;margin-top:78.150000000000006pt;width:55.200000000000003pt;height:20.899999999999999pt;z-index:-188744004;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v:textbox>
              <w10:wrap anchorx="page" anchory="page"/>
            </v:shape>
          </w:pict>
        </mc:Fallback>
      </mc:AlternateContent>
    </w: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1" behindDoc="1" locked="0" layoutInCell="1" allowOverlap="1">
              <wp:simplePos x="0" y="0"/>
              <wp:positionH relativeFrom="page">
                <wp:posOffset>2408555</wp:posOffset>
              </wp:positionH>
              <wp:positionV relativeFrom="page">
                <wp:posOffset>247015</wp:posOffset>
              </wp:positionV>
              <wp:extent cx="4693920" cy="868680"/>
              <wp:wrapNone/>
              <wp:docPr id="139" name="Shape 139"/>
              <a:graphic xmlns:a="http://schemas.openxmlformats.org/drawingml/2006/main">
                <a:graphicData uri="http://schemas.microsoft.com/office/word/2010/wordprocessingShape">
                  <wps:wsp>
                    <wps:cNvSpPr txBox="1"/>
                    <wps:spPr>
                      <a:xfrm>
                        <a:ext cx="4693920" cy="86868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wps:txbx>
                    <wps:bodyPr wrap="none" lIns="0" tIns="0" rIns="0" bIns="0">
                      <a:spAutoFit/>
                    </wps:bodyPr>
                  </wps:wsp>
                </a:graphicData>
              </a:graphic>
            </wp:anchor>
          </w:drawing>
        </mc:Choice>
        <mc:Fallback>
          <w:pict>
            <v:shape id="_x0000_s1165" type="#_x0000_t202" style="position:absolute;margin-left:189.65000000000001pt;margin-top:19.449999999999999pt;width:369.60000000000002pt;height:68.400000000000006pt;z-index:-188744002;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v:textbox>
              <w10:wrap anchorx="page" anchory="page"/>
            </v:shape>
          </w:pict>
        </mc:Fallback>
      </mc:AlternateContent>
    </w:r>
    <w:r>
      <mc:AlternateContent>
        <mc:Choice Requires="wps">
          <w:drawing>
            <wp:anchor distT="0" distB="0" distL="0" distR="0" simplePos="0" relativeHeight="62914753" behindDoc="1" locked="0" layoutInCell="1" allowOverlap="1">
              <wp:simplePos x="0" y="0"/>
              <wp:positionH relativeFrom="page">
                <wp:posOffset>8827770</wp:posOffset>
              </wp:positionH>
              <wp:positionV relativeFrom="page">
                <wp:posOffset>770890</wp:posOffset>
              </wp:positionV>
              <wp:extent cx="701040" cy="265430"/>
              <wp:wrapNone/>
              <wp:docPr id="141" name="Shape 141"/>
              <a:graphic xmlns:a="http://schemas.openxmlformats.org/drawingml/2006/main">
                <a:graphicData uri="http://schemas.microsoft.com/office/word/2010/wordprocessingShape">
                  <wps:wsp>
                    <wps:cNvSpPr txBox="1"/>
                    <wps:spPr>
                      <a:xfrm>
                        <a:ext cx="701040" cy="26543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wps:txbx>
                    <wps:bodyPr wrap="none" lIns="0" tIns="0" rIns="0" bIns="0">
                      <a:spAutoFit/>
                    </wps:bodyPr>
                  </wps:wsp>
                </a:graphicData>
              </a:graphic>
            </wp:anchor>
          </w:drawing>
        </mc:Choice>
        <mc:Fallback>
          <w:pict>
            <v:shape id="_x0000_s1167" type="#_x0000_t202" style="position:absolute;margin-left:695.10000000000002pt;margin-top:60.700000000000003pt;width:55.200000000000003pt;height:20.899999999999999pt;z-index:-188744000;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v:textbox>
              <w10:wrap anchorx="page" anchory="page"/>
            </v:shape>
          </w:pict>
        </mc:Fallback>
      </mc:AlternateContent>
    </w: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5" behindDoc="1" locked="0" layoutInCell="1" allowOverlap="1">
              <wp:simplePos x="0" y="0"/>
              <wp:positionH relativeFrom="page">
                <wp:posOffset>2408555</wp:posOffset>
              </wp:positionH>
              <wp:positionV relativeFrom="page">
                <wp:posOffset>247015</wp:posOffset>
              </wp:positionV>
              <wp:extent cx="4693920" cy="868680"/>
              <wp:wrapNone/>
              <wp:docPr id="143" name="Shape 143"/>
              <a:graphic xmlns:a="http://schemas.openxmlformats.org/drawingml/2006/main">
                <a:graphicData uri="http://schemas.microsoft.com/office/word/2010/wordprocessingShape">
                  <wps:wsp>
                    <wps:cNvSpPr txBox="1"/>
                    <wps:spPr>
                      <a:xfrm>
                        <a:ext cx="4693920" cy="86868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wps:txbx>
                    <wps:bodyPr wrap="none" lIns="0" tIns="0" rIns="0" bIns="0">
                      <a:spAutoFit/>
                    </wps:bodyPr>
                  </wps:wsp>
                </a:graphicData>
              </a:graphic>
            </wp:anchor>
          </w:drawing>
        </mc:Choice>
        <mc:Fallback>
          <w:pict>
            <v:shape id="_x0000_s1169" type="#_x0000_t202" style="position:absolute;margin-left:189.65000000000001pt;margin-top:19.449999999999999pt;width:369.60000000000002pt;height:68.400000000000006pt;z-index:-188743998;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v:textbox>
              <w10:wrap anchorx="page" anchory="page"/>
            </v:shape>
          </w:pict>
        </mc:Fallback>
      </mc:AlternateContent>
    </w:r>
    <w:r>
      <mc:AlternateContent>
        <mc:Choice Requires="wps">
          <w:drawing>
            <wp:anchor distT="0" distB="0" distL="0" distR="0" simplePos="0" relativeHeight="62914757" behindDoc="1" locked="0" layoutInCell="1" allowOverlap="1">
              <wp:simplePos x="0" y="0"/>
              <wp:positionH relativeFrom="page">
                <wp:posOffset>8827770</wp:posOffset>
              </wp:positionH>
              <wp:positionV relativeFrom="page">
                <wp:posOffset>770890</wp:posOffset>
              </wp:positionV>
              <wp:extent cx="701040" cy="265430"/>
              <wp:wrapNone/>
              <wp:docPr id="145" name="Shape 145"/>
              <a:graphic xmlns:a="http://schemas.openxmlformats.org/drawingml/2006/main">
                <a:graphicData uri="http://schemas.microsoft.com/office/word/2010/wordprocessingShape">
                  <wps:wsp>
                    <wps:cNvSpPr txBox="1"/>
                    <wps:spPr>
                      <a:xfrm>
                        <a:ext cx="701040" cy="26543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wps:txbx>
                    <wps:bodyPr wrap="none" lIns="0" tIns="0" rIns="0" bIns="0">
                      <a:spAutoFit/>
                    </wps:bodyPr>
                  </wps:wsp>
                </a:graphicData>
              </a:graphic>
            </wp:anchor>
          </w:drawing>
        </mc:Choice>
        <mc:Fallback>
          <w:pict>
            <v:shape id="_x0000_s1171" type="#_x0000_t202" style="position:absolute;margin-left:695.10000000000002pt;margin-top:60.700000000000003pt;width:55.200000000000003pt;height:20.899999999999999pt;z-index:-188743996;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v:textbox>
              <w10:wrap anchorx="page" anchory="page"/>
            </v:shape>
          </w:pict>
        </mc:Fallback>
      </mc:AlternateContent>
    </w: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9" behindDoc="1" locked="0" layoutInCell="1" allowOverlap="1">
              <wp:simplePos x="0" y="0"/>
              <wp:positionH relativeFrom="page">
                <wp:posOffset>8827770</wp:posOffset>
              </wp:positionH>
              <wp:positionV relativeFrom="page">
                <wp:posOffset>992505</wp:posOffset>
              </wp:positionV>
              <wp:extent cx="701040" cy="265430"/>
              <wp:wrapNone/>
              <wp:docPr id="147" name="Shape 147"/>
              <a:graphic xmlns:a="http://schemas.openxmlformats.org/drawingml/2006/main">
                <a:graphicData uri="http://schemas.microsoft.com/office/word/2010/wordprocessingShape">
                  <wps:wsp>
                    <wps:cNvSpPr txBox="1"/>
                    <wps:spPr>
                      <a:xfrm>
                        <a:ext cx="701040" cy="26543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wps:txbx>
                    <wps:bodyPr wrap="none" lIns="0" tIns="0" rIns="0" bIns="0">
                      <a:spAutoFit/>
                    </wps:bodyPr>
                  </wps:wsp>
                </a:graphicData>
              </a:graphic>
            </wp:anchor>
          </w:drawing>
        </mc:Choice>
        <mc:Fallback>
          <w:pict>
            <v:shape id="_x0000_s1173" type="#_x0000_t202" style="position:absolute;margin-left:695.10000000000002pt;margin-top:78.150000000000006pt;width:55.200000000000003pt;height:20.899999999999999pt;z-index:-188743994;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v:textbox>
              <w10:wrap anchorx="page" anchory="page"/>
            </v:shape>
          </w:pict>
        </mc:Fallback>
      </mc:AlternateContent>
    </w: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1" behindDoc="1" locked="0" layoutInCell="1" allowOverlap="1">
              <wp:simplePos x="0" y="0"/>
              <wp:positionH relativeFrom="page">
                <wp:posOffset>2408555</wp:posOffset>
              </wp:positionH>
              <wp:positionV relativeFrom="page">
                <wp:posOffset>247015</wp:posOffset>
              </wp:positionV>
              <wp:extent cx="4693920" cy="868680"/>
              <wp:wrapNone/>
              <wp:docPr id="155" name="Shape 155"/>
              <a:graphic xmlns:a="http://schemas.openxmlformats.org/drawingml/2006/main">
                <a:graphicData uri="http://schemas.microsoft.com/office/word/2010/wordprocessingShape">
                  <wps:wsp>
                    <wps:cNvSpPr txBox="1"/>
                    <wps:spPr>
                      <a:xfrm>
                        <a:ext cx="4693920" cy="86868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wps:txbx>
                    <wps:bodyPr wrap="none" lIns="0" tIns="0" rIns="0" bIns="0">
                      <a:spAutoFit/>
                    </wps:bodyPr>
                  </wps:wsp>
                </a:graphicData>
              </a:graphic>
            </wp:anchor>
          </w:drawing>
        </mc:Choice>
        <mc:Fallback>
          <w:pict>
            <v:shape id="_x0000_s1181" type="#_x0000_t202" style="position:absolute;margin-left:189.65000000000001pt;margin-top:19.449999999999999pt;width:369.60000000000002pt;height:68.400000000000006pt;z-index:-188743992;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v:textbox>
              <w10:wrap anchorx="page" anchory="page"/>
            </v:shape>
          </w:pict>
        </mc:Fallback>
      </mc:AlternateContent>
    </w:r>
    <w:r>
      <mc:AlternateContent>
        <mc:Choice Requires="wps">
          <w:drawing>
            <wp:anchor distT="0" distB="0" distL="0" distR="0" simplePos="0" relativeHeight="62914763" behindDoc="1" locked="0" layoutInCell="1" allowOverlap="1">
              <wp:simplePos x="0" y="0"/>
              <wp:positionH relativeFrom="page">
                <wp:posOffset>8827770</wp:posOffset>
              </wp:positionH>
              <wp:positionV relativeFrom="page">
                <wp:posOffset>770890</wp:posOffset>
              </wp:positionV>
              <wp:extent cx="701040" cy="265430"/>
              <wp:wrapNone/>
              <wp:docPr id="157" name="Shape 157"/>
              <a:graphic xmlns:a="http://schemas.openxmlformats.org/drawingml/2006/main">
                <a:graphicData uri="http://schemas.microsoft.com/office/word/2010/wordprocessingShape">
                  <wps:wsp>
                    <wps:cNvSpPr txBox="1"/>
                    <wps:spPr>
                      <a:xfrm>
                        <a:ext cx="701040" cy="26543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wps:txbx>
                    <wps:bodyPr wrap="none" lIns="0" tIns="0" rIns="0" bIns="0">
                      <a:spAutoFit/>
                    </wps:bodyPr>
                  </wps:wsp>
                </a:graphicData>
              </a:graphic>
            </wp:anchor>
          </w:drawing>
        </mc:Choice>
        <mc:Fallback>
          <w:pict>
            <v:shape id="_x0000_s1183" type="#_x0000_t202" style="position:absolute;margin-left:695.10000000000002pt;margin-top:60.700000000000003pt;width:55.200000000000003pt;height:20.899999999999999pt;z-index:-188743990;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v:textbox>
              <w10:wrap anchorx="page" anchory="page"/>
            </v:shape>
          </w:pict>
        </mc:Fallback>
      </mc:AlternateContent>
    </w:r>
  </w:p>
</w:hdr>
</file>

<file path=word/header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5" behindDoc="1" locked="0" layoutInCell="1" allowOverlap="1">
              <wp:simplePos x="0" y="0"/>
              <wp:positionH relativeFrom="page">
                <wp:posOffset>2408555</wp:posOffset>
              </wp:positionH>
              <wp:positionV relativeFrom="page">
                <wp:posOffset>247015</wp:posOffset>
              </wp:positionV>
              <wp:extent cx="4693920" cy="868680"/>
              <wp:wrapNone/>
              <wp:docPr id="159" name="Shape 159"/>
              <a:graphic xmlns:a="http://schemas.openxmlformats.org/drawingml/2006/main">
                <a:graphicData uri="http://schemas.microsoft.com/office/word/2010/wordprocessingShape">
                  <wps:wsp>
                    <wps:cNvSpPr txBox="1"/>
                    <wps:spPr>
                      <a:xfrm>
                        <a:ext cx="4693920" cy="86868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wps:txbx>
                    <wps:bodyPr wrap="none" lIns="0" tIns="0" rIns="0" bIns="0">
                      <a:spAutoFit/>
                    </wps:bodyPr>
                  </wps:wsp>
                </a:graphicData>
              </a:graphic>
            </wp:anchor>
          </w:drawing>
        </mc:Choice>
        <mc:Fallback>
          <w:pict>
            <v:shape id="_x0000_s1185" type="#_x0000_t202" style="position:absolute;margin-left:189.65000000000001pt;margin-top:19.449999999999999pt;width:369.60000000000002pt;height:68.400000000000006pt;z-index:-188743988;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v:textbox>
              <w10:wrap anchorx="page" anchory="page"/>
            </v:shape>
          </w:pict>
        </mc:Fallback>
      </mc:AlternateContent>
    </w:r>
    <w:r>
      <mc:AlternateContent>
        <mc:Choice Requires="wps">
          <w:drawing>
            <wp:anchor distT="0" distB="0" distL="0" distR="0" simplePos="0" relativeHeight="62914767" behindDoc="1" locked="0" layoutInCell="1" allowOverlap="1">
              <wp:simplePos x="0" y="0"/>
              <wp:positionH relativeFrom="page">
                <wp:posOffset>8827770</wp:posOffset>
              </wp:positionH>
              <wp:positionV relativeFrom="page">
                <wp:posOffset>770890</wp:posOffset>
              </wp:positionV>
              <wp:extent cx="701040" cy="265430"/>
              <wp:wrapNone/>
              <wp:docPr id="161" name="Shape 161"/>
              <a:graphic xmlns:a="http://schemas.openxmlformats.org/drawingml/2006/main">
                <a:graphicData uri="http://schemas.microsoft.com/office/word/2010/wordprocessingShape">
                  <wps:wsp>
                    <wps:cNvSpPr txBox="1"/>
                    <wps:spPr>
                      <a:xfrm>
                        <a:ext cx="701040" cy="26543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wps:txbx>
                    <wps:bodyPr wrap="none" lIns="0" tIns="0" rIns="0" bIns="0">
                      <a:spAutoFit/>
                    </wps:bodyPr>
                  </wps:wsp>
                </a:graphicData>
              </a:graphic>
            </wp:anchor>
          </w:drawing>
        </mc:Choice>
        <mc:Fallback>
          <w:pict>
            <v:shape id="_x0000_s1187" type="#_x0000_t202" style="position:absolute;margin-left:695.10000000000002pt;margin-top:60.700000000000003pt;width:55.200000000000003pt;height:20.899999999999999pt;z-index:-188743986;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v:textbox>
              <w10:wrap anchorx="page" anchory="page"/>
            </v:shape>
          </w:pict>
        </mc:Fallback>
      </mc:AlternateContent>
    </w:r>
  </w:p>
</w:hdr>
</file>

<file path=word/header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9" behindDoc="1" locked="0" layoutInCell="1" allowOverlap="1">
              <wp:simplePos x="0" y="0"/>
              <wp:positionH relativeFrom="page">
                <wp:posOffset>2408555</wp:posOffset>
              </wp:positionH>
              <wp:positionV relativeFrom="page">
                <wp:posOffset>247015</wp:posOffset>
              </wp:positionV>
              <wp:extent cx="4693920" cy="868680"/>
              <wp:wrapNone/>
              <wp:docPr id="175" name="Shape 175"/>
              <a:graphic xmlns:a="http://schemas.openxmlformats.org/drawingml/2006/main">
                <a:graphicData uri="http://schemas.microsoft.com/office/word/2010/wordprocessingShape">
                  <wps:wsp>
                    <wps:cNvSpPr txBox="1"/>
                    <wps:spPr>
                      <a:xfrm>
                        <a:ext cx="4693920" cy="86868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wps:txbx>
                    <wps:bodyPr wrap="none" lIns="0" tIns="0" rIns="0" bIns="0">
                      <a:spAutoFit/>
                    </wps:bodyPr>
                  </wps:wsp>
                </a:graphicData>
              </a:graphic>
            </wp:anchor>
          </w:drawing>
        </mc:Choice>
        <mc:Fallback>
          <w:pict>
            <v:shape id="_x0000_s1201" type="#_x0000_t202" style="position:absolute;margin-left:189.65000000000001pt;margin-top:19.449999999999999pt;width:369.60000000000002pt;height:68.400000000000006pt;z-index:-188743984;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v:textbox>
              <w10:wrap anchorx="page" anchory="page"/>
            </v:shape>
          </w:pict>
        </mc:Fallback>
      </mc:AlternateContent>
    </w:r>
    <w:r>
      <mc:AlternateContent>
        <mc:Choice Requires="wps">
          <w:drawing>
            <wp:anchor distT="0" distB="0" distL="0" distR="0" simplePos="0" relativeHeight="62914771" behindDoc="1" locked="0" layoutInCell="1" allowOverlap="1">
              <wp:simplePos x="0" y="0"/>
              <wp:positionH relativeFrom="page">
                <wp:posOffset>8827770</wp:posOffset>
              </wp:positionH>
              <wp:positionV relativeFrom="page">
                <wp:posOffset>770890</wp:posOffset>
              </wp:positionV>
              <wp:extent cx="701040" cy="265430"/>
              <wp:wrapNone/>
              <wp:docPr id="177" name="Shape 177"/>
              <a:graphic xmlns:a="http://schemas.openxmlformats.org/drawingml/2006/main">
                <a:graphicData uri="http://schemas.microsoft.com/office/word/2010/wordprocessingShape">
                  <wps:wsp>
                    <wps:cNvSpPr txBox="1"/>
                    <wps:spPr>
                      <a:xfrm>
                        <a:ext cx="701040" cy="26543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wps:txbx>
                    <wps:bodyPr wrap="none" lIns="0" tIns="0" rIns="0" bIns="0">
                      <a:spAutoFit/>
                    </wps:bodyPr>
                  </wps:wsp>
                </a:graphicData>
              </a:graphic>
            </wp:anchor>
          </w:drawing>
        </mc:Choice>
        <mc:Fallback>
          <w:pict>
            <v:shape id="_x0000_s1203" type="#_x0000_t202" style="position:absolute;margin-left:695.10000000000002pt;margin-top:60.700000000000003pt;width:55.200000000000003pt;height:20.899999999999999pt;z-index:-188743982;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v:textbox>
              <w10:wrap anchorx="page" anchory="page"/>
            </v:shape>
          </w:pict>
        </mc:Fallback>
      </mc:AlternateContent>
    </w:r>
  </w:p>
</w:hdr>
</file>

<file path=word/header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3" behindDoc="1" locked="0" layoutInCell="1" allowOverlap="1">
              <wp:simplePos x="0" y="0"/>
              <wp:positionH relativeFrom="page">
                <wp:posOffset>8827770</wp:posOffset>
              </wp:positionH>
              <wp:positionV relativeFrom="page">
                <wp:posOffset>992505</wp:posOffset>
              </wp:positionV>
              <wp:extent cx="701040" cy="265430"/>
              <wp:wrapNone/>
              <wp:docPr id="179" name="Shape 179"/>
              <a:graphic xmlns:a="http://schemas.openxmlformats.org/drawingml/2006/main">
                <a:graphicData uri="http://schemas.microsoft.com/office/word/2010/wordprocessingShape">
                  <wps:wsp>
                    <wps:cNvSpPr txBox="1"/>
                    <wps:spPr>
                      <a:xfrm>
                        <a:ext cx="701040" cy="26543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wps:txbx>
                    <wps:bodyPr wrap="none" lIns="0" tIns="0" rIns="0" bIns="0">
                      <a:spAutoFit/>
                    </wps:bodyPr>
                  </wps:wsp>
                </a:graphicData>
              </a:graphic>
            </wp:anchor>
          </w:drawing>
        </mc:Choice>
        <mc:Fallback>
          <w:pict>
            <v:shape id="_x0000_s1205" type="#_x0000_t202" style="position:absolute;margin-left:695.10000000000002pt;margin-top:78.150000000000006pt;width:55.200000000000003pt;height:20.899999999999999pt;z-index:-188743980;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v:textbox>
              <w10:wrap anchorx="page" anchory="page"/>
            </v:shape>
          </w:pict>
        </mc:Fallback>
      </mc:AlternateContent>
    </w:r>
  </w:p>
</w:hdr>
</file>

<file path=word/header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5" behindDoc="1" locked="0" layoutInCell="1" allowOverlap="1">
              <wp:simplePos x="0" y="0"/>
              <wp:positionH relativeFrom="page">
                <wp:posOffset>2408555</wp:posOffset>
              </wp:positionH>
              <wp:positionV relativeFrom="page">
                <wp:posOffset>247015</wp:posOffset>
              </wp:positionV>
              <wp:extent cx="4693920" cy="868680"/>
              <wp:wrapNone/>
              <wp:docPr id="181" name="Shape 181"/>
              <a:graphic xmlns:a="http://schemas.openxmlformats.org/drawingml/2006/main">
                <a:graphicData uri="http://schemas.microsoft.com/office/word/2010/wordprocessingShape">
                  <wps:wsp>
                    <wps:cNvSpPr txBox="1"/>
                    <wps:spPr>
                      <a:xfrm>
                        <a:ext cx="4693920" cy="86868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wps:txbx>
                    <wps:bodyPr wrap="none" lIns="0" tIns="0" rIns="0" bIns="0">
                      <a:spAutoFit/>
                    </wps:bodyPr>
                  </wps:wsp>
                </a:graphicData>
              </a:graphic>
            </wp:anchor>
          </w:drawing>
        </mc:Choice>
        <mc:Fallback>
          <w:pict>
            <v:shape id="_x0000_s1207" type="#_x0000_t202" style="position:absolute;margin-left:189.65000000000001pt;margin-top:19.449999999999999pt;width:369.60000000000002pt;height:68.400000000000006pt;z-index:-188743978;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v:textbox>
              <w10:wrap anchorx="page" anchory="page"/>
            </v:shape>
          </w:pict>
        </mc:Fallback>
      </mc:AlternateContent>
    </w:r>
    <w:r>
      <mc:AlternateContent>
        <mc:Choice Requires="wps">
          <w:drawing>
            <wp:anchor distT="0" distB="0" distL="0" distR="0" simplePos="0" relativeHeight="62914777" behindDoc="1" locked="0" layoutInCell="1" allowOverlap="1">
              <wp:simplePos x="0" y="0"/>
              <wp:positionH relativeFrom="page">
                <wp:posOffset>8827770</wp:posOffset>
              </wp:positionH>
              <wp:positionV relativeFrom="page">
                <wp:posOffset>770890</wp:posOffset>
              </wp:positionV>
              <wp:extent cx="701040" cy="265430"/>
              <wp:wrapNone/>
              <wp:docPr id="183" name="Shape 183"/>
              <a:graphic xmlns:a="http://schemas.openxmlformats.org/drawingml/2006/main">
                <a:graphicData uri="http://schemas.microsoft.com/office/word/2010/wordprocessingShape">
                  <wps:wsp>
                    <wps:cNvSpPr txBox="1"/>
                    <wps:spPr>
                      <a:xfrm>
                        <a:ext cx="701040" cy="26543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wps:txbx>
                    <wps:bodyPr wrap="none" lIns="0" tIns="0" rIns="0" bIns="0">
                      <a:spAutoFit/>
                    </wps:bodyPr>
                  </wps:wsp>
                </a:graphicData>
              </a:graphic>
            </wp:anchor>
          </w:drawing>
        </mc:Choice>
        <mc:Fallback>
          <w:pict>
            <v:shape id="_x0000_s1209" type="#_x0000_t202" style="position:absolute;margin-left:695.10000000000002pt;margin-top:60.700000000000003pt;width:55.200000000000003pt;height:20.899999999999999pt;z-index:-188743976;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v:textbox>
              <w10:wrap anchorx="page" anchory="page"/>
            </v:shape>
          </w:pict>
        </mc:Fallback>
      </mc:AlternateContent>
    </w:r>
  </w:p>
</w:hdr>
</file>

<file path=word/header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9" behindDoc="1" locked="0" layoutInCell="1" allowOverlap="1">
              <wp:simplePos x="0" y="0"/>
              <wp:positionH relativeFrom="page">
                <wp:posOffset>2408555</wp:posOffset>
              </wp:positionH>
              <wp:positionV relativeFrom="page">
                <wp:posOffset>247015</wp:posOffset>
              </wp:positionV>
              <wp:extent cx="4693920" cy="868680"/>
              <wp:wrapNone/>
              <wp:docPr id="185" name="Shape 185"/>
              <a:graphic xmlns:a="http://schemas.openxmlformats.org/drawingml/2006/main">
                <a:graphicData uri="http://schemas.microsoft.com/office/word/2010/wordprocessingShape">
                  <wps:wsp>
                    <wps:cNvSpPr txBox="1"/>
                    <wps:spPr>
                      <a:xfrm>
                        <a:ext cx="4693920" cy="86868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wps:txbx>
                    <wps:bodyPr wrap="none" lIns="0" tIns="0" rIns="0" bIns="0">
                      <a:spAutoFit/>
                    </wps:bodyPr>
                  </wps:wsp>
                </a:graphicData>
              </a:graphic>
            </wp:anchor>
          </w:drawing>
        </mc:Choice>
        <mc:Fallback>
          <w:pict>
            <v:shape id="_x0000_s1211" type="#_x0000_t202" style="position:absolute;margin-left:189.65000000000001pt;margin-top:19.449999999999999pt;width:369.60000000000002pt;height:68.400000000000006pt;z-index:-188743974;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v:textbox>
              <w10:wrap anchorx="page" anchory="page"/>
            </v:shape>
          </w:pict>
        </mc:Fallback>
      </mc:AlternateContent>
    </w:r>
    <w:r>
      <mc:AlternateContent>
        <mc:Choice Requires="wps">
          <w:drawing>
            <wp:anchor distT="0" distB="0" distL="0" distR="0" simplePos="0" relativeHeight="62914781" behindDoc="1" locked="0" layoutInCell="1" allowOverlap="1">
              <wp:simplePos x="0" y="0"/>
              <wp:positionH relativeFrom="page">
                <wp:posOffset>8827770</wp:posOffset>
              </wp:positionH>
              <wp:positionV relativeFrom="page">
                <wp:posOffset>770890</wp:posOffset>
              </wp:positionV>
              <wp:extent cx="701040" cy="265430"/>
              <wp:wrapNone/>
              <wp:docPr id="187" name="Shape 187"/>
              <a:graphic xmlns:a="http://schemas.openxmlformats.org/drawingml/2006/main">
                <a:graphicData uri="http://schemas.microsoft.com/office/word/2010/wordprocessingShape">
                  <wps:wsp>
                    <wps:cNvSpPr txBox="1"/>
                    <wps:spPr>
                      <a:xfrm>
                        <a:ext cx="701040" cy="26543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wps:txbx>
                    <wps:bodyPr wrap="none" lIns="0" tIns="0" rIns="0" bIns="0">
                      <a:spAutoFit/>
                    </wps:bodyPr>
                  </wps:wsp>
                </a:graphicData>
              </a:graphic>
            </wp:anchor>
          </w:drawing>
        </mc:Choice>
        <mc:Fallback>
          <w:pict>
            <v:shape id="_x0000_s1213" type="#_x0000_t202" style="position:absolute;margin-left:695.10000000000002pt;margin-top:60.700000000000003pt;width:55.200000000000003pt;height:20.899999999999999pt;z-index:-188743972;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v:textbox>
              <w10:wrap anchorx="page" anchory="page"/>
            </v:shape>
          </w:pict>
        </mc:Fallback>
      </mc:AlternateContent>
    </w:r>
  </w:p>
</w:hdr>
</file>

<file path=word/header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3" behindDoc="1" locked="0" layoutInCell="1" allowOverlap="1">
              <wp:simplePos x="0" y="0"/>
              <wp:positionH relativeFrom="page">
                <wp:posOffset>2408555</wp:posOffset>
              </wp:positionH>
              <wp:positionV relativeFrom="page">
                <wp:posOffset>247015</wp:posOffset>
              </wp:positionV>
              <wp:extent cx="4693920" cy="868680"/>
              <wp:wrapNone/>
              <wp:docPr id="195" name="Shape 195"/>
              <a:graphic xmlns:a="http://schemas.openxmlformats.org/drawingml/2006/main">
                <a:graphicData uri="http://schemas.microsoft.com/office/word/2010/wordprocessingShape">
                  <wps:wsp>
                    <wps:cNvSpPr txBox="1"/>
                    <wps:spPr>
                      <a:xfrm>
                        <a:ext cx="4693920" cy="86868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wps:txbx>
                    <wps:bodyPr wrap="none" lIns="0" tIns="0" rIns="0" bIns="0">
                      <a:spAutoFit/>
                    </wps:bodyPr>
                  </wps:wsp>
                </a:graphicData>
              </a:graphic>
            </wp:anchor>
          </w:drawing>
        </mc:Choice>
        <mc:Fallback>
          <w:pict>
            <v:shape id="_x0000_s1221" type="#_x0000_t202" style="position:absolute;margin-left:189.65000000000001pt;margin-top:19.449999999999999pt;width:369.60000000000002pt;height:68.400000000000006pt;z-index:-188743970;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32"/>
                        <w:szCs w:val="32"/>
                      </w:rPr>
                    </w:pPr>
                    <w:r>
                      <w:rPr>
                        <w:b/>
                        <w:bCs/>
                        <w:color w:val="000000"/>
                        <w:spacing w:val="0"/>
                        <w:w w:val="100"/>
                        <w:position w:val="0"/>
                        <w:sz w:val="32"/>
                        <w:szCs w:val="32"/>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LEI DE DIRETRIZES </w:t>
                    </w:r>
                    <w:r>
                      <w:rPr>
                        <w:color w:val="000000"/>
                        <w:spacing w:val="0"/>
                        <w:w w:val="100"/>
                        <w:position w:val="0"/>
                        <w:sz w:val="20"/>
                        <w:szCs w:val="20"/>
                        <w:shd w:val="clear" w:color="auto" w:fill="auto"/>
                        <w:lang w:val="pt-BR" w:eastAsia="pt-BR" w:bidi="pt-BR"/>
                      </w:rPr>
                      <w:t xml:space="preserve">ORÇAMENTÁRIAS </w:t>
                    </w:r>
                    <w:r>
                      <w:rPr>
                        <w:color w:val="000000"/>
                        <w:spacing w:val="0"/>
                        <w:w w:val="100"/>
                        <w:position w:val="0"/>
                        <w:sz w:val="20"/>
                        <w:szCs w:val="20"/>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II.b - Demonstrativo da Despesa por Órgão, Unidade, Programa e , Projeto/Atividade</w:t>
                    </w:r>
                  </w:p>
                </w:txbxContent>
              </v:textbox>
              <w10:wrap anchorx="page" anchory="page"/>
            </v:shape>
          </w:pict>
        </mc:Fallback>
      </mc:AlternateContent>
    </w:r>
    <w:r>
      <mc:AlternateContent>
        <mc:Choice Requires="wps">
          <w:drawing>
            <wp:anchor distT="0" distB="0" distL="0" distR="0" simplePos="0" relativeHeight="62914785" behindDoc="1" locked="0" layoutInCell="1" allowOverlap="1">
              <wp:simplePos x="0" y="0"/>
              <wp:positionH relativeFrom="page">
                <wp:posOffset>8827770</wp:posOffset>
              </wp:positionH>
              <wp:positionV relativeFrom="page">
                <wp:posOffset>770890</wp:posOffset>
              </wp:positionV>
              <wp:extent cx="701040" cy="265430"/>
              <wp:wrapNone/>
              <wp:docPr id="197" name="Shape 197"/>
              <a:graphic xmlns:a="http://schemas.openxmlformats.org/drawingml/2006/main">
                <a:graphicData uri="http://schemas.microsoft.com/office/word/2010/wordprocessingShape">
                  <wps:wsp>
                    <wps:cNvSpPr txBox="1"/>
                    <wps:spPr>
                      <a:xfrm>
                        <a:ext cx="701040" cy="26543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wps:txbx>
                    <wps:bodyPr wrap="none" lIns="0" tIns="0" rIns="0" bIns="0">
                      <a:spAutoFit/>
                    </wps:bodyPr>
                  </wps:wsp>
                </a:graphicData>
              </a:graphic>
            </wp:anchor>
          </w:drawing>
        </mc:Choice>
        <mc:Fallback>
          <w:pict>
            <v:shape id="_x0000_s1223" type="#_x0000_t202" style="position:absolute;margin-left:695.10000000000002pt;margin-top:60.700000000000003pt;width:55.200000000000003pt;height:20.899999999999999pt;z-index:-188743968;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20"/>
                          <w:szCs w:val="20"/>
                          <w:shd w:val="clear" w:color="auto" w:fill="auto"/>
                          <w:lang w:val="pt-PT" w:eastAsia="pt-PT" w:bidi="pt-PT"/>
                        </w:rPr>
                        <w:t>#</w:t>
                      </w:r>
                    </w:fldSimple>
                  </w:p>
                  <w:p>
                    <w:pPr>
                      <w:pStyle w:val="Style4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Em Real (R$)</w:t>
                    </w:r>
                  </w:p>
                </w:txbxContent>
              </v:textbox>
              <w10:wrap anchorx="page" anchory="page"/>
            </v:shape>
          </w:pict>
        </mc:Fallback>
      </mc:AlternateContent>
    </w:r>
  </w:p>
</w:hdr>
</file>

<file path=word/header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7" behindDoc="1" locked="0" layoutInCell="1" allowOverlap="1">
              <wp:simplePos x="0" y="0"/>
              <wp:positionH relativeFrom="page">
                <wp:posOffset>2042160</wp:posOffset>
              </wp:positionH>
              <wp:positionV relativeFrom="page">
                <wp:posOffset>460375</wp:posOffset>
              </wp:positionV>
              <wp:extent cx="3437890" cy="655320"/>
              <wp:wrapNone/>
              <wp:docPr id="205" name="Shape 205"/>
              <a:graphic xmlns:a="http://schemas.openxmlformats.org/drawingml/2006/main">
                <a:graphicData uri="http://schemas.microsoft.com/office/word/2010/wordprocessingShape">
                  <wps:wsp>
                    <wps:cNvSpPr txBox="1"/>
                    <wps:spPr>
                      <a:xfrm>
                        <a:ext cx="3437890" cy="65532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 xml:space="preserve">LEI DE DIRETRIZES </w:t>
                          </w:r>
                          <w:r>
                            <w:rPr>
                              <w:color w:val="000000"/>
                              <w:spacing w:val="0"/>
                              <w:w w:val="100"/>
                              <w:position w:val="0"/>
                              <w:sz w:val="18"/>
                              <w:szCs w:val="18"/>
                              <w:shd w:val="clear" w:color="auto" w:fill="auto"/>
                              <w:lang w:val="pt-BR" w:eastAsia="pt-BR" w:bidi="pt-BR"/>
                            </w:rPr>
                            <w:t xml:space="preserve">ORÇAMENTÁRIAS </w:t>
                          </w:r>
                          <w:r>
                            <w:rPr>
                              <w:color w:val="000000"/>
                              <w:spacing w:val="0"/>
                              <w:w w:val="100"/>
                              <w:position w:val="0"/>
                              <w:sz w:val="18"/>
                              <w:szCs w:val="18"/>
                              <w:shd w:val="clear" w:color="auto" w:fill="auto"/>
                              <w:lang w:val="pt-PT" w:eastAsia="pt-PT" w:bidi="pt-PT"/>
                            </w:rPr>
                            <w:t>2026</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III - RESULTADO PRIMÁRIO E NOMINAL</w:t>
                          </w:r>
                        </w:p>
                      </w:txbxContent>
                    </wps:txbx>
                    <wps:bodyPr wrap="none" lIns="0" tIns="0" rIns="0" bIns="0">
                      <a:spAutoFit/>
                    </wps:bodyPr>
                  </wps:wsp>
                </a:graphicData>
              </a:graphic>
            </wp:anchor>
          </w:drawing>
        </mc:Choice>
        <mc:Fallback>
          <w:pict>
            <v:shape id="_x0000_s1231" type="#_x0000_t202" style="position:absolute;margin-left:160.80000000000001pt;margin-top:36.25pt;width:270.69999999999999pt;height:51.600000000000001pt;z-index:-188743966;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 xml:space="preserve">LEI DE DIRETRIZES </w:t>
                    </w:r>
                    <w:r>
                      <w:rPr>
                        <w:color w:val="000000"/>
                        <w:spacing w:val="0"/>
                        <w:w w:val="100"/>
                        <w:position w:val="0"/>
                        <w:sz w:val="18"/>
                        <w:szCs w:val="18"/>
                        <w:shd w:val="clear" w:color="auto" w:fill="auto"/>
                        <w:lang w:val="pt-BR" w:eastAsia="pt-BR" w:bidi="pt-BR"/>
                      </w:rPr>
                      <w:t xml:space="preserve">ORÇAMENTÁRIAS </w:t>
                    </w:r>
                    <w:r>
                      <w:rPr>
                        <w:color w:val="000000"/>
                        <w:spacing w:val="0"/>
                        <w:w w:val="100"/>
                        <w:position w:val="0"/>
                        <w:sz w:val="18"/>
                        <w:szCs w:val="18"/>
                        <w:shd w:val="clear" w:color="auto" w:fill="auto"/>
                        <w:lang w:val="pt-PT" w:eastAsia="pt-PT" w:bidi="pt-PT"/>
                      </w:rPr>
                      <w:t>2026</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III - RESULTADO PRIMÁRIO E NOMINAL</w:t>
                    </w:r>
                  </w:p>
                </w:txbxContent>
              </v:textbox>
              <w10:wrap anchorx="page" anchory="page"/>
            </v:shape>
          </w:pict>
        </mc:Fallback>
      </mc:AlternateContent>
    </w:r>
  </w:p>
</w:hdr>
</file>

<file path=word/header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9" behindDoc="1" locked="0" layoutInCell="1" allowOverlap="1">
              <wp:simplePos x="0" y="0"/>
              <wp:positionH relativeFrom="page">
                <wp:posOffset>2033270</wp:posOffset>
              </wp:positionH>
              <wp:positionV relativeFrom="page">
                <wp:posOffset>460375</wp:posOffset>
              </wp:positionV>
              <wp:extent cx="3441065" cy="655320"/>
              <wp:wrapNone/>
              <wp:docPr id="211" name="Shape 211"/>
              <a:graphic xmlns:a="http://schemas.openxmlformats.org/drawingml/2006/main">
                <a:graphicData uri="http://schemas.microsoft.com/office/word/2010/wordprocessingShape">
                  <wps:wsp>
                    <wps:cNvSpPr txBox="1"/>
                    <wps:spPr>
                      <a:xfrm>
                        <a:ext cx="3441065" cy="655320"/>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 xml:space="preserve">LEI DE DIRETRIZES </w:t>
                          </w:r>
                          <w:r>
                            <w:rPr>
                              <w:color w:val="000000"/>
                              <w:spacing w:val="0"/>
                              <w:w w:val="100"/>
                              <w:position w:val="0"/>
                              <w:sz w:val="18"/>
                              <w:szCs w:val="18"/>
                              <w:shd w:val="clear" w:color="auto" w:fill="auto"/>
                              <w:lang w:val="pt-BR" w:eastAsia="pt-BR" w:bidi="pt-BR"/>
                            </w:rPr>
                            <w:t xml:space="preserve">ORÇAMENTÁRIAS </w:t>
                          </w:r>
                          <w:r>
                            <w:rPr>
                              <w:color w:val="000000"/>
                              <w:spacing w:val="0"/>
                              <w:w w:val="100"/>
                              <w:position w:val="0"/>
                              <w:sz w:val="18"/>
                              <w:szCs w:val="18"/>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V - MONTANTE DA DÍVIDA PÚBLICA</w:t>
                          </w:r>
                        </w:p>
                      </w:txbxContent>
                    </wps:txbx>
                    <wps:bodyPr wrap="none" lIns="0" tIns="0" rIns="0" bIns="0">
                      <a:spAutoFit/>
                    </wps:bodyPr>
                  </wps:wsp>
                </a:graphicData>
              </a:graphic>
            </wp:anchor>
          </w:drawing>
        </mc:Choice>
        <mc:Fallback>
          <w:pict>
            <v:shape id="_x0000_s1237" type="#_x0000_t202" style="position:absolute;margin-left:160.09999999999999pt;margin-top:36.25pt;width:270.94999999999999pt;height:51.600000000000001pt;z-index:-188743964;mso-wrap-style:none;mso-wrap-distance-left:0;mso-wrap-distance-right:0;mso-position-horizontal-relative:page;mso-position-vertical-relative:page" wrapcoords="0 0" filled="f" stroked="f">
              <v:textbox style="mso-fit-shape-to-text:t" inset="0,0,0,0">
                <w:txbxContent>
                  <w:p>
                    <w:pPr>
                      <w:pStyle w:val="Style48"/>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pt-PT" w:eastAsia="pt-PT" w:bidi="pt-PT"/>
                      </w:rPr>
                      <w:t>Prefeitura Municipal de Maués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ESTADO DO AMAZONAS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 xml:space="preserve">LEI DE DIRETRIZES </w:t>
                    </w:r>
                    <w:r>
                      <w:rPr>
                        <w:color w:val="000000"/>
                        <w:spacing w:val="0"/>
                        <w:w w:val="100"/>
                        <w:position w:val="0"/>
                        <w:sz w:val="18"/>
                        <w:szCs w:val="18"/>
                        <w:shd w:val="clear" w:color="auto" w:fill="auto"/>
                        <w:lang w:val="pt-BR" w:eastAsia="pt-BR" w:bidi="pt-BR"/>
                      </w:rPr>
                      <w:t xml:space="preserve">ORÇAMENTÁRIAS </w:t>
                    </w:r>
                    <w:r>
                      <w:rPr>
                        <w:color w:val="000000"/>
                        <w:spacing w:val="0"/>
                        <w:w w:val="100"/>
                        <w:position w:val="0"/>
                        <w:sz w:val="18"/>
                        <w:szCs w:val="18"/>
                        <w:shd w:val="clear" w:color="auto" w:fill="auto"/>
                        <w:lang w:val="pt-PT" w:eastAsia="pt-PT" w:bidi="pt-PT"/>
                      </w:rPr>
                      <w:t>- 2026</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METODOLOGIA E MEMÓRIA DE CÁLCULO DAS METAS ANUAIS</w:t>
                    </w:r>
                  </w:p>
                  <w:p>
                    <w:pPr>
                      <w:pStyle w:val="Style48"/>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V - MONTANTE DA DÍVIDA PÚBLICA</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4">
    <w:multiLevelType w:val="multilevel"/>
    <w:lvl w:ilvl="0">
      <w:start w:val="2"/>
      <w:numFmt w:val="upperRoman"/>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6">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8">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0">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pt-PT" w:eastAsia="pt-PT" w:bidi="pt-PT"/>
      </w:rPr>
    </w:lvl>
  </w:abstractNum>
  <w:abstractNum w:abstractNumId="12">
    <w:multiLevelType w:val="multilevel"/>
    <w:lvl w:ilvl="0">
      <w:start w:val="3"/>
      <w:numFmt w:val="upperRoman"/>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abstractNum w:abstractNumId="14">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pt-BR" w:eastAsia="pt-BR" w:bidi="pt-BR"/>
      </w:rPr>
    </w:lvl>
  </w:abstractNum>
  <w:abstractNum w:abstractNumId="16">
    <w:multiLevelType w:val="multilevel"/>
    <w:lvl w:ilvl="0">
      <w:start w:val="1"/>
      <w:numFmt w:val="bullet"/>
      <w:lvlText w:val="V"/>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abstractNum w:abstractNumId="18">
    <w:multiLevelType w:val="multilevel"/>
    <w:lvl w:ilvl="0">
      <w:start w:val="6"/>
      <w:numFmt w:val="upperRoman"/>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abstractNum w:abstractNumId="20">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pt-BR" w:eastAsia="pt-BR" w:bidi="pt-BR"/>
      </w:rPr>
    </w:lvl>
  </w:abstractNum>
  <w:abstractNum w:abstractNumId="22">
    <w:multiLevelType w:val="multilevel"/>
    <w:lvl w:ilvl="0">
      <w:start w:val="7"/>
      <w:numFmt w:val="upperRoman"/>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Body text|4_"/>
    <w:basedOn w:val="DefaultParagraphFont"/>
    <w:link w:val="Style2"/>
    <w:rPr>
      <w:b/>
      <w:bCs/>
      <w:i w:val="0"/>
      <w:iCs w:val="0"/>
      <w:smallCaps w:val="0"/>
      <w:strike w:val="0"/>
      <w:sz w:val="22"/>
      <w:szCs w:val="22"/>
      <w:u w:val="none"/>
    </w:rPr>
  </w:style>
  <w:style w:type="character" w:customStyle="1" w:styleId="CharStyle5">
    <w:name w:val="Header or footer|2_"/>
    <w:basedOn w:val="DefaultParagraphFont"/>
    <w:link w:val="Style4"/>
    <w:rPr>
      <w:b w:val="0"/>
      <w:bCs w:val="0"/>
      <w:i w:val="0"/>
      <w:iCs w:val="0"/>
      <w:smallCaps w:val="0"/>
      <w:strike w:val="0"/>
      <w:sz w:val="20"/>
      <w:szCs w:val="20"/>
      <w:u w:val="none"/>
    </w:rPr>
  </w:style>
  <w:style w:type="character" w:customStyle="1" w:styleId="CharStyle9">
    <w:name w:val="Body text|1_"/>
    <w:basedOn w:val="DefaultParagraphFont"/>
    <w:link w:val="Style8"/>
    <w:rPr>
      <w:rFonts w:ascii="Arial" w:eastAsia="Arial" w:hAnsi="Arial" w:cs="Arial"/>
      <w:b w:val="0"/>
      <w:bCs w:val="0"/>
      <w:i w:val="0"/>
      <w:iCs w:val="0"/>
      <w:smallCaps w:val="0"/>
      <w:strike w:val="0"/>
      <w:sz w:val="20"/>
      <w:szCs w:val="20"/>
      <w:u w:val="none"/>
    </w:rPr>
  </w:style>
  <w:style w:type="character" w:customStyle="1" w:styleId="CharStyle12">
    <w:name w:val="Picture caption|1_"/>
    <w:basedOn w:val="DefaultParagraphFont"/>
    <w:link w:val="Style11"/>
    <w:rPr>
      <w:rFonts w:ascii="Arial" w:eastAsia="Arial" w:hAnsi="Arial" w:cs="Arial"/>
      <w:b w:val="0"/>
      <w:bCs w:val="0"/>
      <w:i w:val="0"/>
      <w:iCs w:val="0"/>
      <w:smallCaps w:val="0"/>
      <w:strike w:val="0"/>
      <w:sz w:val="20"/>
      <w:szCs w:val="20"/>
      <w:u w:val="none"/>
    </w:rPr>
  </w:style>
  <w:style w:type="character" w:customStyle="1" w:styleId="CharStyle17">
    <w:name w:val="Body text|5_"/>
    <w:basedOn w:val="DefaultParagraphFont"/>
    <w:link w:val="Style16"/>
    <w:rPr>
      <w:rFonts w:ascii="Arial" w:eastAsia="Arial" w:hAnsi="Arial" w:cs="Arial"/>
      <w:b w:val="0"/>
      <w:bCs w:val="0"/>
      <w:i w:val="0"/>
      <w:iCs w:val="0"/>
      <w:smallCaps w:val="0"/>
      <w:strike w:val="0"/>
      <w:sz w:val="16"/>
      <w:szCs w:val="16"/>
      <w:u w:val="none"/>
    </w:rPr>
  </w:style>
  <w:style w:type="character" w:customStyle="1" w:styleId="CharStyle19">
    <w:name w:val="Body text|3_"/>
    <w:basedOn w:val="DefaultParagraphFont"/>
    <w:link w:val="Style18"/>
    <w:rPr>
      <w:b w:val="0"/>
      <w:bCs w:val="0"/>
      <w:i w:val="0"/>
      <w:iCs w:val="0"/>
      <w:smallCaps w:val="0"/>
      <w:strike w:val="0"/>
      <w:sz w:val="18"/>
      <w:szCs w:val="18"/>
      <w:u w:val="none"/>
    </w:rPr>
  </w:style>
  <w:style w:type="character" w:customStyle="1" w:styleId="CharStyle22">
    <w:name w:val="Body text|6_"/>
    <w:basedOn w:val="DefaultParagraphFont"/>
    <w:link w:val="Style21"/>
    <w:rPr>
      <w:b/>
      <w:bCs/>
      <w:i w:val="0"/>
      <w:iCs w:val="0"/>
      <w:smallCaps w:val="0"/>
      <w:strike w:val="0"/>
      <w:sz w:val="15"/>
      <w:szCs w:val="15"/>
      <w:u w:val="none"/>
    </w:rPr>
  </w:style>
  <w:style w:type="character" w:customStyle="1" w:styleId="CharStyle24">
    <w:name w:val="Other|1_"/>
    <w:basedOn w:val="DefaultParagraphFont"/>
    <w:link w:val="Style23"/>
    <w:rPr>
      <w:b w:val="0"/>
      <w:bCs w:val="0"/>
      <w:i w:val="0"/>
      <w:iCs w:val="0"/>
      <w:smallCaps w:val="0"/>
      <w:strike w:val="0"/>
      <w:sz w:val="18"/>
      <w:szCs w:val="18"/>
      <w:u w:val="none"/>
    </w:rPr>
  </w:style>
  <w:style w:type="character" w:customStyle="1" w:styleId="CharStyle30">
    <w:name w:val="Body text|2_"/>
    <w:basedOn w:val="DefaultParagraphFont"/>
    <w:link w:val="Style29"/>
    <w:rPr>
      <w:rFonts w:ascii="Arial" w:eastAsia="Arial" w:hAnsi="Arial" w:cs="Arial"/>
      <w:b w:val="0"/>
      <w:bCs w:val="0"/>
      <w:i w:val="0"/>
      <w:iCs w:val="0"/>
      <w:smallCaps w:val="0"/>
      <w:strike w:val="0"/>
      <w:sz w:val="18"/>
      <w:szCs w:val="18"/>
      <w:u w:val="none"/>
    </w:rPr>
  </w:style>
  <w:style w:type="character" w:customStyle="1" w:styleId="CharStyle34">
    <w:name w:val="Table caption|1_"/>
    <w:basedOn w:val="DefaultParagraphFont"/>
    <w:link w:val="Style33"/>
    <w:rPr>
      <w:rFonts w:ascii="Arial" w:eastAsia="Arial" w:hAnsi="Arial" w:cs="Arial"/>
      <w:b w:val="0"/>
      <w:bCs w:val="0"/>
      <w:i w:val="0"/>
      <w:iCs w:val="0"/>
      <w:smallCaps w:val="0"/>
      <w:strike w:val="0"/>
      <w:sz w:val="16"/>
      <w:szCs w:val="16"/>
      <w:u w:val="none"/>
    </w:rPr>
  </w:style>
  <w:style w:type="character" w:customStyle="1" w:styleId="CharStyle42">
    <w:name w:val="Body text|7_"/>
    <w:basedOn w:val="DefaultParagraphFont"/>
    <w:link w:val="Style41"/>
    <w:rPr>
      <w:rFonts w:ascii="Arial" w:eastAsia="Arial" w:hAnsi="Arial" w:cs="Arial"/>
      <w:b/>
      <w:bCs/>
      <w:i w:val="0"/>
      <w:iCs w:val="0"/>
      <w:smallCaps w:val="0"/>
      <w:strike w:val="0"/>
      <w:sz w:val="28"/>
      <w:szCs w:val="28"/>
      <w:u w:val="none"/>
    </w:rPr>
  </w:style>
  <w:style w:type="character" w:customStyle="1" w:styleId="CharStyle49">
    <w:name w:val="Header or footer|1_"/>
    <w:basedOn w:val="DefaultParagraphFont"/>
    <w:link w:val="Style48"/>
    <w:rPr>
      <w:rFonts w:ascii="Arial" w:eastAsia="Arial" w:hAnsi="Arial" w:cs="Arial"/>
      <w:b w:val="0"/>
      <w:bCs w:val="0"/>
      <w:i w:val="0"/>
      <w:iCs w:val="0"/>
      <w:smallCaps w:val="0"/>
      <w:strike w:val="0"/>
      <w:sz w:val="16"/>
      <w:szCs w:val="16"/>
      <w:u w:val="none"/>
    </w:rPr>
  </w:style>
  <w:style w:type="character" w:customStyle="1" w:styleId="CharStyle55">
    <w:name w:val="Heading #2|1_"/>
    <w:basedOn w:val="DefaultParagraphFont"/>
    <w:link w:val="Style54"/>
    <w:rPr>
      <w:rFonts w:ascii="Arial" w:eastAsia="Arial" w:hAnsi="Arial" w:cs="Arial"/>
      <w:b/>
      <w:bCs/>
      <w:i w:val="0"/>
      <w:iCs w:val="0"/>
      <w:smallCaps w:val="0"/>
      <w:strike w:val="0"/>
      <w:sz w:val="20"/>
      <w:szCs w:val="20"/>
      <w:u w:val="none"/>
    </w:rPr>
  </w:style>
  <w:style w:type="character" w:customStyle="1" w:styleId="CharStyle60">
    <w:name w:val="Heading #1|1_"/>
    <w:basedOn w:val="DefaultParagraphFont"/>
    <w:link w:val="Style59"/>
    <w:rPr>
      <w:rFonts w:ascii="Arial" w:eastAsia="Arial" w:hAnsi="Arial" w:cs="Arial"/>
      <w:b/>
      <w:bCs/>
      <w:i w:val="0"/>
      <w:iCs w:val="0"/>
      <w:smallCaps w:val="0"/>
      <w:strike w:val="0"/>
      <w:sz w:val="32"/>
      <w:szCs w:val="32"/>
      <w:u w:val="none"/>
    </w:rPr>
  </w:style>
  <w:style w:type="paragraph" w:customStyle="1" w:styleId="Style2">
    <w:name w:val="Body text|4"/>
    <w:basedOn w:val="Normal"/>
    <w:link w:val="CharStyle3"/>
    <w:pPr>
      <w:widowControl w:val="0"/>
      <w:shd w:val="clear" w:color="auto" w:fill="FFFFFF"/>
      <w:spacing w:after="580"/>
      <w:jc w:val="center"/>
    </w:pPr>
    <w:rPr>
      <w:b/>
      <w:bCs/>
      <w:i w:val="0"/>
      <w:iCs w:val="0"/>
      <w:smallCaps w:val="0"/>
      <w:strike w:val="0"/>
      <w:sz w:val="22"/>
      <w:szCs w:val="22"/>
      <w:u w:val="none"/>
    </w:rPr>
  </w:style>
  <w:style w:type="paragraph" w:customStyle="1" w:styleId="Style4">
    <w:name w:val="Header or footer|2"/>
    <w:basedOn w:val="Normal"/>
    <w:link w:val="CharStyle5"/>
    <w:pPr>
      <w:widowControl w:val="0"/>
      <w:shd w:val="clear" w:color="auto" w:fill="FFFFFF"/>
    </w:pPr>
    <w:rPr>
      <w:b w:val="0"/>
      <w:bCs w:val="0"/>
      <w:i w:val="0"/>
      <w:iCs w:val="0"/>
      <w:smallCaps w:val="0"/>
      <w:strike w:val="0"/>
      <w:sz w:val="20"/>
      <w:szCs w:val="20"/>
      <w:u w:val="none"/>
    </w:rPr>
  </w:style>
  <w:style w:type="paragraph" w:customStyle="1" w:styleId="Style8">
    <w:name w:val="Body text|1"/>
    <w:basedOn w:val="Normal"/>
    <w:link w:val="CharStyle9"/>
    <w:pPr>
      <w:widowControl w:val="0"/>
      <w:shd w:val="clear" w:color="auto" w:fill="FFFFFF"/>
      <w:spacing w:after="280" w:line="293" w:lineRule="auto"/>
    </w:pPr>
    <w:rPr>
      <w:rFonts w:ascii="Arial" w:eastAsia="Arial" w:hAnsi="Arial" w:cs="Arial"/>
      <w:b w:val="0"/>
      <w:bCs w:val="0"/>
      <w:i w:val="0"/>
      <w:iCs w:val="0"/>
      <w:smallCaps w:val="0"/>
      <w:strike w:val="0"/>
      <w:sz w:val="20"/>
      <w:szCs w:val="20"/>
      <w:u w:val="none"/>
    </w:rPr>
  </w:style>
  <w:style w:type="paragraph" w:customStyle="1" w:styleId="Style11">
    <w:name w:val="Picture caption|1"/>
    <w:basedOn w:val="Normal"/>
    <w:link w:val="CharStyle12"/>
    <w:pPr>
      <w:widowControl w:val="0"/>
      <w:shd w:val="clear" w:color="auto" w:fill="FFFFFF"/>
    </w:pPr>
    <w:rPr>
      <w:rFonts w:ascii="Arial" w:eastAsia="Arial" w:hAnsi="Arial" w:cs="Arial"/>
      <w:b w:val="0"/>
      <w:bCs w:val="0"/>
      <w:i w:val="0"/>
      <w:iCs w:val="0"/>
      <w:smallCaps w:val="0"/>
      <w:strike w:val="0"/>
      <w:sz w:val="20"/>
      <w:szCs w:val="20"/>
      <w:u w:val="none"/>
    </w:rPr>
  </w:style>
  <w:style w:type="paragraph" w:customStyle="1" w:styleId="Style16">
    <w:name w:val="Body text|5"/>
    <w:basedOn w:val="Normal"/>
    <w:link w:val="CharStyle17"/>
    <w:pPr>
      <w:widowControl w:val="0"/>
      <w:shd w:val="clear" w:color="auto" w:fill="FFFFFF"/>
      <w:ind w:left="400"/>
    </w:pPr>
    <w:rPr>
      <w:rFonts w:ascii="Arial" w:eastAsia="Arial" w:hAnsi="Arial" w:cs="Arial"/>
      <w:b w:val="0"/>
      <w:bCs w:val="0"/>
      <w:i w:val="0"/>
      <w:iCs w:val="0"/>
      <w:smallCaps w:val="0"/>
      <w:strike w:val="0"/>
      <w:sz w:val="16"/>
      <w:szCs w:val="16"/>
      <w:u w:val="none"/>
    </w:rPr>
  </w:style>
  <w:style w:type="paragraph" w:customStyle="1" w:styleId="Style18">
    <w:name w:val="Body text|3"/>
    <w:basedOn w:val="Normal"/>
    <w:link w:val="CharStyle19"/>
    <w:pPr>
      <w:widowControl w:val="0"/>
      <w:shd w:val="clear" w:color="auto" w:fill="FFFFFF"/>
      <w:spacing w:after="200"/>
      <w:ind w:left="2320" w:right="1940"/>
    </w:pPr>
    <w:rPr>
      <w:b w:val="0"/>
      <w:bCs w:val="0"/>
      <w:i w:val="0"/>
      <w:iCs w:val="0"/>
      <w:smallCaps w:val="0"/>
      <w:strike w:val="0"/>
      <w:sz w:val="18"/>
      <w:szCs w:val="18"/>
      <w:u w:val="none"/>
    </w:rPr>
  </w:style>
  <w:style w:type="paragraph" w:customStyle="1" w:styleId="Style21">
    <w:name w:val="Body text|6"/>
    <w:basedOn w:val="Normal"/>
    <w:link w:val="CharStyle22"/>
    <w:pPr>
      <w:widowControl w:val="0"/>
      <w:shd w:val="clear" w:color="auto" w:fill="FFFFFF"/>
      <w:spacing w:after="440" w:line="295" w:lineRule="auto"/>
      <w:ind w:right="320"/>
      <w:jc w:val="center"/>
    </w:pPr>
    <w:rPr>
      <w:b/>
      <w:bCs/>
      <w:i w:val="0"/>
      <w:iCs w:val="0"/>
      <w:smallCaps w:val="0"/>
      <w:strike w:val="0"/>
      <w:sz w:val="15"/>
      <w:szCs w:val="15"/>
      <w:u w:val="none"/>
    </w:rPr>
  </w:style>
  <w:style w:type="paragraph" w:customStyle="1" w:styleId="Style23">
    <w:name w:val="Other|1"/>
    <w:basedOn w:val="Normal"/>
    <w:link w:val="CharStyle24"/>
    <w:pPr>
      <w:widowControl w:val="0"/>
      <w:shd w:val="clear" w:color="auto" w:fill="FFFFFF"/>
    </w:pPr>
    <w:rPr>
      <w:b w:val="0"/>
      <w:bCs w:val="0"/>
      <w:i w:val="0"/>
      <w:iCs w:val="0"/>
      <w:smallCaps w:val="0"/>
      <w:strike w:val="0"/>
      <w:sz w:val="18"/>
      <w:szCs w:val="18"/>
      <w:u w:val="none"/>
    </w:rPr>
  </w:style>
  <w:style w:type="paragraph" w:customStyle="1" w:styleId="Style29">
    <w:name w:val="Body text|2"/>
    <w:basedOn w:val="Normal"/>
    <w:link w:val="CharStyle30"/>
    <w:pPr>
      <w:widowControl w:val="0"/>
      <w:shd w:val="clear" w:color="auto" w:fill="FFFFFF"/>
      <w:ind w:left="2160"/>
    </w:pPr>
    <w:rPr>
      <w:rFonts w:ascii="Arial" w:eastAsia="Arial" w:hAnsi="Arial" w:cs="Arial"/>
      <w:b w:val="0"/>
      <w:bCs w:val="0"/>
      <w:i w:val="0"/>
      <w:iCs w:val="0"/>
      <w:smallCaps w:val="0"/>
      <w:strike w:val="0"/>
      <w:sz w:val="18"/>
      <w:szCs w:val="18"/>
      <w:u w:val="none"/>
    </w:rPr>
  </w:style>
  <w:style w:type="paragraph" w:customStyle="1" w:styleId="Style33">
    <w:name w:val="Table caption|1"/>
    <w:basedOn w:val="Normal"/>
    <w:link w:val="CharStyle34"/>
    <w:pPr>
      <w:widowControl w:val="0"/>
      <w:shd w:val="clear" w:color="auto" w:fill="FFFFFF"/>
    </w:pPr>
    <w:rPr>
      <w:rFonts w:ascii="Arial" w:eastAsia="Arial" w:hAnsi="Arial" w:cs="Arial"/>
      <w:b w:val="0"/>
      <w:bCs w:val="0"/>
      <w:i w:val="0"/>
      <w:iCs w:val="0"/>
      <w:smallCaps w:val="0"/>
      <w:strike w:val="0"/>
      <w:sz w:val="16"/>
      <w:szCs w:val="16"/>
      <w:u w:val="none"/>
    </w:rPr>
  </w:style>
  <w:style w:type="paragraph" w:customStyle="1" w:styleId="Style41">
    <w:name w:val="Body text|7"/>
    <w:basedOn w:val="Normal"/>
    <w:link w:val="CharStyle42"/>
    <w:pPr>
      <w:widowControl w:val="0"/>
      <w:shd w:val="clear" w:color="auto" w:fill="FFFFFF"/>
      <w:ind w:left="2480"/>
    </w:pPr>
    <w:rPr>
      <w:rFonts w:ascii="Arial" w:eastAsia="Arial" w:hAnsi="Arial" w:cs="Arial"/>
      <w:b/>
      <w:bCs/>
      <w:i w:val="0"/>
      <w:iCs w:val="0"/>
      <w:smallCaps w:val="0"/>
      <w:strike w:val="0"/>
      <w:sz w:val="28"/>
      <w:szCs w:val="28"/>
      <w:u w:val="none"/>
    </w:rPr>
  </w:style>
  <w:style w:type="paragraph" w:customStyle="1" w:styleId="Style48">
    <w:name w:val="Header or footer|1"/>
    <w:basedOn w:val="Normal"/>
    <w:link w:val="CharStyle49"/>
    <w:pPr>
      <w:widowControl w:val="0"/>
      <w:shd w:val="clear" w:color="auto" w:fill="FFFFFF"/>
    </w:pPr>
    <w:rPr>
      <w:rFonts w:ascii="Arial" w:eastAsia="Arial" w:hAnsi="Arial" w:cs="Arial"/>
      <w:b w:val="0"/>
      <w:bCs w:val="0"/>
      <w:i w:val="0"/>
      <w:iCs w:val="0"/>
      <w:smallCaps w:val="0"/>
      <w:strike w:val="0"/>
      <w:sz w:val="16"/>
      <w:szCs w:val="16"/>
      <w:u w:val="none"/>
    </w:rPr>
  </w:style>
  <w:style w:type="paragraph" w:customStyle="1" w:styleId="Style54">
    <w:name w:val="Heading #2|1"/>
    <w:basedOn w:val="Normal"/>
    <w:link w:val="CharStyle55"/>
    <w:pPr>
      <w:widowControl w:val="0"/>
      <w:shd w:val="clear" w:color="auto" w:fill="FFFFFF"/>
      <w:spacing w:after="90"/>
      <w:ind w:left="640"/>
      <w:outlineLvl w:val="1"/>
    </w:pPr>
    <w:rPr>
      <w:rFonts w:ascii="Arial" w:eastAsia="Arial" w:hAnsi="Arial" w:cs="Arial"/>
      <w:b/>
      <w:bCs/>
      <w:i w:val="0"/>
      <w:iCs w:val="0"/>
      <w:smallCaps w:val="0"/>
      <w:strike w:val="0"/>
      <w:sz w:val="20"/>
      <w:szCs w:val="20"/>
      <w:u w:val="none"/>
    </w:rPr>
  </w:style>
  <w:style w:type="paragraph" w:customStyle="1" w:styleId="Style59">
    <w:name w:val="Heading #1|1"/>
    <w:basedOn w:val="Normal"/>
    <w:link w:val="CharStyle60"/>
    <w:pPr>
      <w:widowControl w:val="0"/>
      <w:shd w:val="clear" w:color="auto" w:fill="FFFFFF"/>
      <w:spacing w:after="40"/>
      <w:ind w:left="2620"/>
      <w:outlineLvl w:val="0"/>
    </w:pPr>
    <w:rPr>
      <w:rFonts w:ascii="Arial" w:eastAsia="Arial" w:hAnsi="Arial" w:cs="Arial"/>
      <w:b/>
      <w:bCs/>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png"/><Relationship Id="rId12" Type="http://schemas.openxmlformats.org/officeDocument/2006/relationships/image" Target="media/image3.pn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header" Target="header2.xml"/><Relationship Id="rId16" Type="http://schemas.openxmlformats.org/officeDocument/2006/relationships/footer" Target="footer2.xml"/><Relationship Id="rId17" Type="http://schemas.openxmlformats.org/officeDocument/2006/relationships/image" Target="media/image5.jpeg"/><Relationship Id="rId18" Type="http://schemas.openxmlformats.org/officeDocument/2006/relationships/image" Target="media/image5.jpeg" TargetMode="External"/><Relationship Id="rId19" Type="http://schemas.openxmlformats.org/officeDocument/2006/relationships/image" Target="media/image6.jpeg"/><Relationship Id="rId20" Type="http://schemas.openxmlformats.org/officeDocument/2006/relationships/image" Target="media/image6.jpeg" TargetMode="External"/><Relationship Id="rId21" Type="http://schemas.openxmlformats.org/officeDocument/2006/relationships/image" Target="media/image7.jpeg"/><Relationship Id="rId22" Type="http://schemas.openxmlformats.org/officeDocument/2006/relationships/image" Target="media/image7.jpeg" TargetMode="External"/><Relationship Id="rId23" Type="http://schemas.openxmlformats.org/officeDocument/2006/relationships/header" Target="header3.xml"/><Relationship Id="rId24" Type="http://schemas.openxmlformats.org/officeDocument/2006/relationships/footer" Target="footer3.xml"/><Relationship Id="rId25" Type="http://schemas.openxmlformats.org/officeDocument/2006/relationships/header" Target="header4.xml"/><Relationship Id="rId26" Type="http://schemas.openxmlformats.org/officeDocument/2006/relationships/footer" Target="footer4.xml"/><Relationship Id="rId27" Type="http://schemas.openxmlformats.org/officeDocument/2006/relationships/header" Target="header5.xml"/><Relationship Id="rId28" Type="http://schemas.openxmlformats.org/officeDocument/2006/relationships/footer" Target="footer5.xml"/><Relationship Id="rId29" Type="http://schemas.openxmlformats.org/officeDocument/2006/relationships/image" Target="media/image8.png"/><Relationship Id="rId30" Type="http://schemas.openxmlformats.org/officeDocument/2006/relationships/image" Target="media/image8.png" TargetMode="External"/><Relationship Id="rId31" Type="http://schemas.openxmlformats.org/officeDocument/2006/relationships/header" Target="header6.xml"/><Relationship Id="rId32" Type="http://schemas.openxmlformats.org/officeDocument/2006/relationships/footer" Target="footer6.xml"/><Relationship Id="rId33" Type="http://schemas.openxmlformats.org/officeDocument/2006/relationships/header" Target="header7.xml"/><Relationship Id="rId34" Type="http://schemas.openxmlformats.org/officeDocument/2006/relationships/footer" Target="footer7.xml"/><Relationship Id="rId35" Type="http://schemas.openxmlformats.org/officeDocument/2006/relationships/header" Target="header8.xml"/><Relationship Id="rId36" Type="http://schemas.openxmlformats.org/officeDocument/2006/relationships/footer" Target="footer8.xml"/><Relationship Id="rId37" Type="http://schemas.openxmlformats.org/officeDocument/2006/relationships/header" Target="header9.xml"/><Relationship Id="rId38" Type="http://schemas.openxmlformats.org/officeDocument/2006/relationships/footer" Target="footer9.xml"/><Relationship Id="rId39" Type="http://schemas.openxmlformats.org/officeDocument/2006/relationships/header" Target="header10.xml"/><Relationship Id="rId40" Type="http://schemas.openxmlformats.org/officeDocument/2006/relationships/footer" Target="footer10.xml"/><Relationship Id="rId41" Type="http://schemas.openxmlformats.org/officeDocument/2006/relationships/header" Target="header11.xml"/><Relationship Id="rId42" Type="http://schemas.openxmlformats.org/officeDocument/2006/relationships/footer" Target="footer11.xml"/><Relationship Id="rId43" Type="http://schemas.openxmlformats.org/officeDocument/2006/relationships/header" Target="header12.xml"/><Relationship Id="rId44" Type="http://schemas.openxmlformats.org/officeDocument/2006/relationships/footer" Target="footer12.xml"/><Relationship Id="rId45" Type="http://schemas.openxmlformats.org/officeDocument/2006/relationships/header" Target="header13.xml"/><Relationship Id="rId46" Type="http://schemas.openxmlformats.org/officeDocument/2006/relationships/footer" Target="footer13.xml"/><Relationship Id="rId47" Type="http://schemas.openxmlformats.org/officeDocument/2006/relationships/header" Target="header14.xml"/><Relationship Id="rId48" Type="http://schemas.openxmlformats.org/officeDocument/2006/relationships/footer" Target="footer14.xml"/><Relationship Id="rId49" Type="http://schemas.openxmlformats.org/officeDocument/2006/relationships/header" Target="header15.xml"/><Relationship Id="rId50" Type="http://schemas.openxmlformats.org/officeDocument/2006/relationships/footer" Target="footer15.xml"/><Relationship Id="rId51" Type="http://schemas.openxmlformats.org/officeDocument/2006/relationships/header" Target="header16.xml"/><Relationship Id="rId52" Type="http://schemas.openxmlformats.org/officeDocument/2006/relationships/footer" Target="footer16.xml"/><Relationship Id="rId53" Type="http://schemas.openxmlformats.org/officeDocument/2006/relationships/header" Target="header17.xml"/><Relationship Id="rId54" Type="http://schemas.openxmlformats.org/officeDocument/2006/relationships/footer" Target="footer17.xml"/><Relationship Id="rId55" Type="http://schemas.openxmlformats.org/officeDocument/2006/relationships/header" Target="header18.xml"/><Relationship Id="rId56" Type="http://schemas.openxmlformats.org/officeDocument/2006/relationships/footer" Target="footer18.xml"/><Relationship Id="rId57" Type="http://schemas.openxmlformats.org/officeDocument/2006/relationships/header" Target="header19.xml"/><Relationship Id="rId58" Type="http://schemas.openxmlformats.org/officeDocument/2006/relationships/footer" Target="footer19.xml"/><Relationship Id="rId59" Type="http://schemas.openxmlformats.org/officeDocument/2006/relationships/header" Target="header20.xml"/><Relationship Id="rId60" Type="http://schemas.openxmlformats.org/officeDocument/2006/relationships/footer" Target="footer20.xml"/><Relationship Id="rId61" Type="http://schemas.openxmlformats.org/officeDocument/2006/relationships/header" Target="header21.xml"/><Relationship Id="rId62" Type="http://schemas.openxmlformats.org/officeDocument/2006/relationships/footer" Target="footer21.xml"/><Relationship Id="rId63" Type="http://schemas.openxmlformats.org/officeDocument/2006/relationships/header" Target="header22.xml"/><Relationship Id="rId64" Type="http://schemas.openxmlformats.org/officeDocument/2006/relationships/footer" Target="footer22.xml"/><Relationship Id="rId65" Type="http://schemas.openxmlformats.org/officeDocument/2006/relationships/header" Target="header23.xml"/><Relationship Id="rId66" Type="http://schemas.openxmlformats.org/officeDocument/2006/relationships/footer" Target="footer23.xml"/><Relationship Id="rId67" Type="http://schemas.openxmlformats.org/officeDocument/2006/relationships/header" Target="header24.xml"/><Relationship Id="rId68" Type="http://schemas.openxmlformats.org/officeDocument/2006/relationships/footer" Target="footer24.xml"/><Relationship Id="rId69" Type="http://schemas.openxmlformats.org/officeDocument/2006/relationships/header" Target="header25.xml"/><Relationship Id="rId70" Type="http://schemas.openxmlformats.org/officeDocument/2006/relationships/footer" Target="footer25.xml"/><Relationship Id="rId71" Type="http://schemas.openxmlformats.org/officeDocument/2006/relationships/header" Target="header26.xml"/><Relationship Id="rId72" Type="http://schemas.openxmlformats.org/officeDocument/2006/relationships/footer" Target="footer26.xml"/><Relationship Id="rId73" Type="http://schemas.openxmlformats.org/officeDocument/2006/relationships/header" Target="header27.xml"/><Relationship Id="rId74" Type="http://schemas.openxmlformats.org/officeDocument/2006/relationships/footer" Target="footer27.xml"/><Relationship Id="rId75" Type="http://schemas.openxmlformats.org/officeDocument/2006/relationships/header" Target="header28.xml"/><Relationship Id="rId76" Type="http://schemas.openxmlformats.org/officeDocument/2006/relationships/footer" Target="footer28.xml"/><Relationship Id="rId77" Type="http://schemas.openxmlformats.org/officeDocument/2006/relationships/header" Target="header29.xml"/><Relationship Id="rId78" Type="http://schemas.openxmlformats.org/officeDocument/2006/relationships/footer" Target="footer29.xml"/><Relationship Id="rId79" Type="http://schemas.openxmlformats.org/officeDocument/2006/relationships/header" Target="header30.xml"/><Relationship Id="rId80" Type="http://schemas.openxmlformats.org/officeDocument/2006/relationships/footer" Target="footer30.xml"/><Relationship Id="rId81" Type="http://schemas.openxmlformats.org/officeDocument/2006/relationships/header" Target="header31.xml"/><Relationship Id="rId82" Type="http://schemas.openxmlformats.org/officeDocument/2006/relationships/footer" Target="footer31.xml"/><Relationship Id="rId83" Type="http://schemas.openxmlformats.org/officeDocument/2006/relationships/header" Target="header32.xml"/><Relationship Id="rId84" Type="http://schemas.openxmlformats.org/officeDocument/2006/relationships/footer" Target="footer32.xml"/><Relationship Id="rId85" Type="http://schemas.openxmlformats.org/officeDocument/2006/relationships/header" Target="header33.xml"/><Relationship Id="rId86" Type="http://schemas.openxmlformats.org/officeDocument/2006/relationships/footer" Target="footer33.xml"/><Relationship Id="rId87" Type="http://schemas.openxmlformats.org/officeDocument/2006/relationships/header" Target="header34.xml"/><Relationship Id="rId88" Type="http://schemas.openxmlformats.org/officeDocument/2006/relationships/footer" Target="footer34.xml"/><Relationship Id="rId89" Type="http://schemas.openxmlformats.org/officeDocument/2006/relationships/header" Target="header35.xml"/><Relationship Id="rId90" Type="http://schemas.openxmlformats.org/officeDocument/2006/relationships/footer" Target="footer35.xml"/><Relationship Id="rId91" Type="http://schemas.openxmlformats.org/officeDocument/2006/relationships/header" Target="header36.xml"/><Relationship Id="rId92" Type="http://schemas.openxmlformats.org/officeDocument/2006/relationships/footer" Target="footer36.xml"/><Relationship Id="rId93" Type="http://schemas.openxmlformats.org/officeDocument/2006/relationships/header" Target="header37.xml"/><Relationship Id="rId94" Type="http://schemas.openxmlformats.org/officeDocument/2006/relationships/footer" Target="footer37.xml"/><Relationship Id="rId95" Type="http://schemas.openxmlformats.org/officeDocument/2006/relationships/header" Target="header38.xml"/><Relationship Id="rId96" Type="http://schemas.openxmlformats.org/officeDocument/2006/relationships/footer" Target="footer38.xml"/><Relationship Id="rId97" Type="http://schemas.openxmlformats.org/officeDocument/2006/relationships/header" Target="header39.xml"/><Relationship Id="rId98" Type="http://schemas.openxmlformats.org/officeDocument/2006/relationships/footer" Target="footer39.xml"/><Relationship Id="rId99" Type="http://schemas.openxmlformats.org/officeDocument/2006/relationships/header" Target="header40.xml"/><Relationship Id="rId100" Type="http://schemas.openxmlformats.org/officeDocument/2006/relationships/footer" Target="footer40.xml"/><Relationship Id="rId101" Type="http://schemas.openxmlformats.org/officeDocument/2006/relationships/header" Target="header41.xml"/><Relationship Id="rId102" Type="http://schemas.openxmlformats.org/officeDocument/2006/relationships/footer" Target="footer41.xml"/></Relationships>
</file>

<file path=docProps/core.xml><?xml version="1.0" encoding="utf-8"?>
<cp:coreProperties xmlns:cp="http://schemas.openxmlformats.org/package/2006/metadata/core-properties" xmlns:dc="http://purl.org/dc/elements/1.1/">
  <dc:title>Município de Maués</dc:title>
  <dc:subject/>
  <dc:creator>User</dc:creator>
  <cp:keywords/>
</cp:coreProperties>
</file>