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4642485</wp:posOffset>
                </wp:positionH>
                <wp:positionV relativeFrom="paragraph">
                  <wp:posOffset>12700</wp:posOffset>
                </wp:positionV>
                <wp:extent cx="182880" cy="17081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65.55000000000001pt;margin-top:1.pt;width:14.4pt;height:13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338455</wp:posOffset>
            </wp:positionH>
            <wp:positionV relativeFrom="paragraph">
              <wp:posOffset>234950</wp:posOffset>
            </wp:positionV>
            <wp:extent cx="2152015" cy="2480945"/>
            <wp:wrapTight wrapText="bothSides">
              <wp:wrapPolygon>
                <wp:start x="0" y="0"/>
                <wp:lineTo x="21600" y="0"/>
                <wp:lineTo x="21600" y="9432"/>
                <wp:lineTo x="20558" y="9432"/>
                <wp:lineTo x="20558" y="11743"/>
                <wp:lineTo x="10294" y="11743"/>
                <wp:lineTo x="10294" y="11770"/>
                <wp:lineTo x="10264" y="11770"/>
                <wp:lineTo x="10264" y="13789"/>
                <wp:lineTo x="7997" y="13789"/>
                <wp:lineTo x="7997" y="19049"/>
                <wp:lineTo x="5147" y="19049"/>
                <wp:lineTo x="5147" y="19076"/>
                <wp:lineTo x="5117" y="19076"/>
                <wp:lineTo x="5117" y="21600"/>
                <wp:lineTo x="0" y="21600"/>
                <wp:lineTo x="0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52015" cy="2480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5681980</wp:posOffset>
            </wp:positionH>
            <wp:positionV relativeFrom="paragraph">
              <wp:posOffset>18415</wp:posOffset>
            </wp:positionV>
            <wp:extent cx="1024255" cy="981710"/>
            <wp:wrapSquare wrapText="lef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4255" cy="9817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2" behindDoc="0" locked="0" layoutInCell="1" allowOverlap="1">
            <wp:simplePos x="0" y="0"/>
            <wp:positionH relativeFrom="page">
              <wp:posOffset>2575560</wp:posOffset>
            </wp:positionH>
            <wp:positionV relativeFrom="paragraph">
              <wp:posOffset>938530</wp:posOffset>
            </wp:positionV>
            <wp:extent cx="475615" cy="377825"/>
            <wp:wrapTight wrapText="right">
              <wp:wrapPolygon>
                <wp:start x="0" y="0"/>
                <wp:lineTo x="10591" y="0"/>
                <wp:lineTo x="10591" y="11845"/>
                <wp:lineTo x="21600" y="11845"/>
                <wp:lineTo x="21600" y="21600"/>
                <wp:lineTo x="0" y="21600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7561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3" behindDoc="0" locked="0" layoutInCell="1" allowOverlap="1">
                <wp:simplePos x="0" y="0"/>
                <wp:positionH relativeFrom="page">
                  <wp:posOffset>582295</wp:posOffset>
                </wp:positionH>
                <wp:positionV relativeFrom="paragraph">
                  <wp:posOffset>3858895</wp:posOffset>
                </wp:positionV>
                <wp:extent cx="1957070" cy="42354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707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.850000000000001pt;margin-top:303.85000000000002pt;width:154.09999999999999pt;height:33.350000000000001pt;z-index:-125829370;mso-wrap-distance-left:0;mso-wrap-distance-right:0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441960</wp:posOffset>
            </wp:positionH>
            <wp:positionV relativeFrom="paragraph">
              <wp:posOffset>4126865</wp:posOffset>
            </wp:positionV>
            <wp:extent cx="1017905" cy="101219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17905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6" behindDoc="0" locked="0" layoutInCell="1" allowOverlap="1">
            <wp:simplePos x="0" y="0"/>
            <wp:positionH relativeFrom="page">
              <wp:posOffset>5529580</wp:posOffset>
            </wp:positionH>
            <wp:positionV relativeFrom="paragraph">
              <wp:posOffset>3496310</wp:posOffset>
            </wp:positionV>
            <wp:extent cx="2030095" cy="1657985"/>
            <wp:wrapTight wrapText="bothSides">
              <wp:wrapPolygon>
                <wp:start x="13447" y="0"/>
                <wp:lineTo x="18612" y="0"/>
                <wp:lineTo x="18612" y="1870"/>
                <wp:lineTo x="21600" y="1870"/>
                <wp:lineTo x="21600" y="21600"/>
                <wp:lineTo x="0" y="21600"/>
                <wp:lineTo x="0" y="5211"/>
                <wp:lineTo x="5457" y="5211"/>
                <wp:lineTo x="5457" y="1870"/>
                <wp:lineTo x="13447" y="1870"/>
                <wp:lineTo x="13447" y="0"/>
              </wp:wrapPolygon>
            </wp:wrapTight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030095" cy="16579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PREFEITURA MUNICIPAL DE MARAÃ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BINETE DO PREFEITO - GAPREF CNPJ: 04.505.640/0001-04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  <w:rPr>
          <w:sz w:val="22"/>
          <w:szCs w:val="22"/>
        </w:rPr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JETO DE LEI N° 011/2025-GPM, DE 27 DE 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OUTUbSrO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DE 2025.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xcelentíssimo Senhor Presidente,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Excelentíssimos Senhores Vereadores,</w:t>
      </w:r>
      <w:bookmarkEnd w:id="1"/>
    </w:p>
    <w:p>
      <w:pPr>
        <w:pStyle w:val="Style14"/>
        <w:keepNext w:val="0"/>
        <w:keepLines w:val="0"/>
        <w:widowControl w:val="0"/>
        <w:shd w:val="clear" w:color="auto" w:fill="auto"/>
        <w:tabs>
          <w:tab w:pos="6571" w:val="left"/>
        </w:tabs>
        <w:bidi w:val="0"/>
        <w:spacing w:before="0" w:after="100" w:line="37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Encaminhamos para a apreciação e deliberação dessa Egrégia Casa de Leis o presente Projeto de Lei, que Estima a Receita e fixa a Despesa do Orçamento Anual do Município de Maraã, para o exercício financeiro de 2026 e dá outras providêndas.</w:t>
        <w:tab/>
        <w:t>íá'eíXO,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374" w:lineRule="auto"/>
        <w:ind w:left="19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LEI: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2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TÍTULO I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 CONTEÚDO DA LEI ORÇAMENTÁRIA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 Lei estima a receita e fixa a despesa do orçamento anual do Município de Maraã, para o exercício financeiro de 2026, nos termos das disposições constitucionais, compreendendo: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8" w:val="left"/>
        </w:tabs>
        <w:bidi w:val="0"/>
        <w:spacing w:before="0" w:after="3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O Orçamento Fiscal referente aos Poderes Legislativo e Executivo, seus órgãos, entidades e fundos da administração direta e indireta.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6" w:val="left"/>
        </w:tabs>
        <w:bidi w:val="0"/>
        <w:spacing w:before="0" w:after="6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O Orçamento da Seguridade Social, abrangendo todas as entidades e órgãos a ela vinculados, bem como os fundos instituídos e mantidos pelo Poder Público.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20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TÍTULO II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20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DOS ORÇAMENTOS FISCAL E DA SEGURIDADE SOCIAL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22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CAPÍTULO I</w:t>
      </w:r>
      <w:bookmarkEnd w:id="3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DA ESTIMATIVA DA RECEITA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  <w:sectPr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366" w:left="1599" w:right="1205" w:bottom="59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Receita total estimada nos Orçamentos Fiscal e da Seguridade</w:t>
      </w:r>
    </w:p>
    <w:p>
      <w:pPr>
        <w:pStyle w:val="Style10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6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4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37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Social é no valor de R$ 111.700,000,00 (cento e onze milhões e setecentos mil reais).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Receita decorrerá da arrecadação de tributos, contribuições e outras receitas correntes e de capital, previstos na legislação vigente e estimadas com o seguinte desdobramento:</w:t>
      </w:r>
    </w:p>
    <w:tbl>
      <w:tblPr>
        <w:tblOverlap w:val="never"/>
        <w:jc w:val="center"/>
        <w:tblLayout w:type="fixed"/>
      </w:tblPr>
      <w:tblGrid>
        <w:gridCol w:w="1349"/>
        <w:gridCol w:w="5933"/>
        <w:gridCol w:w="1882"/>
      </w:tblGrid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DESCRIÇÃO DA RECEITA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IMPOSTOS, TAXAS E CONTRIBUIÇÕES DE MELHORIA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1.180.100,00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772.400,00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274.477,00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1700.00.0.0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116.991.843,00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1900.00.0.0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200,00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SUB-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TOTAL (exceto intraorçamentério)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119.219.020,00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7000.00.0.0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SUB-TOTAL INTRAORÇAMENTÁRIO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895.700,00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7510.00.0.0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DEDUÇÕES FUNDEB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3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-</w:t>
              <w:tab/>
              <w:t>8.414.720,00</w:t>
            </w: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SUB-TOTAL DEDUÇÕES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3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-</w:t>
              <w:tab/>
              <w:t>8.414.720,00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111.700.000,00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Receita será realizada com base na arrecadação direta das transferências constitucionais, das transferências voluntárias e de outras rendas na forma da legislação em vigor, de acordo com os códigos, denominações 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detalhamentos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Receita Pública, instituídos pelas Portarias do Secretário do Tesouro Nacional do Ministério da Fazenda, que aprova o Manual de Procedimentos da Receita Pública.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CAPÍTULO II</w:t>
      </w:r>
      <w:bookmarkEnd w:id="5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FIXAÇÃO DA DESPESA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Despesa total fixada é no valor de R$ 111.700,000,00 (cento e onze milhões e setecentos mil reais), desdobrada nos seguintes orçamentos: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orçamento fiscal em R$ 74.283.395,00 (setenta e quatro milhões, duzentos e oitenta e três mil e trezentos e noventa e cinco reais);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 - orçamento da seguridade social em R$ 18.566.605,00 (dezoito milhões, quinhentos e sessenta e seis mil e seiscentos e cinco reais).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20"/>
        <w:ind w:left="0" w:right="0" w:firstLine="7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Despesa fixada à conta dos recursos previstos neste capítulo, observado a programação anexa a esta Lei, apresenta o seguinte desdobramento: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 - por órgãos:</w:t>
      </w:r>
    </w:p>
    <w:tbl>
      <w:tblPr>
        <w:tblOverlap w:val="never"/>
        <w:jc w:val="center"/>
        <w:tblLayout w:type="fixed"/>
      </w:tblPr>
      <w:tblGrid>
        <w:gridCol w:w="4166"/>
        <w:gridCol w:w="1867"/>
        <w:gridCol w:w="1666"/>
        <w:gridCol w:w="1723"/>
      </w:tblGrid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DESCRIÇÃO DO ÓRGÃO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FISCAL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SEGURIDADE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CÂMARA MUNICIPAL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3.200.000,00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3.200.000,00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GABINETE DO PREFEITO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390.000,00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390.000,00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GABINETE DO VICE-PREFEITO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310.000,00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310.000,00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DA CHEFIA DO GABINETE DO PREFEITO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100.000,00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100.000,00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CONTROLADORIA GERAL DO MUNICÍPIO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FINANÇAS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1.177.400,00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1.177.400,00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tabs>
                <w:tab w:pos="1930" w:val="left"/>
                <w:tab w:pos="3773" w:val="left"/>
              </w:tabs>
              <w:bidi w:val="0"/>
              <w:spacing w:before="0" w:after="4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</w:t>
              <w:tab/>
              <w:t>MUNICIPAL</w:t>
              <w:tab/>
              <w:t>DE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ADMINISTRAÇÃO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6.560.000,00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6.560.000,00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EDUCAÇÃO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 CULTURA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63.987.080,00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63.987.080,00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SAÚDE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635.000,00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635.000,00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ASSISTÊNCIA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SOCIAL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510.000,00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510.000,00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SECCRETARIA MUICIPAL DE ESPORTE,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JUVENTUDE E LAZER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270.000,00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270.000,00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MEIO AMBIENTE E DESENV. SUSTENTÁVEL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160.000,00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OBRAS E TRANSPORTE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6.090.840,00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6.090.840,00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TERRA E HABITAÇÃO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220.000,00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220.000,00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PRODUÇÃO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 ABASTECIMENTO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260.000,00</w:t>
            </w:r>
          </w:p>
        </w:tc>
      </w:tr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SECRETARIA MUNICIPAL DE DEFESA CIVIL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REPRESENTAÇÃO DO MUNICÍPIO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823.000,00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823.000,00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PROCURADORIA GERAL DO MUNICÍPIO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70.000,00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MUNICIPAL DE ASSISTÊNCIA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SOCIAL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1.180.200,00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1.180.200,00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MUNICIPAL DE SAÚDE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18.916.180,00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18.916.180,00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INST. DE PREV.DOS SERVIDORES</w:t>
            </w:r>
          </w:p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PÚBLICOS DE MARAÃ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183.300,00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183.300,00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RESERVA DE CONTIGÊNCIA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6.477.000,00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6.477.000,00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90.275.320,00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21.424.680,00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111.700.000,00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3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II - por funções:</w:t>
      </w:r>
    </w:p>
    <w:tbl>
      <w:tblPr>
        <w:tblOverlap w:val="never"/>
        <w:jc w:val="left"/>
        <w:tblLayout w:type="fixed"/>
      </w:tblPr>
      <w:tblGrid>
        <w:gridCol w:w="3312"/>
        <w:gridCol w:w="1810"/>
        <w:gridCol w:w="1594"/>
        <w:gridCol w:w="1718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DESCRIÇÃO DA FUNÇÃO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SEGURIDADE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FISCAL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TOTAL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LEGISLATIVA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3.200.000,00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3.200.000,00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ADMINISTRAÇÃO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6.413.000,00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6.413.000,00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SEGURANÇA PÚBLICA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90.000,00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ASSISTÊNCIA SOCIAL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1.690.200,00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1.690.200,00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183.300,00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183.300,00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SAÚDE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19.551.180,00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19.551.180,00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EDUCAÇÃO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63.847.080,00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63.847.080,00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CULTURA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140.000,00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140.000,00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URBANISMO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4.610.840,00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4.610.840,00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HABITAÇÃO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220.000,00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220.000,00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SANEAMENTO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680.000,00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680.000,00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GESTÃO AMBIENTAL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160.000,00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AGRICULTURA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260.000,00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ENERGIA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740.000,00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740.000,00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TRANSPORTE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DESPORTO E LAZER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270.000,00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270.000,00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ENCARGOS ESPECIAIS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3.107.400,00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3.107.400,00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RESERVA DE CONTINGÊNCIA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6.477.000,00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6.477.000,00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90.275.320,00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21.424.680,00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111.700.000,00</w:t>
            </w:r>
          </w:p>
        </w:tc>
      </w:tr>
    </w:tbl>
    <w:p>
      <w:pPr>
        <w:widowControl w:val="0"/>
        <w:spacing w:after="739" w:line="1" w:lineRule="exact"/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40" w:line="240" w:lineRule="auto"/>
        <w:ind w:left="34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CAPÍTULO III</w:t>
      </w:r>
      <w:bookmarkEnd w:id="7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34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DAS AUTORIZAÇÕES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/>
        <w:ind w:left="1080" w:right="0" w:hanging="3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Art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7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Fica o chefe do Poder Executivo autorizado a: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240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Abrir créditos suplementares nos limites e com os recursos abaixo indicados: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</w:tabs>
        <w:bidi w:val="0"/>
        <w:spacing w:before="0" w:after="240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decorrentes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superávit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financeiro até o limite de 100% (cem por cento) do mesmo, de acordo com o estabelecido no art. 43, § 1 °, Inciso I e §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 Lei 4.320/64;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</w:tabs>
        <w:bidi w:val="0"/>
        <w:spacing w:before="0" w:after="240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decorrentes do excesso de arrecadação até o limite de 100% (cem por cento) do mesmo, conforme estabelecido no art. 43, 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Inciso II e §§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da Lei 4.320/64;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2" w:val="left"/>
        </w:tabs>
        <w:bidi w:val="0"/>
        <w:spacing w:before="0" w:after="240"/>
        <w:ind w:left="108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decorrentes de anulação parcial ou total de dotações na forma definida na</w:t>
      </w:r>
      <w:r>
        <w:br w:type="page"/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969010" cy="170815"/>
            <wp:docPr id="17" name="Picut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969010" cy="1708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18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- GAPREF</w:t>
        <w:br/>
        <w:t>CNPJ: 04.505.640/0001-04</w:t>
      </w:r>
      <w:bookmarkEnd w:id="8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1140" w:right="0" w:firstLine="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Lei de Diretrizes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Orçamentárias,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até o limite de 100 % (cem por cento) das mesmas, conforme o estabelecido no art. 43, §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Inciso III da Lei 4.320/64, e com base no Art. 167, Inciso VI da Constituição Federal, não onerando esse limite os créditos suplementares para reforçar dotações de pessoal, obrigações patronais, encargos com inativos, pensionistas e PASEP;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7" w:val="left"/>
        </w:tabs>
        <w:bidi w:val="0"/>
        <w:spacing w:before="0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decorrentes de alteração de QDD, permitindo inclusive a criação de elementos e subelementos necessários a execução da despesa desde que atenda a categoria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ser reduzida;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7" w:val="left"/>
        </w:tabs>
        <w:bidi w:val="0"/>
        <w:spacing w:before="0"/>
        <w:ind w:left="11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Efetuar operações de créditos por antecipação da receita, nos limites fixados pelo Senado Federal e na forma do disposto no art. 38 da Lei Complementar n° 101/2000.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/>
        <w:ind w:left="1140" w:right="0" w:hanging="3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Art.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Esta Lei vigorará de 01 de janeiro a 31 de dezembro de 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8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DO PREFEITO MUNICIPAL DE MARAÃ-AM.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960" w:line="240" w:lineRule="auto"/>
        <w:ind w:left="18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 27 DE OUTUBRO DE 2025.</w:t>
      </w:r>
      <w:bookmarkEnd w:id="9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18030" cy="237490"/>
            <wp:docPr id="18" name="Picut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2018030" cy="237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2267585</wp:posOffset>
            </wp:positionH>
            <wp:positionV relativeFrom="margin">
              <wp:posOffset>5550535</wp:posOffset>
            </wp:positionV>
            <wp:extent cx="1578610" cy="47561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57861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EDIR COSTA CASTELO BRANCO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Prefeito Municipal de Maraã-AM.</w:t>
      </w:r>
    </w:p>
    <w:sectPr>
      <w:headerReference w:type="default" r:id="rId22"/>
      <w:footerReference w:type="default" r:id="rId23"/>
      <w:footnotePr>
        <w:pos w:val="pageBottom"/>
        <w:numFmt w:val="decimal"/>
        <w:numRestart w:val="continuous"/>
      </w:footnotePr>
      <w:pgSz w:w="11900" w:h="16840"/>
      <w:pgMar w:top="1996" w:left="1598" w:right="879" w:bottom="77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1033780</wp:posOffset>
              </wp:positionH>
              <wp:positionV relativeFrom="page">
                <wp:posOffset>10314940</wp:posOffset>
              </wp:positionV>
              <wp:extent cx="2816225" cy="2590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Av. Castelo Branco N° 110 - Centro, CEP: 69.490-000,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E-mail,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adm.pmmaraa@gmail.com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81.400000000000006pt;margin-top:812.20000000000005pt;width:221.75pt;height:20.3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Av. Castelo Branco N° 110 - Centro, CEP: 69.490-000,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E-mail,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adm.pmmaraa@gmail.com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1116965</wp:posOffset>
              </wp:positionH>
              <wp:positionV relativeFrom="page">
                <wp:posOffset>10353675</wp:posOffset>
              </wp:positionV>
              <wp:extent cx="2816225" cy="25908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1622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Av. Castelo Branco N° 110 -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69.490-000,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pBdr>
                              <w:top w:val="single" w:sz="0" w:space="0" w:color="000000"/>
                              <w:left w:val="single" w:sz="0" w:space="0" w:color="000000"/>
                              <w:bottom w:val="single" w:sz="0" w:space="0" w:color="000000"/>
                              <w:right w:val="single" w:sz="0" w:space="0" w:color="000000"/>
                            </w:pBdr>
                            <w:shd w:val="clear" w:color="auto" w:fill="000000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 xml:space="preserve">E-mail,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FFFFFF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adin.pmmaraa@amail.com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87.950000000000003pt;margin-top:815.25pt;width:221.75pt;height:20.399999999999999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Av. Castelo Branco N° 110 - Centro,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69.490-000,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pBdr>
                        <w:top w:val="single" w:sz="0" w:space="0" w:color="000000"/>
                        <w:left w:val="single" w:sz="0" w:space="0" w:color="000000"/>
                        <w:bottom w:val="single" w:sz="0" w:space="0" w:color="000000"/>
                        <w:right w:val="single" w:sz="0" w:space="0" w:color="000000"/>
                      </w:pBdr>
                      <w:shd w:val="clear" w:color="auto" w:fill="000000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 xml:space="preserve">E-mail, </w:t>
                    </w: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0"/>
                        <w:w w:val="100"/>
                        <w:position w:val="0"/>
                        <w:sz w:val="19"/>
                        <w:szCs w:val="19"/>
                        <w:u w:val="single"/>
                        <w:shd w:val="clear" w:color="auto" w:fill="auto"/>
                        <w:lang w:val="en-US" w:eastAsia="en-US" w:bidi="en-US"/>
                      </w:rPr>
                      <w:t>adin.pmmaraa@amail.com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967740</wp:posOffset>
              </wp:positionH>
              <wp:positionV relativeFrom="page">
                <wp:posOffset>441960</wp:posOffset>
              </wp:positionV>
              <wp:extent cx="1009015" cy="75882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09015" cy="7588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12190" cy="762000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12190" cy="7620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76.200000000000003pt;margin-top:34.799999999999997pt;width:79.450000000000003pt;height:59.75pt;z-index:-1887440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12190" cy="762000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12190" cy="7620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5771515</wp:posOffset>
              </wp:positionH>
              <wp:positionV relativeFrom="page">
                <wp:posOffset>460375</wp:posOffset>
              </wp:positionV>
              <wp:extent cx="984250" cy="53975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84250" cy="5397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987425" cy="542290"/>
                                <wp:docPr id="26" name="Picutre 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987425" cy="54229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454.44999999999999pt;margin-top:36.25pt;width:77.5pt;height:42.5pt;z-index:-1887440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987425" cy="542290"/>
                          <wp:docPr id="28" name="Picutre 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8" name="Picture 2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987425" cy="54229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2583180</wp:posOffset>
              </wp:positionH>
              <wp:positionV relativeFrom="page">
                <wp:posOffset>746760</wp:posOffset>
              </wp:positionV>
              <wp:extent cx="2788920" cy="28956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8920" cy="2895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PREFEITURA MUNICIPAL DE MARAÃ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203.40000000000001pt;margin-top:58.799999999999997pt;width:219.59999999999999pt;height:22.800000000000001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PREFEITURA MUNICIPAL DE MARAÃ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1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Other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Picture caption|1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w w:val="70"/>
      <w:sz w:val="18"/>
      <w:szCs w:val="18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460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20"/>
      <w:ind w:left="1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  <w:spacing w:after="26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Other|1"/>
    <w:basedOn w:val="Normal"/>
    <w:link w:val="CharStyle20"/>
    <w:pPr>
      <w:widowControl w:val="0"/>
      <w:shd w:val="clear" w:color="auto" w:fill="FFFFFF"/>
      <w:spacing w:after="260" w:line="36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Picture caption|1"/>
    <w:basedOn w:val="Normal"/>
    <w:link w:val="CharStyle2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w w:val="7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footer" Target="footer1.xml"/><Relationship Id="rId16" Type="http://schemas.openxmlformats.org/officeDocument/2006/relationships/image" Target="media/image6.png"/><Relationship Id="rId17" Type="http://schemas.openxmlformats.org/officeDocument/2006/relationships/image" Target="media/image6.png" TargetMode="External"/><Relationship Id="rId18" Type="http://schemas.openxmlformats.org/officeDocument/2006/relationships/image" Target="media/image7.png"/><Relationship Id="rId19" Type="http://schemas.openxmlformats.org/officeDocument/2006/relationships/image" Target="media/image7.png" TargetMode="External"/><Relationship Id="rId20" Type="http://schemas.openxmlformats.org/officeDocument/2006/relationships/image" Target="media/image8.png"/><Relationship Id="rId21" Type="http://schemas.openxmlformats.org/officeDocument/2006/relationships/image" Target="media/image8.png" TargetMode="External"/><Relationship Id="rId22" Type="http://schemas.openxmlformats.org/officeDocument/2006/relationships/header" Target="header1.xml"/><Relationship Id="rId23" Type="http://schemas.openxmlformats.org/officeDocument/2006/relationships/footer" Target="footer2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9.png" TargetMode="External"/><Relationship Id="rId3" Type="http://schemas.openxmlformats.org/officeDocument/2006/relationships/image" Target="media/image10.png"/><Relationship Id="rId4" Type="http://schemas.openxmlformats.org/officeDocument/2006/relationships/image" Target="media/image10.png" TargetMode="External"/></Relationships>
</file>