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2233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 - GAPREF</w:t>
        <w:br/>
        <w:t>CNPJ: 04.505.640/0001-04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 DE LEI N°. 007/2025-GPMM, DE 30 DE SETEMBRO DE 2025.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153" w:val="left"/>
        </w:tabs>
        <w:bidi w:val="0"/>
        <w:spacing w:before="0" w:after="100" w:line="240" w:lineRule="auto"/>
        <w:ind w:left="640" w:right="0" w:firstLine="0"/>
        <w:jc w:val="both"/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Ítí/A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Dispõe sobre o Plano Plurianual do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880" w:val="left"/>
          <w:tab w:pos="4153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/</w:t>
        <w:tab/>
        <w:t>Município de Maraã para o período 2026-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153" w:val="left"/>
        </w:tabs>
        <w:bidi w:val="0"/>
        <w:spacing w:before="0" w:after="380" w:line="240" w:lineRule="auto"/>
        <w:ind w:left="0" w:right="0" w:firstLine="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1373505</wp:posOffset>
            </wp:positionH>
            <wp:positionV relativeFrom="paragraph">
              <wp:posOffset>139700</wp:posOffset>
            </wp:positionV>
            <wp:extent cx="1810385" cy="389890"/>
            <wp:wrapTight wrapText="bothSides">
              <wp:wrapPolygon>
                <wp:start x="0" y="0"/>
                <wp:lineTo x="21600" y="0"/>
                <wp:lineTo x="21600" y="18028"/>
                <wp:lineTo x="801" y="18028"/>
                <wp:lineTo x="801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1038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x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‘</w:t>
        <w:tab/>
        <w:t>2029.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 PREFEITO DO MUNICÍPIO DE MARAÃ,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faço saber que a Câmara Municipal aprovou e eu sanciono a seguinte Lei: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instituído o Plano Plurianual - PPA para o período de 2026-2029, estabelecendo, em cumprimento ao disposto no art. 165, inciso I e §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 Constituição Federal e art. 157, inciso I e §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Constituição Estadual, as diretrizes, objetivos e metas da Administração Pública Municipal para as despesas de capital, outras delas decorrentes e para as relativas aos programas de duração continuada, na forma dos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Anexos I e II,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 Lei.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Integram o Plano Plurianual: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line="34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Anexo 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Orientação Estratégica de Governo;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line="34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Anexo II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Relatórios do PPA;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line="348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Anexo III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Metas e Prioridades da Administração Municipal para o exercício de 2026;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380" w:line="240" w:lineRule="auto"/>
        <w:ind w:left="7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Anexo IV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Documentação da Audiência Pública; 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365" w:left="1539" w:right="1170" w:bottom="1365" w:header="0" w:footer="937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88900" distR="88900" simplePos="0" relativeHeight="125829379" behindDoc="0" locked="0" layoutInCell="1" allowOverlap="1">
            <wp:simplePos x="0" y="0"/>
            <wp:positionH relativeFrom="page">
              <wp:posOffset>979805</wp:posOffset>
            </wp:positionH>
            <wp:positionV relativeFrom="paragraph">
              <wp:posOffset>38100</wp:posOffset>
            </wp:positionV>
            <wp:extent cx="670560" cy="59118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056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Anexo V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Auxiliares.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cumprimento das disposições constitucionais que disciplinam o Plano Plurianual e para efeito desta Lei,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Programa: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instrumento de organização da atuação governamental que articula um conjunto de ações que concorrem para a concretização de um objetivo comum preestabelecido, mensurado por indicadores instituídos no plano, visando à solução de um problema ou o atendimento de determinada necessidade ou demanda da sociedade. São tipos de programas: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 Finalístico: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 em bens e/ou serviços ofertados diretamente à sociedade, cujos resultados sejam passíveis de mensuração;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 de Apoio Administrativo: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engloba ações de natureza tipicamente administrativa que, embora colaborem para a consecução dos objetivos dos programas finalístico e demais programas, não têm suas despesas passíveis de apropriação, no momento, àqueles programas;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Objetivo: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expressa o resultado que se deseja alcançar, ou seja, a transformação da situação a qual o programa se propõe modificar;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conjunto de operações das quais resultam bens ou serviços que concorrem para atender aos objetivos de um programa,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classificando-se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instrumento de programação utilizado para alcançar o objetivo de um programa, envolvendo um conjunto de operações, limitadas no tempo, das quais resulta um produto que concorre para a expansão ou o aperfeiçoamento da ação de Governo;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Atividade: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instrumento de programação utilizado para alcançar o objetivo de um programa, envolvendo um conjunto de operações que se realizam de modo contínuo e permanente, das quais resulta um produto ou serviço necessário à manutenção da ação de Governo.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c) Operação Especial: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que não contribuem para manutenção, expansão ou aperfeiçoamento das ações de governo, das quais não resulta um produto e não gera contraprestação direta sob a forma de bens e serviços.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Horizonte Temporal: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estabelece o período de vigência do programa, podendo ser contínuo ou temporário;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Público Alvo: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segmento(s) da sociedade ao(s) qual(is) o programa se destina e que se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benefida(m)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direta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legitimamente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sua execução;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Produto: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bem ou serviço que resulta da ação, destinado ao público-alvo ou o investimento para a produção deste bem ou serviço;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Unidade de Medida: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padrão selecionado para mensurar a produção do bem ou serviço;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4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Meta Física: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a quantidade de produto a ser ofertado por ação, num determinado período e instituída para cada ano;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42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Meta Financeira: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define a quantidade de recursos disponíveis para o período estabelecido.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valores financeiros estabelecidos para as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são estimativos, não se constituindo em limites à programação das despesas expressas nas leis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00"/>
        <w:jc w:val="both"/>
        <w:sectPr>
          <w:headerReference w:type="default" r:id="rId11"/>
          <w:head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941" w:left="1644" w:right="991" w:bottom="1580" w:header="0" w:footer="1152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metas da Administração Pública Municipal, para cada exercício de vigência do Plano Plurianual, serão apropriadas pela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observadas as prioridades e regras estabelecidas na Lei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pertinente e a disponibilidade anual efetiva de recursos financeiros.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títulos dos programas e ações do Plano Plurianual serão aplicados nas leis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 leis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seus créditos adicionais e nas leis que as modifiquem.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alteração ou a exclusão de programas constantes do Plano Plurianual, assim como a inclusão de novos programas, será proposta pelo Poder Executivo, por meio de projeto de lei de revisão anual ou específico, ressalvado o disposto nos §§ 3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4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 de programa: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8" w:val="left"/>
        </w:tabs>
        <w:bidi w:val="0"/>
        <w:spacing w:before="0" w:line="36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adequação de denominação ou do objetivo e modificação do público-alvo;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inclusão ou exclusão de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alterações no Plano Plurianual deverão ter a mesma formatação e conter todos os elementos presentes nesta Lei.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48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inclusões, exclusões e alterações de 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poderão ocorrer por intermédio da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de seus créditos adicionais especiais.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 Poder Executivo autorizado a incluir, excluir ou alterar produtos, unidades de medidas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metas das ações do Plano Plurianual, desde que contribuam para a realização dos objetivos do programa e não afetem a consistência deste.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do disposto no artigo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da Lei de Diretrizes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LDO 2026, as Metas e Prioridades para o exercício financeiro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60" w:right="0" w:firstLine="0"/>
        <w:jc w:val="lef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944880</wp:posOffset>
            </wp:positionH>
            <wp:positionV relativeFrom="margin">
              <wp:posOffset>-204470</wp:posOffset>
            </wp:positionV>
            <wp:extent cx="987425" cy="743585"/>
            <wp:wrapSquare wrapText="bothSides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8742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MARAÃ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0" w:firstLine="254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5626735</wp:posOffset>
            </wp:positionH>
            <wp:positionV relativeFrom="margin">
              <wp:posOffset>-158750</wp:posOffset>
            </wp:positionV>
            <wp:extent cx="963295" cy="676910"/>
            <wp:wrapSquare wrapText="lef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6329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- GAPREF CNPJ: 04.505.640/0001-04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2026 são as especificadas no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III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integra esta Lei, as quais terão precedência 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recursos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2026, não se constituindo, todavia, em limite à programação das despesas.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7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em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Maraã-AM, 30 de setembro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5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EDIR COSTA CASTELO BRANCO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sectPr>
          <w:headerReference w:type="default" r:id="rId17"/>
          <w:headerReference w:type="even" r:id="rId1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41" w:left="1644" w:right="991" w:bottom="15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de Maraã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7" w:left="0" w:right="0" w:bottom="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5" w:h="206" w:wrap="none" w:vAnchor="text" w:hAnchor="page" w:x="90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u w:val="none"/>
          <w:shd w:val="clear" w:color="auto" w:fill="auto"/>
          <w:lang w:val="pt-PT" w:eastAsia="pt-PT" w:bidi="pt-PT"/>
        </w:rPr>
        <w:t>Ss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agas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IMII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u w:val="none"/>
          <w:shd w:val="clear" w:color="auto" w:fill="auto"/>
          <w:lang w:val="pt-PT" w:eastAsia="pt-PT" w:bidi="pt-PT"/>
        </w:rPr>
        <w:t>Illlll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IIML, </w:t>
      </w:r>
      <w:r>
        <w:rPr>
          <w:color w:val="000000"/>
          <w:spacing w:val="0"/>
          <w:w w:val="100"/>
          <w:position w:val="0"/>
          <w:sz w:val="10"/>
          <w:szCs w:val="10"/>
          <w:u w:val="none"/>
          <w:shd w:val="clear" w:color="auto" w:fill="auto"/>
          <w:lang w:val="pt-PT" w:eastAsia="pt-PT" w:bidi="pt-PT"/>
        </w:rPr>
        <w:t>giSa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ffiW</w:t>
      </w:r>
      <w:r>
        <w:rPr>
          <w:color w:val="000000"/>
          <w:spacing w:val="0"/>
          <w:w w:val="100"/>
          <w:position w:val="0"/>
          <w:sz w:val="10"/>
          <w:szCs w:val="10"/>
          <w:u w:val="none"/>
          <w:shd w:val="clear" w:color="auto" w:fill="auto"/>
          <w:lang w:val="pt-PT" w:eastAsia="pt-PT" w:bidi="pt-PT"/>
        </w:rPr>
        <w:t>l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lilllll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</w:t>
      </w:r>
    </w:p>
    <w:p>
      <w:pPr>
        <w:pStyle w:val="Style15"/>
        <w:keepNext w:val="0"/>
        <w:keepLines w:val="0"/>
        <w:framePr w:w="413" w:h="1267" w:wrap="none" w:vAnchor="text" w:hAnchor="page" w:x="553" w:y="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iHüi</w:t>
      </w:r>
    </w:p>
    <w:p>
      <w:pPr>
        <w:pStyle w:val="Style15"/>
        <w:keepNext w:val="0"/>
        <w:keepLines w:val="0"/>
        <w:framePr w:w="408" w:h="936" w:wrap="none" w:vAnchor="text" w:hAnchor="page" w:x="923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smallCaps/>
          <w:color w:val="000000"/>
          <w:spacing w:val="0"/>
          <w:w w:val="100"/>
          <w:position w:val="0"/>
          <w:sz w:val="22"/>
          <w:szCs w:val="22"/>
          <w:u w:val="none"/>
          <w:shd w:val="clear" w:color="auto" w:fill="auto"/>
          <w:lang w:val="pt-PT" w:eastAsia="pt-PT" w:bidi="pt-PT"/>
        </w:rPr>
        <w:t>iiiiiiii</w:t>
      </w:r>
    </w:p>
    <w:p>
      <w:pPr>
        <w:pStyle w:val="Style15"/>
        <w:keepNext w:val="0"/>
        <w:keepLines w:val="0"/>
        <w:framePr w:w="408" w:h="936" w:wrap="none" w:vAnchor="text" w:hAnchor="page" w:x="923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■</w:t>
      </w:r>
    </w:p>
    <w:p>
      <w:pPr>
        <w:pStyle w:val="Style15"/>
        <w:keepNext w:val="0"/>
        <w:keepLines w:val="0"/>
        <w:framePr w:w="408" w:h="936" w:wrap="none" w:vAnchor="text" w:hAnchor="page" w:x="923" w:y="19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■</w:t>
      </w:r>
    </w:p>
    <w:p>
      <w:pPr>
        <w:pStyle w:val="Style15"/>
        <w:keepNext w:val="0"/>
        <w:keepLines w:val="0"/>
        <w:framePr w:w="408" w:h="936" w:wrap="none" w:vAnchor="text" w:hAnchor="page" w:x="923" w:y="19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lü</w:t>
      </w:r>
    </w:p>
    <w:p>
      <w:pPr>
        <w:pStyle w:val="Style23"/>
        <w:keepNext w:val="0"/>
        <w:keepLines w:val="0"/>
        <w:framePr w:w="230" w:h="197" w:wrap="none" w:vAnchor="text" w:hAnchor="page" w:x="3731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«t</w:t>
      </w:r>
    </w:p>
    <w:p>
      <w:pPr>
        <w:pStyle w:val="Style9"/>
        <w:keepNext w:val="0"/>
        <w:keepLines w:val="0"/>
        <w:framePr w:w="480" w:h="317" w:wrap="none" w:vAnchor="text" w:hAnchor="page" w:x="3995" w:y="90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•"'m?</w:t>
      </w:r>
    </w:p>
    <w:p>
      <w:pPr>
        <w:widowControl w:val="0"/>
        <w:spacing w:after="0" w:line="1" w:lineRule="exact"/>
      </w:pPr>
      <w:r>
        <w:drawing>
          <wp:anchor distT="191770" distB="0" distL="441960" distR="0" simplePos="0" relativeHeight="62914716" behindDoc="1" locked="0" layoutInCell="1" allowOverlap="1">
            <wp:simplePos x="0" y="0"/>
            <wp:positionH relativeFrom="page">
              <wp:posOffset>792480</wp:posOffset>
            </wp:positionH>
            <wp:positionV relativeFrom="paragraph">
              <wp:posOffset>204470</wp:posOffset>
            </wp:positionV>
            <wp:extent cx="762000" cy="65214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6200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17" w:left="623" w:right="963" w:bottom="7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5536565</wp:posOffset>
              </wp:positionH>
              <wp:positionV relativeFrom="page">
                <wp:posOffset>946150</wp:posOffset>
              </wp:positionV>
              <wp:extent cx="963295" cy="6553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3295" cy="655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658495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6584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35.94999999999999pt;margin-top:74.5pt;width:75.849999999999994pt;height:51.600000000000001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658495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6584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2607945</wp:posOffset>
              </wp:positionH>
              <wp:positionV relativeFrom="page">
                <wp:posOffset>1120140</wp:posOffset>
              </wp:positionV>
              <wp:extent cx="2642870" cy="2959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42870" cy="295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vertAlign w:val="subscript"/>
                              <w:lang w:val="pt-BR" w:eastAsia="pt-BR" w:bidi="pt-BR"/>
                            </w:rPr>
                            <w:t>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x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 xml:space="preserve"> 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05.34999999999999pt;margin-top:88.200000000000003pt;width:208.09999999999999pt;height:23.3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vertAlign w:val="subscript"/>
                        <w:lang w:val="pt-BR" w:eastAsia="pt-BR" w:bidi="pt-BR"/>
                      </w:rPr>
                      <w:t>k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vertAlign w:val="superscript"/>
                        <w:lang w:val="pt-BR" w:eastAsia="pt-BR" w:bidi="pt-BR"/>
                      </w:rPr>
                      <w:t>x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 xml:space="preserve"> 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5536565</wp:posOffset>
              </wp:positionH>
              <wp:positionV relativeFrom="page">
                <wp:posOffset>946150</wp:posOffset>
              </wp:positionV>
              <wp:extent cx="963295" cy="6553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3295" cy="655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658495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6584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435.94999999999999pt;margin-top:74.5pt;width:75.849999999999994pt;height:51.600000000000001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658495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6584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2607945</wp:posOffset>
              </wp:positionH>
              <wp:positionV relativeFrom="page">
                <wp:posOffset>1120140</wp:posOffset>
              </wp:positionV>
              <wp:extent cx="2642870" cy="2959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42870" cy="295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vertAlign w:val="subscript"/>
                              <w:lang w:val="pt-BR" w:eastAsia="pt-BR" w:bidi="pt-BR"/>
                            </w:rPr>
                            <w:t>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x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 xml:space="preserve"> 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05.34999999999999pt;margin-top:88.200000000000003pt;width:208.09999999999999pt;height:23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vertAlign w:val="subscript"/>
                        <w:lang w:val="pt-BR" w:eastAsia="pt-BR" w:bidi="pt-BR"/>
                      </w:rPr>
                      <w:t>k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vertAlign w:val="superscript"/>
                        <w:lang w:val="pt-BR" w:eastAsia="pt-BR" w:bidi="pt-BR"/>
                      </w:rPr>
                      <w:t>x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 xml:space="preserve"> 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427990</wp:posOffset>
              </wp:positionV>
              <wp:extent cx="984250" cy="74041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43585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73.599999999999994pt;margin-top:33.700000000000003pt;width:77.5pt;height:58.299999999999997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43585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5615940</wp:posOffset>
              </wp:positionH>
              <wp:positionV relativeFrom="page">
                <wp:posOffset>464820</wp:posOffset>
              </wp:positionV>
              <wp:extent cx="960120" cy="68580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688975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6329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442.19999999999999pt;margin-top:36.600000000000001pt;width:75.599999999999994pt;height:54.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688975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6329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2613660</wp:posOffset>
              </wp:positionH>
              <wp:positionV relativeFrom="page">
                <wp:posOffset>662940</wp:posOffset>
              </wp:positionV>
              <wp:extent cx="2712720" cy="27749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205.80000000000001pt;margin-top:52.200000000000003pt;width:213.59999999999999pt;height:21.8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427990</wp:posOffset>
              </wp:positionV>
              <wp:extent cx="984250" cy="7404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43585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73.599999999999994pt;margin-top:33.700000000000003pt;width:77.5pt;height:58.299999999999997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43585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5615940</wp:posOffset>
              </wp:positionH>
              <wp:positionV relativeFrom="page">
                <wp:posOffset>464820</wp:posOffset>
              </wp:positionV>
              <wp:extent cx="960120" cy="68580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688975"/>
                                <wp:docPr id="32" name="Picutre 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6329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442.19999999999999pt;margin-top:36.600000000000001pt;width:75.599999999999994pt;height:54.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688975"/>
                          <wp:docPr id="34" name="Picutre 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Picture 3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6329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2613660</wp:posOffset>
              </wp:positionH>
              <wp:positionV relativeFrom="page">
                <wp:posOffset>662940</wp:posOffset>
              </wp:positionV>
              <wp:extent cx="2712720" cy="27749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05.80000000000001pt;margin-top:52.200000000000003pt;width:213.59999999999999pt;height:21.85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913130</wp:posOffset>
              </wp:positionH>
              <wp:positionV relativeFrom="page">
                <wp:posOffset>431165</wp:posOffset>
              </wp:positionV>
              <wp:extent cx="984250" cy="73787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37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37870"/>
                                <wp:docPr id="42" name="Picutre 4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" name="Picture 4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378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71.900000000000006pt;margin-top:33.950000000000003pt;width:77.5pt;height:58.100000000000001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37870"/>
                          <wp:docPr id="44" name="Picutre 4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4" name="Picture 4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378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5594985</wp:posOffset>
              </wp:positionH>
              <wp:positionV relativeFrom="page">
                <wp:posOffset>464820</wp:posOffset>
              </wp:positionV>
              <wp:extent cx="960120" cy="67056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670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670560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63295" cy="6705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440.55000000000001pt;margin-top:36.600000000000001pt;width:75.599999999999994pt;height:52.799999999999997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670560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63295" cy="6705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2595880</wp:posOffset>
              </wp:positionH>
              <wp:positionV relativeFrom="page">
                <wp:posOffset>662940</wp:posOffset>
              </wp:positionV>
              <wp:extent cx="2709545" cy="28067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MARAÂ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204.40000000000001pt;margin-top:52.200000000000003pt;width:213.34999999999999pt;height:22.1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character" w:customStyle="1" w:styleId="CharStyle24">
    <w:name w:val="Body text|4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960"/>
      <w:ind w:left="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34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  <w:spacing w:line="19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image" Target="media/image6.png"/><Relationship Id="rId14" Type="http://schemas.openxmlformats.org/officeDocument/2006/relationships/image" Target="media/image6.png" TargetMode="External"/><Relationship Id="rId15" Type="http://schemas.openxmlformats.org/officeDocument/2006/relationships/image" Target="media/image7.png"/><Relationship Id="rId16" Type="http://schemas.openxmlformats.org/officeDocument/2006/relationships/image" Target="media/image7.png" TargetMode="External"/><Relationship Id="rId17" Type="http://schemas.openxmlformats.org/officeDocument/2006/relationships/header" Target="header5.xml"/><Relationship Id="rId18" Type="http://schemas.openxmlformats.org/officeDocument/2006/relationships/header" Target="header6.xml"/><Relationship Id="rId19" Type="http://schemas.openxmlformats.org/officeDocument/2006/relationships/image" Target="media/image10.png"/><Relationship Id="rId20" Type="http://schemas.openxmlformats.org/officeDocument/2006/relationships/image" Target="media/image10.pn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2.pn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2.pn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4.png" TargetMode="External"/><Relationship Id="rId3" Type="http://schemas.openxmlformats.org/officeDocument/2006/relationships/image" Target="media/image5.png"/><Relationship Id="rId4" Type="http://schemas.openxmlformats.org/officeDocument/2006/relationships/image" Target="media/image5.pn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4.png" TargetMode="External"/><Relationship Id="rId3" Type="http://schemas.openxmlformats.org/officeDocument/2006/relationships/image" Target="media/image5.png"/><Relationship Id="rId4" Type="http://schemas.openxmlformats.org/officeDocument/2006/relationships/image" Target="media/image5.pn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png"/><Relationship Id="rId2" Type="http://schemas.openxmlformats.org/officeDocument/2006/relationships/image" Target="media/image8.png" TargetMode="External"/><Relationship Id="rId3" Type="http://schemas.openxmlformats.org/officeDocument/2006/relationships/image" Target="media/image9.png"/><Relationship Id="rId4" Type="http://schemas.openxmlformats.org/officeDocument/2006/relationships/image" Target="media/image9.png" TargetMode="External"/></Relationships>
</file>