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3331210</wp:posOffset>
                </wp:positionH>
                <wp:positionV relativeFrom="paragraph">
                  <wp:posOffset>12700</wp:posOffset>
                </wp:positionV>
                <wp:extent cx="1040765" cy="106299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0765" cy="10629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69"/>
                              <w:gridCol w:w="958"/>
                              <w:gridCol w:w="312"/>
                            </w:tblGrid>
                            <w:tr>
                              <w:trPr>
                                <w:tblHeader/>
                                <w:trHeight w:val="468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93B41"/>
                                      <w:left w:val="single" w:sz="0" w:space="0" w:color="393B41"/>
                                      <w:bottom w:val="single" w:sz="0" w:space="0" w:color="393B41"/>
                                      <w:right w:val="single" w:sz="0" w:space="0" w:color="393B41"/>
                                    </w:pBdr>
                                    <w:shd w:val="clear" w:color="auto" w:fill="393B41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68"/>
                                      <w:szCs w:val="6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68"/>
                                      <w:szCs w:val="68"/>
                                      <w:shd w:val="clear" w:color="auto" w:fill="auto"/>
                                      <w:lang w:val="pt-PT" w:eastAsia="pt-PT" w:bidi="pt-PT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7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73A41"/>
                                      <w:left w:val="single" w:sz="0" w:space="0" w:color="373A41"/>
                                      <w:bottom w:val="single" w:sz="0" w:space="0" w:color="373A41"/>
                                      <w:right w:val="single" w:sz="0" w:space="0" w:color="373A41"/>
                                    </w:pBdr>
                                    <w:shd w:val="clear" w:color="auto" w:fill="373A41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4"/>
                                      <w:szCs w:val="44"/>
                                      <w:shd w:val="clear" w:color="auto" w:fill="auto"/>
                                      <w:lang w:val="pt-PT" w:eastAsia="pt-PT" w:bidi="pt-PT"/>
                                    </w:rPr>
                                    <w:t>r.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73A41"/>
                                      <w:left w:val="single" w:sz="0" w:space="0" w:color="373A41"/>
                                      <w:bottom w:val="single" w:sz="0" w:space="0" w:color="373A41"/>
                                      <w:right w:val="single" w:sz="0" w:space="0" w:color="373A41"/>
                                    </w:pBdr>
                                    <w:shd w:val="clear" w:color="auto" w:fill="373A41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4"/>
                                      <w:szCs w:val="44"/>
                                      <w:shd w:val="clear" w:color="auto" w:fill="auto"/>
                                      <w:lang w:val="pt-PT" w:eastAsia="pt-PT" w:bidi="pt-PT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6383E"/>
                                      <w:left w:val="single" w:sz="0" w:space="0" w:color="36383E"/>
                                      <w:bottom w:val="single" w:sz="0" w:space="0" w:color="36383E"/>
                                      <w:right w:val="single" w:sz="0" w:space="0" w:color="36383E"/>
                                    </w:pBdr>
                                    <w:shd w:val="clear" w:color="auto" w:fill="36383E"/>
                                    <w:bidi w:val="0"/>
                                    <w:spacing w:before="0" w:after="120" w:line="240" w:lineRule="auto"/>
                                    <w:ind w:left="0" w:right="0" w:firstLine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BR" w:eastAsia="pt-BR" w:bidi="pt-BR"/>
                                    </w:rPr>
                                    <w:t>T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6383E"/>
                                      <w:left w:val="single" w:sz="0" w:space="0" w:color="36383E"/>
                                      <w:bottom w:val="single" w:sz="0" w:space="0" w:color="36383E"/>
                                      <w:right w:val="single" w:sz="0" w:space="0" w:color="36383E"/>
                                    </w:pBdr>
                                    <w:shd w:val="clear" w:color="auto" w:fill="36383E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PT" w:eastAsia="pt-PT" w:bidi="pt-PT"/>
                                    </w:rPr>
                                    <w:t>-tâs-</w:t>
                                  </w:r>
                                </w:p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6383E"/>
                                      <w:left w:val="single" w:sz="0" w:space="0" w:color="36383E"/>
                                      <w:bottom w:val="single" w:sz="0" w:space="0" w:color="36383E"/>
                                      <w:right w:val="single" w:sz="0" w:space="0" w:color="36383E"/>
                                    </w:pBdr>
                                    <w:shd w:val="clear" w:color="auto" w:fill="36383E"/>
                                    <w:bidi w:val="0"/>
                                    <w:spacing w:before="0" w:after="60" w:line="240" w:lineRule="auto"/>
                                    <w:ind w:left="0" w:right="0" w:firstLine="0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PT" w:eastAsia="pt-PT" w:bidi="pt-PT"/>
                                    </w:rPr>
                                    <w:t>FUNPREVIM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73A41"/>
                                      <w:left w:val="single" w:sz="0" w:space="0" w:color="373A41"/>
                                      <w:bottom w:val="single" w:sz="0" w:space="0" w:color="373A41"/>
                                      <w:right w:val="single" w:sz="0" w:space="0" w:color="373A41"/>
                                    </w:pBdr>
                                    <w:shd w:val="clear" w:color="auto" w:fill="373A41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42"/>
                                      <w:szCs w:val="4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2"/>
                                      <w:szCs w:val="42"/>
                                      <w:shd w:val="clear" w:color="auto" w:fill="auto"/>
                                      <w:lang w:val="pt-PT" w:eastAsia="pt-PT" w:bidi="pt-PT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19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83C42"/>
                                      <w:left w:val="single" w:sz="0" w:space="0" w:color="383C42"/>
                                      <w:bottom w:val="single" w:sz="0" w:space="0" w:color="383C42"/>
                                      <w:right w:val="single" w:sz="0" w:space="0" w:color="383C42"/>
                                    </w:pBdr>
                                    <w:shd w:val="clear" w:color="auto" w:fill="383C42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8"/>
                                      <w:szCs w:val="8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NIANAC </w:t>
                                  </w:r>
                                  <w:r>
                                    <w:rPr>
                                      <w:smallCap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8"/>
                                      <w:szCs w:val="8"/>
                                      <w:shd w:val="clear" w:color="auto" w:fill="auto"/>
                                      <w:lang w:val="pt-PT" w:eastAsia="pt-PT" w:bidi="pt-PT"/>
                                    </w:rPr>
                                    <w:t>AMjHiI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93B42"/>
                                      <w:left w:val="single" w:sz="0" w:space="0" w:color="393B42"/>
                                      <w:bottom w:val="single" w:sz="0" w:space="0" w:color="393B42"/>
                                      <w:right w:val="single" w:sz="0" w:space="0" w:color="393B42"/>
                                    </w:pBdr>
                                    <w:shd w:val="clear" w:color="auto" w:fill="393B42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42"/>
                                      <w:szCs w:val="42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42"/>
                                      <w:szCs w:val="42"/>
                                      <w:shd w:val="clear" w:color="auto" w:fill="auto"/>
                                      <w:lang w:val="pt-PT" w:eastAsia="pt-PT" w:bidi="pt-PT"/>
                                    </w:rPr>
                                    <w:t>à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62.30000000000001pt;margin-top:1.pt;width:81.950000000000003pt;height:83.700000000000003pt;z-index:-125829375;mso-wrap-distance-left:9.pt;mso-wrap-distance-right:9.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69"/>
                        <w:gridCol w:w="958"/>
                        <w:gridCol w:w="312"/>
                      </w:tblGrid>
                      <w:tr>
                        <w:trPr>
                          <w:tblHeader/>
                          <w:trHeight w:val="468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93B41"/>
                                <w:left w:val="single" w:sz="0" w:space="0" w:color="393B41"/>
                                <w:bottom w:val="single" w:sz="0" w:space="0" w:color="393B41"/>
                                <w:right w:val="single" w:sz="0" w:space="0" w:color="393B41"/>
                              </w:pBdr>
                              <w:shd w:val="clear" w:color="auto" w:fill="393B41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pt-PT" w:eastAsia="pt-PT" w:bidi="pt-PT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787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73A41"/>
                                <w:left w:val="single" w:sz="0" w:space="0" w:color="373A41"/>
                                <w:bottom w:val="single" w:sz="0" w:space="0" w:color="373A41"/>
                                <w:right w:val="single" w:sz="0" w:space="0" w:color="373A41"/>
                              </w:pBdr>
                              <w:shd w:val="clear" w:color="auto" w:fill="373A41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44"/>
                                <w:szCs w:val="44"/>
                                <w:shd w:val="clear" w:color="auto" w:fill="auto"/>
                                <w:lang w:val="pt-PT" w:eastAsia="pt-PT" w:bidi="pt-PT"/>
                              </w:rPr>
                              <w:t>r.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73A41"/>
                                <w:left w:val="single" w:sz="0" w:space="0" w:color="373A41"/>
                                <w:bottom w:val="single" w:sz="0" w:space="0" w:color="373A41"/>
                                <w:right w:val="single" w:sz="0" w:space="0" w:color="373A41"/>
                              </w:pBdr>
                              <w:shd w:val="clear" w:color="auto" w:fill="373A41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44"/>
                                <w:szCs w:val="44"/>
                                <w:shd w:val="clear" w:color="auto" w:fill="auto"/>
                                <w:lang w:val="pt-PT" w:eastAsia="pt-PT" w:bidi="pt-PT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6383E"/>
                                <w:left w:val="single" w:sz="0" w:space="0" w:color="36383E"/>
                                <w:bottom w:val="single" w:sz="0" w:space="0" w:color="36383E"/>
                                <w:right w:val="single" w:sz="0" w:space="0" w:color="36383E"/>
                              </w:pBdr>
                              <w:shd w:val="clear" w:color="auto" w:fill="36383E"/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T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6383E"/>
                                <w:left w:val="single" w:sz="0" w:space="0" w:color="36383E"/>
                                <w:bottom w:val="single" w:sz="0" w:space="0" w:color="36383E"/>
                                <w:right w:val="single" w:sz="0" w:space="0" w:color="36383E"/>
                              </w:pBdr>
                              <w:shd w:val="clear" w:color="auto" w:fill="36383E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-tâs-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6383E"/>
                                <w:left w:val="single" w:sz="0" w:space="0" w:color="36383E"/>
                                <w:bottom w:val="single" w:sz="0" w:space="0" w:color="36383E"/>
                                <w:right w:val="single" w:sz="0" w:space="0" w:color="36383E"/>
                              </w:pBdr>
                              <w:shd w:val="clear" w:color="auto" w:fill="36383E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FUNPREVIM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73A41"/>
                                <w:left w:val="single" w:sz="0" w:space="0" w:color="373A41"/>
                                <w:bottom w:val="single" w:sz="0" w:space="0" w:color="373A41"/>
                                <w:right w:val="single" w:sz="0" w:space="0" w:color="373A41"/>
                              </w:pBdr>
                              <w:shd w:val="clear" w:color="auto" w:fill="373A41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419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35373D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83C42"/>
                                <w:left w:val="single" w:sz="0" w:space="0" w:color="383C42"/>
                                <w:bottom w:val="single" w:sz="0" w:space="0" w:color="383C42"/>
                                <w:right w:val="single" w:sz="0" w:space="0" w:color="383C42"/>
                              </w:pBdr>
                              <w:shd w:val="clear" w:color="auto" w:fill="383C42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PT" w:eastAsia="pt-PT" w:bidi="pt-PT"/>
                              </w:rPr>
                              <w:t xml:space="preserve">NIANAC </w:t>
                            </w:r>
                            <w:r>
                              <w:rPr>
                                <w:smallCaps/>
                                <w:color w:val="FFFFFF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PT" w:eastAsia="pt-PT" w:bidi="pt-PT"/>
                              </w:rPr>
                              <w:t>AMjHiI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93B42"/>
                                <w:left w:val="single" w:sz="0" w:space="0" w:color="393B42"/>
                                <w:bottom w:val="single" w:sz="0" w:space="0" w:color="393B42"/>
                                <w:right w:val="single" w:sz="0" w:space="0" w:color="393B42"/>
                              </w:pBdr>
                              <w:shd w:val="clear" w:color="auto" w:fill="393B42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42"/>
                                <w:szCs w:val="42"/>
                                <w:shd w:val="clear" w:color="auto" w:fill="auto"/>
                                <w:lang w:val="pt-PT" w:eastAsia="pt-PT" w:bidi="pt-PT"/>
                              </w:rPr>
                              <w:t>à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44" w:lineRule="auto"/>
        <w:ind w:left="400" w:right="0" w:hanging="4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N°. 001/2025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444" w:lineRule="auto"/>
        <w:ind w:left="0" w:right="382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PROCESO DE INEXIGIBILIDADE N°. 001/2025 PROTOCOLO N°. 00081310/2025/0003-SEMAD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466" w:lineRule="auto"/>
        <w:ind w:left="330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CONTRATO DE PRESTAÇÃO DE SERVIÇOS TÉCNICOS ATUARIAIS, QUE ENTRE SI FIRMAM DE UM LADO O FUNDO MUNICIPAL DE PREVIDÊNCIA SOCIAL DO MUNICÍPIO DE MANACAPURU/FUNPREVIM, E, DE OUTRO LADO BRASILIS CONSULTORIA ATUARIAL LTDA, CONFORME AS CLÁUSULAS ABAIXO: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14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CONTRATANTE: FUNDO MUNICIPAL DE PREVIDÊNCIA SOCIAL DO MUNICÍPIO DE MANACAPURU/FUNPREVIM,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na cidade de Manacapuru, Estado do Amazonas, , inscrito no CNPJ n° 14.679.662/0001-00, Rua Codajás, 2.035 centro,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69.401.170 neste ato representado pelo Diretor Presidente Robson Rogério Teles Bezerra, CPF 273.310.672-49, residente e domiciliado em Manacapuru/AM denominada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CONTRATANTE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BRASILIS CONSULTORIA ATUARIAL LTDA,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sede na Rua Queluzita, n°34, Bloco 02 Tower, salas 1401/1402, Bairro: Dom Joaquim, na cidade de Belo Horizonte/MG,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31.170-679, CNPJ n.° 05.068.624/00001-64, neste ato representado por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Thiago Costa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Fernandes,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do CPF 075.***.*86-01, denominada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celebram o presente contrato vinculado ao processo de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Inexigibilidade número 001/2025,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 fundamento no art. 75, inc. II,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Incisos I e II, em conjunto com Artigo 176, Inciso I do Parágrafo Único da Lei 14.133/21, mediante as seguintes cláusulas e condições: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420" w:lineRule="auto"/>
        <w:ind w:left="140" w:right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CLÁUSULA PRIMEIRA - OBJETO DO CONTRATO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394" w:lineRule="auto"/>
        <w:ind w:left="400" w:right="0" w:hanging="40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1.1 - A 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 presente instrumento, se obriga a prestar, à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serviços técnicos voltados à elaboração de Cálculo Atuarial exercícios 2022 até 2026, conforme apregoa a Portaria MTP n° 1.467/2022, e treinamento, orientação, assessoria no preenchimento e envio dos demonstrativos de informações Previdenciários e Repasses- DIPR, Demonstrativos de Aplicações e Investimentos de recursos - DAIR , Demonstrativo da Política de Investimento -DPIN e demonstrativos de Resultados da Avaliação Atuarial, que constam em aberto até a presente data, objetivando a regularização previdenciária do Município.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47" w:val="left"/>
        </w:tabs>
        <w:bidi w:val="0"/>
        <w:spacing w:before="0" w:after="0" w:line="444" w:lineRule="auto"/>
        <w:ind w:left="500" w:right="0" w:hanging="32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3448050</wp:posOffset>
                </wp:positionH>
                <wp:positionV relativeFrom="margin">
                  <wp:posOffset>-27305</wp:posOffset>
                </wp:positionV>
                <wp:extent cx="1035685" cy="96837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5685" cy="9683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326"/>
                              <w:gridCol w:w="986"/>
                              <w:gridCol w:w="319"/>
                            </w:tblGrid>
                            <w:tr>
                              <w:trPr>
                                <w:tblHeader/>
                                <w:trHeight w:val="461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13338"/>
                                      <w:left w:val="single" w:sz="0" w:space="0" w:color="313338"/>
                                      <w:bottom w:val="single" w:sz="0" w:space="0" w:color="313338"/>
                                      <w:right w:val="single" w:sz="0" w:space="0" w:color="313338"/>
                                    </w:pBdr>
                                    <w:shd w:val="clear" w:color="auto" w:fill="313338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68"/>
                                      <w:szCs w:val="6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68"/>
                                      <w:szCs w:val="68"/>
                                      <w:shd w:val="clear" w:color="auto" w:fill="auto"/>
                                      <w:lang w:val="pt-PT" w:eastAsia="pt-PT" w:bidi="pt-PT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2353A"/>
                                      <w:left w:val="single" w:sz="0" w:space="0" w:color="32353A"/>
                                      <w:bottom w:val="single" w:sz="0" w:space="0" w:color="32353A"/>
                                      <w:right w:val="single" w:sz="0" w:space="0" w:color="32353A"/>
                                    </w:pBdr>
                                    <w:shd w:val="clear" w:color="auto" w:fill="32353A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68"/>
                                      <w:szCs w:val="68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68"/>
                                      <w:szCs w:val="68"/>
                                      <w:shd w:val="clear" w:color="auto" w:fill="auto"/>
                                      <w:lang w:val="pt-PT" w:eastAsia="pt-PT" w:bidi="pt-PT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52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1343A"/>
                                      <w:left w:val="single" w:sz="0" w:space="0" w:color="31343A"/>
                                      <w:bottom w:val="single" w:sz="0" w:space="0" w:color="31343A"/>
                                      <w:right w:val="single" w:sz="0" w:space="0" w:color="31343A"/>
                                    </w:pBdr>
                                    <w:shd w:val="clear" w:color="auto" w:fill="31343A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PT" w:eastAsia="pt-PT" w:bidi="pt-PT"/>
                                    </w:rPr>
                                    <w:t>k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13439"/>
                                      <w:left w:val="single" w:sz="0" w:space="0" w:color="313439"/>
                                      <w:bottom w:val="single" w:sz="0" w:space="0" w:color="313439"/>
                                      <w:right w:val="single" w:sz="0" w:space="0" w:color="313439"/>
                                    </w:pBdr>
                                    <w:shd w:val="clear" w:color="auto" w:fill="313439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14"/>
                                      <w:szCs w:val="14"/>
                                      <w:shd w:val="clear" w:color="auto" w:fill="auto"/>
                                      <w:lang w:val="pt-PT" w:eastAsia="pt-PT" w:bidi="pt-PT"/>
                                    </w:rPr>
                                    <w:t>FUNPREVIM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30333A"/>
                                      <w:left w:val="single" w:sz="0" w:space="0" w:color="30333A"/>
                                      <w:bottom w:val="single" w:sz="0" w:space="0" w:color="30333A"/>
                                      <w:right w:val="single" w:sz="0" w:space="0" w:color="30333A"/>
                                    </w:pBdr>
                                    <w:shd w:val="clear" w:color="auto" w:fill="30333A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PT" w:eastAsia="pt-PT" w:bidi="pt-PT"/>
                                    </w:rPr>
                                    <w:t>Á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2" w:hRule="exact"/>
                              </w:trPr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35373D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pBdr>
                                      <w:top w:val="single" w:sz="0" w:space="0" w:color="2E3238"/>
                                      <w:left w:val="single" w:sz="0" w:space="0" w:color="2E3238"/>
                                      <w:bottom w:val="single" w:sz="0" w:space="0" w:color="2E3238"/>
                                      <w:right w:val="single" w:sz="0" w:space="0" w:color="2E3238"/>
                                    </w:pBdr>
                                    <w:shd w:val="clear" w:color="auto" w:fill="2E3238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>
                                    <w:rPr>
                                      <w:rFonts w:ascii="Times New Roman" w:eastAsia="Times New Roman" w:hAnsi="Times New Roman" w:cs="Times New Roman"/>
                                      <w:i/>
                                      <w:iCs/>
                                      <w:color w:val="FFFFFF"/>
                                      <w:spacing w:val="0"/>
                                      <w:w w:val="100"/>
                                      <w:position w:val="0"/>
                                      <w:sz w:val="30"/>
                                      <w:szCs w:val="30"/>
                                      <w:shd w:val="clear" w:color="auto" w:fill="auto"/>
                                      <w:lang w:val="pt-PT" w:eastAsia="pt-PT" w:bidi="pt-PT"/>
                                    </w:rPr>
                                    <w:t>À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71.5pt;margin-top:-2.1499999999999999pt;width:81.549999999999997pt;height:76.25pt;z-index:-125829373;mso-wrap-distance-left:9.pt;mso-wrap-distance-right:9.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326"/>
                        <w:gridCol w:w="986"/>
                        <w:gridCol w:w="319"/>
                      </w:tblGrid>
                      <w:tr>
                        <w:trPr>
                          <w:tblHeader/>
                          <w:trHeight w:val="461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13338"/>
                                <w:left w:val="single" w:sz="0" w:space="0" w:color="313338"/>
                                <w:bottom w:val="single" w:sz="0" w:space="0" w:color="313338"/>
                                <w:right w:val="single" w:sz="0" w:space="0" w:color="313338"/>
                              </w:pBdr>
                              <w:shd w:val="clear" w:color="auto" w:fill="313338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pt-PT" w:eastAsia="pt-PT" w:bidi="pt-PT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2353A"/>
                                <w:left w:val="single" w:sz="0" w:space="0" w:color="32353A"/>
                                <w:bottom w:val="single" w:sz="0" w:space="0" w:color="32353A"/>
                                <w:right w:val="single" w:sz="0" w:space="0" w:color="32353A"/>
                              </w:pBdr>
                              <w:shd w:val="clear" w:color="auto" w:fill="32353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68"/>
                                <w:szCs w:val="6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68"/>
                                <w:szCs w:val="68"/>
                                <w:shd w:val="clear" w:color="auto" w:fill="auto"/>
                                <w:lang w:val="pt-PT" w:eastAsia="pt-PT" w:bidi="pt-PT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752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1343A"/>
                                <w:left w:val="single" w:sz="0" w:space="0" w:color="31343A"/>
                                <w:bottom w:val="single" w:sz="0" w:space="0" w:color="31343A"/>
                                <w:right w:val="single" w:sz="0" w:space="0" w:color="31343A"/>
                              </w:pBdr>
                              <w:shd w:val="clear" w:color="auto" w:fill="31343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k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13439"/>
                                <w:left w:val="single" w:sz="0" w:space="0" w:color="313439"/>
                                <w:bottom w:val="single" w:sz="0" w:space="0" w:color="313439"/>
                                <w:right w:val="single" w:sz="0" w:space="0" w:color="313439"/>
                              </w:pBdr>
                              <w:shd w:val="clear" w:color="auto" w:fill="313439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FUNPREVIM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30333A"/>
                                <w:left w:val="single" w:sz="0" w:space="0" w:color="30333A"/>
                                <w:bottom w:val="single" w:sz="0" w:space="0" w:color="30333A"/>
                                <w:right w:val="single" w:sz="0" w:space="0" w:color="30333A"/>
                              </w:pBdr>
                              <w:shd w:val="clear" w:color="auto" w:fill="30333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PT" w:eastAsia="pt-PT" w:bidi="pt-PT"/>
                              </w:rPr>
                              <w:t>Á</w:t>
                            </w:r>
                          </w:p>
                        </w:tc>
                      </w:tr>
                      <w:tr>
                        <w:trPr>
                          <w:trHeight w:val="312" w:hRule="exact"/>
                        </w:trPr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35373D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2E3238"/>
                                <w:left w:val="single" w:sz="0" w:space="0" w:color="2E3238"/>
                                <w:bottom w:val="single" w:sz="0" w:space="0" w:color="2E3238"/>
                                <w:right w:val="single" w:sz="0" w:space="0" w:color="2E3238"/>
                              </w:pBdr>
                              <w:shd w:val="clear" w:color="auto" w:fill="2E3238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FFFFFF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PT" w:eastAsia="pt-PT" w:bidi="pt-PT"/>
                              </w:rPr>
                              <w:t>À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estabelece o art. 40 da Constituição Federal, o art. 69 da Lei Complementar n° 101/00, o 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9.717/98 e as Normativas da Secretaria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Previdência do Ministério do Trabalho e Previdência, em especial a Portaria MF n° 464 de 19 novembro de 2018, EC 103/2019 e Portaria MTP n°1467 de 02 de junho de 2022. 1.2 A Emenda Constitucional N° 103, de 12 de novembro de 2019 estabeleceu novas regras para a Previdência Social, principalmente para os RPPS, onde se estabeleceu uma série de modificações, algumas de aplicação imediata, outras com a prerrogativa dos Entes Federativos adotarem as regras estabelecidas ou até criarem suas próprias regras, entre tantas a possibilidade de adoção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alíquotas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extraordinárias e a adoção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alíquotas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progressivas para ativos, aposentados e pensionistas.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8" w:val="left"/>
        </w:tabs>
        <w:bidi w:val="0"/>
        <w:spacing w:before="0" w:after="280" w:line="422" w:lineRule="auto"/>
        <w:ind w:left="14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RPPS deverá ser garantido o equilíbrio financeiro e atuarial em conformidade com avaliações atuariais realizadas em cada exercício financeiro, para a organização e revisão do plano de custeio e de benefício, conforme apregoa a Portaria MTP n° 1.467/2022, bem como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relatórios, em consonância com as orientações e especificações técnicas definidas nos normativos inerentes à matéria.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2" w:lineRule="auto"/>
        <w:ind w:left="14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CLÁUSULA SEGUNDA - DA VINCULAÇÃO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28" w:val="left"/>
        </w:tabs>
        <w:bidi w:val="0"/>
        <w:spacing w:before="0" w:after="280" w:line="403" w:lineRule="auto"/>
        <w:ind w:left="14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Integram e completam o presente Termo Contratual, para todos os fins de direito, obrigando as partes em todos os seus termos, as condições expressas no processo de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Dispensa n° 001/2025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juntamente com seus anexos e a proposta da CONTRATADA, enviada para a CONTRATANTE em 17 de dezembro de 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32" w:lineRule="auto"/>
        <w:ind w:left="14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CLAUSULA TERCEIRA - DOS SERVIÇOS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28" w:val="left"/>
        </w:tabs>
        <w:bidi w:val="0"/>
        <w:spacing w:before="0" w:after="0" w:line="432" w:lineRule="auto"/>
        <w:ind w:left="14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- Atividades a serem desenvolvidas para a realização das Avaliações Atuariais: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28" w:val="left"/>
        </w:tabs>
        <w:bidi w:val="0"/>
        <w:spacing w:before="0" w:after="0" w:line="40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Elaboração da Avaliação Atuarial,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2022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2021,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2023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2022,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2023 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2025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2024,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2026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 base 2025;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44" w:val="left"/>
        </w:tabs>
        <w:bidi w:val="0"/>
        <w:spacing w:before="0" w:after="0" w:line="40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Enviar layout para que o responsável da Unidade Gestora faça a coleta de dados dos servidores ativos, aposentados e pensionistas bem como os layouts das informações complementares (dados cadastrais e financeiros do RPPS) que comporão a base de informação para realização da avaliação atuarial;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28" w:val="left"/>
        </w:tabs>
        <w:bidi w:val="0"/>
        <w:spacing w:before="0" w:after="0" w:line="40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Analisar os layouts enviados, promovendo crítica de seu conteúdo, verificando possíveis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044" w:val="left"/>
        </w:tabs>
        <w:bidi w:val="0"/>
        <w:spacing w:before="0" w:after="280" w:line="40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2240" w:h="15840"/>
          <w:pgMar w:top="949" w:left="2472" w:right="2078" w:bottom="1943" w:header="521" w:footer="1515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distorções no seu conteúdo, objetivando aprimorar as informações e os dados remetidos, de forma que a avaliação atuarial apresente resultados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reais do ponto de vista técnico, como forma de se buscar o equilíbrio atuarial e financeiro do regime previdenciário;</w:t>
        <w:tab/>
        <w:t>z"/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46" w:val="left"/>
        </w:tabs>
        <w:bidi w:val="0"/>
        <w:spacing w:before="0" w:after="0" w:line="473" w:lineRule="auto"/>
        <w:ind w:left="0" w:right="0" w:firstLine="0"/>
        <w:jc w:val="both"/>
      </w:pP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3398520</wp:posOffset>
            </wp:positionH>
            <wp:positionV relativeFrom="margin">
              <wp:posOffset>-81280</wp:posOffset>
            </wp:positionV>
            <wp:extent cx="1090930" cy="98742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90930" cy="9874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Apurar as Provisões Matemáticas correspondentes, bem como estabelecer o Plano de Custeio para o próximo exercício, promovendo-se a adequação da legislação local com a correta implementação do prazo máximo do plano de amortização permitido por lei, estabelecendo definições entre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alíquotas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aportes;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46" w:val="left"/>
        </w:tabs>
        <w:bidi w:val="0"/>
        <w:spacing w:before="0" w:after="260" w:line="45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Revisão de todo o plano de custeio, visando o equilíbrio financeiro e atuarial, verificando se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alíquotas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contribuição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atualmente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praticadas garantem uma solvência de longo-prazo ao sistema, permitindo assim a verificação da situação atual e as projeções de comportamento futuro do plano previdenciário, bem como maior probabilidade de implementação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medidas eficazes de reforma, se necessário;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46" w:val="left"/>
        </w:tabs>
        <w:bidi w:val="0"/>
        <w:spacing w:before="0" w:after="0" w:line="46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Elaboração do Relatório de Avaliação Atuarial contendo, no mínimo, os seguintes estudos: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0" w:line="434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de todas as bases técnicas e premissas atuariais que foram adotadas para substituir erros e inconsistências da base de dados.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403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Descrição de toda a legislação utilizada para a realização do Cálculo Atuarial;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403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Estudo estatístico detalhado do grupo de servidores ativos, aposentados e pensionistas, com gráficos e tabelas explicativas, discorrendo sobre a influência destas variáveis estatísticas no resultado previdenciário;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120" w:line="403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de benefícios previstos no plano, a serem concedidos aos participantes do Regime Próprio de Previdência;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398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Cálculo das provisões matemáticas com a descrição dos resultados da avaliação atuarial, considerando 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modelagens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financiamento das despesas previdenciárias - estabelecimento do plano de custeio (custo normal e plano de amortização);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396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Parecer atuarial que discorrerá sobre a atual situação do Regime Próprio de Previdência; sobre a qualidade da base de dados; as atuais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alíquotas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contribuição e as propostas pelo estudo e sugestão de qual é, na opinião da consultoria, a melhor forma de financiamento do custo previdenciário;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403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Cálculo da duração do passivo e taxa parâmetro;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403" w:lineRule="auto"/>
        <w:ind w:left="580" w:right="0" w:firstLine="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Projeção Atuarial de receitas e despesas previdenciárias.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394" w:lineRule="auto"/>
        <w:ind w:left="54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Desenvolver o demonstrativo das Projeções Atuariais Previdenciárias, para os próximos 35 anos, com finalidade de atender o Art. 53 §1, Inciso II da Lei de Responsabilidade Fiscal;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line="389" w:lineRule="auto"/>
        <w:ind w:left="540" w:right="0" w:firstLine="2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5817870</wp:posOffset>
            </wp:positionH>
            <wp:positionV relativeFrom="margin">
              <wp:posOffset>8058150</wp:posOffset>
            </wp:positionV>
            <wp:extent cx="365760" cy="2317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6576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Síntese dos resultados da avaliação atuarial do fluxo financeiro do fundo de previdência para os próximos 75 (setenta e cinco) anos;</w: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4085590</wp:posOffset>
            </wp:positionH>
            <wp:positionV relativeFrom="margin">
              <wp:posOffset>7954645</wp:posOffset>
            </wp:positionV>
            <wp:extent cx="316865" cy="31686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987425" cy="951230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987425" cy="9512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5" w:val="left"/>
        </w:tabs>
        <w:bidi w:val="0"/>
        <w:spacing w:before="0" w:after="0" w:line="403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Elaborar e preencher a Nota técnica Atuarial, se necessário;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15" w:val="left"/>
        </w:tabs>
        <w:bidi w:val="0"/>
        <w:spacing w:before="0" w:after="0" w:line="499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Avaliação Atuarial, com demonstrativo de viabilidade do Plano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Equacionamento do Déficit Atuarial.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03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3.1.9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0" w:val="left"/>
        </w:tabs>
        <w:bidi w:val="0"/>
        <w:spacing w:before="0" w:after="0" w:line="473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Estudo de impacto financeiro e atuarial referente a lei municipal que concede aumento aos professores, estendendo aos inativos.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0" w:val="left"/>
        </w:tabs>
        <w:bidi w:val="0"/>
        <w:spacing w:before="0" w:after="0" w:line="451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Preenchimento e envio do DRAA - Demonstrativo do Resultado de Avaliação Atuarial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Exercício 2022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2021, só será possível se todas as bases e Homologações e assinaturas estiverem findadas até o 20 de dezembro de 2026 para que sejam lançadas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SPREV/MPS-CADPREV;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0" w:val="left"/>
        </w:tabs>
        <w:bidi w:val="0"/>
        <w:spacing w:before="0" w:after="0" w:line="432" w:lineRule="auto"/>
        <w:ind w:left="40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Preencher e enviar o DRAA - Demonstrativo do Resultado de Avaliação Atuarial do Exercício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2023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2022, Exercício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2024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2023, Exercício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2025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 base 2024, e Exercício 2026 ano base 2025 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site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SPREV/MPS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CADPREV se necessário;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7" w:val="left"/>
        </w:tabs>
        <w:bidi w:val="0"/>
        <w:spacing w:before="0" w:after="0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Atender ao RPPS em resposta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notificações efetivadas pela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SPREV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TCE em relação a Avaliação Atuarial e DRAA a qualquer tempo, visando à orientação, emissão de esclarecimentos e aconselhamento para nortear e balizar os atos, decisões e procedimentos do Instituto de Previdência que tenham aderência ao objeto deste Termo de Referência;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4" w:val="left"/>
        </w:tabs>
        <w:bidi w:val="0"/>
        <w:spacing w:before="0" w:after="0" w:line="420" w:lineRule="auto"/>
        <w:ind w:left="40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Apresentação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aos dirigentes e conselheiros do relatório final de Avaliação Atuarial, explicitando a atual realidade financeira-atuarial do Regime Próprio de Previdência Social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via plataforma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online;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7" w:val="left"/>
        </w:tabs>
        <w:bidi w:val="0"/>
        <w:spacing w:before="0" w:after="280" w:line="415" w:lineRule="auto"/>
        <w:ind w:left="40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minuta do Projeto de Lei de alteração do plano de custeio previsto no cálculo atuarial, se necessário.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80" w:line="430" w:lineRule="auto"/>
        <w:ind w:left="40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PREENCHIMENTO E ENVIO DIPR E DAIR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5" w:val="left"/>
        </w:tabs>
        <w:bidi w:val="0"/>
        <w:spacing w:before="0" w:after="80" w:line="403" w:lineRule="auto"/>
        <w:ind w:left="86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Enviar informativo para que o responsável da Unidade Gestora ou do Ente Federativo faça a coleta das informações previdenciárias necessárias para envio do Demonstrativo de Informações Previdenciárias e Repasses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DIPR;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15" w:val="left"/>
        </w:tabs>
        <w:bidi w:val="0"/>
        <w:spacing w:before="0" w:after="60" w:line="408" w:lineRule="auto"/>
        <w:ind w:left="860" w:right="0" w:hanging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Enviar informativo para que o responsável da Unidade Gestora ou do Ente Federativo faça a coleta das informações financeiras e de investimentos necessárias para envio do Demonstrativo de Aplicações e Investimentos de Recursos - DAIR;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84" w:val="left"/>
        </w:tabs>
        <w:bidi w:val="0"/>
        <w:spacing w:before="0" w:after="60" w:line="408" w:lineRule="auto"/>
        <w:ind w:left="2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Assessoria no preenchimento e envio a Secretaria de Regime Próprio e Complementar - SRPC do Ministério da Previdência Social - MPS os demonstrativos supracitados, em acordo com as exigências do Art. 241 da Portaria MTP n° 1.467/2022.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88" w:val="left"/>
        </w:tabs>
        <w:bidi w:val="0"/>
        <w:spacing w:before="0" w:after="60" w:line="430" w:lineRule="auto"/>
        <w:ind w:left="2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Assessoria na Elaboração da Política de Investimentos 2026;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683" w:val="left"/>
        </w:tabs>
        <w:bidi w:val="0"/>
        <w:spacing w:before="0" w:after="80" w:line="444" w:lineRule="auto"/>
        <w:ind w:left="760" w:right="0" w:hanging="760"/>
        <w:jc w:val="left"/>
      </w:pP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3500120</wp:posOffset>
            </wp:positionH>
            <wp:positionV relativeFrom="margin">
              <wp:posOffset>40640</wp:posOffset>
            </wp:positionV>
            <wp:extent cx="963295" cy="932815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963295" cy="9328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as notificações apresentadas pelos órgãos de controle quanto ao envio dos demonstrativos efetuados, esclarecendo dúvidas e tomando ações para regularização;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766" w:val="left"/>
        </w:tabs>
        <w:bidi w:val="0"/>
        <w:spacing w:before="0" w:after="360" w:line="398" w:lineRule="auto"/>
        <w:ind w:left="18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Outras orientações relativas aos serviços descritos neste.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3" w:val="left"/>
        </w:tabs>
        <w:bidi w:val="0"/>
        <w:spacing w:before="0" w:after="0" w:line="398" w:lineRule="auto"/>
        <w:ind w:left="18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LOCAL PARA PRESTAÇÃO DO OBJETO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34" w:val="left"/>
        </w:tabs>
        <w:bidi w:val="0"/>
        <w:spacing w:before="0" w:after="0" w:line="398" w:lineRule="auto"/>
        <w:ind w:left="760" w:right="0" w:hanging="26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Os serviços serão prestados na sede da Contratada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41" w:val="left"/>
        </w:tabs>
        <w:bidi w:val="0"/>
        <w:spacing w:before="0" w:after="280" w:line="463" w:lineRule="auto"/>
        <w:ind w:left="760" w:right="0" w:hanging="2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a necessidade de visitas à sede da contratante, esta arcará com as despesas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locomoção, alimentação, transporte e hospedagem.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683" w:val="left"/>
        </w:tabs>
        <w:bidi w:val="0"/>
        <w:spacing w:before="0" w:after="0" w:line="444" w:lineRule="auto"/>
        <w:ind w:left="180" w:right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DO PRAZO DE REALIZAÇÃO DOS TRABALHOS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18" w:lineRule="auto"/>
        <w:ind w:left="18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conclusão dos trabalhos, objetos desta proposta será: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418" w:lineRule="auto"/>
        <w:ind w:left="18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contar da data de homologação de todos os dados necessários, quais sejam, dados cadastrais de todos os segurados, informações financeiras e administrativas, Legislação e dados adicionais caso necessário. Poderá ser acordado um tempo menor, havendo premente necessidade do ente federado e possibilidade técnica para sua realização.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22" w:lineRule="auto"/>
        <w:ind w:left="180" w:right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CLÁUSULA QUARTA - DO PREÇO E FORMA DE PAGAMENTO.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83" w:val="left"/>
        </w:tabs>
        <w:bidi w:val="0"/>
        <w:spacing w:before="0" w:after="0" w:line="415" w:lineRule="auto"/>
        <w:ind w:left="180" w:right="0"/>
        <w:jc w:val="both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Pela prestação dos serviços contratados, nos termos da Cláusula Terceira, o Contratante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pagará ao Contratado o valor global anual de R$ 36.000,00 (Trinta e seis mil reais), a serem pagos em 12 (doze) parcelas de R$ 3.000,00 (três mil reais).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83" w:val="left"/>
        </w:tabs>
        <w:bidi w:val="0"/>
        <w:spacing w:before="0" w:after="0" w:line="396" w:lineRule="auto"/>
        <w:ind w:left="18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engloba todo e qualquer custo ou despesa, direta ou indireta, a ser incorrida pelo Contratado para a prestação dos serviços contratados.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83" w:val="left"/>
        </w:tabs>
        <w:bidi w:val="0"/>
        <w:spacing w:before="0" w:after="0" w:line="396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será pago até o 5 (cinco) dias úteis após o envio da nota fiscal e boleto bancário.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683" w:val="left"/>
        </w:tabs>
        <w:bidi w:val="0"/>
        <w:spacing w:before="0" w:after="160" w:line="396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caso de atraso no pagamento, o Contratante pagará multa de 2,00% e juros de 1,00% a.m., com a correção monetária pelo IPCA, tudo calculado a partir da data de vencimento até o efetivo pagamento.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14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CLÁUSULA QUINTA - DA VIGÊNCIA E CONDIÇÕES DOS TERMOS DO CONTRATO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83" w:val="left"/>
        </w:tabs>
        <w:bidi w:val="0"/>
        <w:spacing w:before="0" w:after="0" w:line="408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Contrato terá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validade pelo prazo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12 (doze) meses, com início na data de assinatura,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podendo ser prorrogado à critério da Administração por até 10 (dez) anos, na forma dos artigos 106 e 107 da Lei Federal n° 14.133/2021.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5.3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Havendo prorrogação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o contrato poderá ser reajustado,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ficando desde já eleito o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índice IPCA/IBGE acumulado nos últimos 12 (doze) meses.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683" w:val="left"/>
        </w:tabs>
        <w:bidi w:val="0"/>
        <w:spacing w:before="0" w:after="120" w:line="398" w:lineRule="auto"/>
        <w:ind w:left="0" w:right="0" w:firstLine="0"/>
        <w:jc w:val="left"/>
        <w:sectPr>
          <w:footerReference w:type="default" r:id="rId15"/>
          <w:footerReference w:type="even" r:id="rId16"/>
          <w:footnotePr>
            <w:pos w:val="pageBottom"/>
            <w:numFmt w:val="decimal"/>
            <w:numRestart w:val="continuous"/>
          </w:footnotePr>
          <w:pgSz w:w="12240" w:h="15840"/>
          <w:pgMar w:top="949" w:left="2472" w:right="2078" w:bottom="1943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5657850</wp:posOffset>
            </wp:positionH>
            <wp:positionV relativeFrom="margin">
              <wp:posOffset>8018145</wp:posOffset>
            </wp:positionV>
            <wp:extent cx="316865" cy="298450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6865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recusa injustificada do adjudicatório em assina ou retirar o instrumento equivalente dentro do prazo estabelecido sujeitará as penalidades estabelecidas na Lei 14.133/2021.</w:t>
      </w:r>
    </w:p>
    <w:p>
      <w:pPr>
        <w:widowControl w:val="0"/>
        <w:jc w:val="center"/>
        <w:rPr>
          <w:sz w:val="2"/>
          <w:szCs w:val="2"/>
        </w:rPr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4504690</wp:posOffset>
            </wp:positionH>
            <wp:positionV relativeFrom="margin">
              <wp:posOffset>7968615</wp:posOffset>
            </wp:positionV>
            <wp:extent cx="347345" cy="262255"/>
            <wp:wrapNone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47345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1024255" cy="883920"/>
            <wp:docPr id="22" name="Picut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24255" cy="8839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84" w:val="left"/>
        </w:tabs>
        <w:bidi w:val="0"/>
        <w:spacing w:before="0" w:after="0" w:line="406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0 Contratado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obrigar-se-á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desenvolver a prestação dos serviços objeto deste contrato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48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sempre em regime de atendimento, com fiscalização do Contratante, dispondo este para atuar no sentido do cumprimento deste contrato.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0" w:right="0" w:firstLine="1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DA DOTAÇÃO ORÇAMENTÁRIA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451" w:lineRule="auto"/>
        <w:ind w:left="0" w:right="0" w:firstLine="14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6.1.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despesas decorrentes da execução do presente CONTRATO ocorrerão a seguinte dotação orçamentária: Unidade 03.01- FUNDO MIN.DEPREVIDÊNCIA MUNICIPAL - Proj. Ativ. 2.034 -Manutenções do Fundo Municipal de Previdência Social -FUNPREVIM; Natureza da Despesa - 3.3.90.30 - Manutenção de Fundo Municipal de Previdência Social; Fonte de Recurso - 43.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42" w:lineRule="auto"/>
        <w:ind w:left="0" w:right="0" w:firstLine="14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CLÁUSULA SÉTIMA - DAS SANÇÕES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84" w:val="left"/>
        </w:tabs>
        <w:bidi w:val="0"/>
        <w:spacing w:before="0" w:after="0" w:line="415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descumprimento total ou parcial das condições contratuais, o CONTRATANTE poderá aplicar ao CONTRATADO as sanções previstas no art. 75 da Lei Federal n° 14.133/21, sem prejuízo da responsabilidade civil e penal cabíveis.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84" w:val="left"/>
        </w:tabs>
        <w:bidi w:val="0"/>
        <w:spacing w:before="0" w:after="160" w:line="425" w:lineRule="auto"/>
        <w:ind w:left="0" w:right="0" w:firstLine="14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Parágrafo Único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implicará em sanções os atrasos provocados pela CONTRATANTE, na disponibilização dos dados, documentos e informações necessárias à realização dos serviços.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CLÁUSULA OITAVA - INADIMPLEMENTO CONTRATUAL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374" w:val="left"/>
        </w:tabs>
        <w:bidi w:val="0"/>
        <w:spacing w:before="0" w:after="260" w:line="398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não-cumprimento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quaisquer cláusulas e/ou condições do presente contrato facultará à parte inocente considerá-lo rescindido, independente de notificação judicial ou extrajudicial.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14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CLÁUSULA NONA - DA RESCISÃO CONTRATUAL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84" w:val="left"/>
        </w:tabs>
        <w:bidi w:val="0"/>
        <w:spacing w:before="0" w:after="0" w:line="398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contrato poderá ser rescindido com aviso mínimo de 30 (trinta) dias, nas hipóteses previstas no art. 137 da Lei Federal n° 14.133/21.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84" w:val="left"/>
        </w:tabs>
        <w:bidi w:val="0"/>
        <w:spacing w:before="0" w:after="0" w:line="398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Além das hipóteses previstas no art. 137 da Lei n° 14.133/21, constituem causas de rescisão de contrato: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 - Paralisação total ou parcial dos serviços por fatos de responsabilidade da CONTRATADA, salvo por motivo de força maior devidamente comprovado.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68" w:val="left"/>
        </w:tabs>
        <w:bidi w:val="0"/>
        <w:spacing w:before="0" w:after="0" w:line="398" w:lineRule="auto"/>
        <w:ind w:left="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 a CONTRATADA se conduzir dolosamente;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703" w:val="left"/>
        </w:tabs>
        <w:bidi w:val="0"/>
        <w:spacing w:before="0" w:after="0" w:line="398" w:lineRule="auto"/>
        <w:ind w:left="3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Se a CONTRATADA não cumprir as determinações da fiscalização.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584" w:val="left"/>
        </w:tabs>
        <w:bidi w:val="0"/>
        <w:spacing w:before="0" w:after="6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Além das hipóteses anteriores, poderá o CONTRATANTE rescindir o contrato, independentemente de qualquer procedimento judicial ou pagamento de indenização, por falência, concordata dissolução,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insolvência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CONTRATADA, e, em se tratando de firma individual, por morte de seu titular.</w:t>
      </w:r>
      <w:r>
        <w:br w:type="page"/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489" w:val="left"/>
        </w:tabs>
        <w:bidi w:val="0"/>
        <w:spacing w:before="0" w:after="0" w:line="454" w:lineRule="auto"/>
        <w:ind w:left="0" w:right="0" w:firstLine="0"/>
        <w:jc w:val="left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3389630</wp:posOffset>
            </wp:positionH>
            <wp:positionV relativeFrom="margin">
              <wp:posOffset>-8890</wp:posOffset>
            </wp:positionV>
            <wp:extent cx="1054735" cy="93853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054735" cy="9385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casos excepcionais, configurados como de força maior, a critério do CONTRATANTE, o atraso na execução dos serviços não ensejará a rescisão contratual, com as penalidades estabelecidas, se ocorrer qualquer dos seguintes motivos: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56" w:val="left"/>
        </w:tabs>
        <w:bidi w:val="0"/>
        <w:spacing w:before="0" w:after="0" w:line="458" w:lineRule="auto"/>
        <w:ind w:left="28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Falta de elementos técnicos para o prosseguimento dos trabalhos quando seu fornecimento couber ao CONTRATANTE e a CONTRATADA solicitá-los em tempo hábil.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598" w:val="left"/>
        </w:tabs>
        <w:bidi w:val="0"/>
        <w:spacing w:before="0" w:after="300" w:line="458" w:lineRule="auto"/>
        <w:ind w:left="280" w:right="0" w:firstLine="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Alteração no projeto dos serviços e se esta alteração, a critério do CONTRATANTE, tenha sido prejudicial ao andamento destes.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44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CLÁUSULA DÉCIMA - DISPOSIÇÕES GERAIS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489" w:val="left"/>
        </w:tabs>
        <w:bidi w:val="0"/>
        <w:spacing w:before="0" w:after="0" w:line="430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Fica expressamente convencionado que não se estabelece por força deste contrato qualquer vínculo empregatício entre os funcionários da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CONTRATADA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e 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CONTRATANTE;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27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10.2-0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presente contrato, no que diz respeito 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é intransferível sem anuência, por escrito, da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 xml:space="preserve">CONTRATANTE.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transferência de responsabilidade técnica, de um profissional ou escritório para outro, será feita sempre por escrito;</w:t>
      </w:r>
    </w:p>
    <w:p>
      <w:pPr>
        <w:pStyle w:val="Style13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10" w:val="left"/>
        </w:tabs>
        <w:bidi w:val="0"/>
        <w:spacing w:before="0" w:after="300" w:line="41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 tolerância, por qualquer uma das partes, em relação ao descumprimento das cláusulas e condições aqui pactuadas, não poderá ser tida como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novação,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ficando integralmente mantidas todas as disposições contratuais;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CLÁUSULA DÉCIMA SEXTA - DO FORO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eleito o foro da comarca de Manacapuru/AM para dirimir eventuais dúvidas ou questões, oriundas do presente contrato, com renúncia de qualquer outro por mais privilegiado que seja.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3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por estarem justos e acordados, assinam o presente instrumento em 02 (duas) vias de igual teor e forma, perante 02 (duas) testemunhas abaixo subscritas.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520" w:right="0" w:firstLine="20"/>
        <w:jc w:val="left"/>
      </w:pPr>
      <w:r>
        <w:drawing>
          <wp:anchor distT="0" distB="320040" distL="245110" distR="114300" simplePos="0" relativeHeight="125829387" behindDoc="0" locked="0" layoutInCell="1" allowOverlap="1">
            <wp:simplePos x="0" y="0"/>
            <wp:positionH relativeFrom="page">
              <wp:posOffset>1656080</wp:posOffset>
            </wp:positionH>
            <wp:positionV relativeFrom="margin">
              <wp:posOffset>6009005</wp:posOffset>
            </wp:positionV>
            <wp:extent cx="2078990" cy="1371600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078990" cy="1371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1525270</wp:posOffset>
                </wp:positionH>
                <wp:positionV relativeFrom="margin">
                  <wp:posOffset>7567295</wp:posOffset>
                </wp:positionV>
                <wp:extent cx="747395" cy="13525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7395" cy="135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Testemunhas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20.09999999999999pt;margin-top:595.85000000000002pt;width:58.850000000000001pt;height:10.6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Testemunhas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Manacapuru/AM, 17 de dezembro de 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THIAGO COSTA 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Assinadodeforma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digital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280" w:right="0" w:firstLine="80"/>
        <w:jc w:val="both"/>
        <w:rPr>
          <w:sz w:val="15"/>
          <w:szCs w:val="15"/>
        </w:rPr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BRASILIS CONSULTORIA ATUARIAL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4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Thiago Costa Fernandes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Sócio Diretor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400" w:right="0" w:firstLine="0"/>
        <w:jc w:val="center"/>
        <w:rPr>
          <w:sz w:val="15"/>
          <w:szCs w:val="15"/>
        </w:rPr>
        <w:sectPr>
          <w:footerReference w:type="default" r:id="rId27"/>
          <w:footerReference w:type="even" r:id="rId28"/>
          <w:footnotePr>
            <w:pos w:val="pageBottom"/>
            <w:numFmt w:val="decimal"/>
            <w:numRestart w:val="continuous"/>
          </w:footnotePr>
          <w:pgSz w:w="12240" w:h="15840"/>
          <w:pgMar w:top="949" w:left="2472" w:right="2078" w:bottom="1943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700" behindDoc="1" locked="0" layoutInCell="1" allowOverlap="1">
            <wp:simplePos x="0" y="0"/>
            <wp:positionH relativeFrom="margin">
              <wp:posOffset>2355850</wp:posOffset>
            </wp:positionH>
            <wp:positionV relativeFrom="margin">
              <wp:posOffset>6405245</wp:posOffset>
            </wp:positionV>
            <wp:extent cx="2176145" cy="38989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217614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margin">
              <wp:posOffset>257175</wp:posOffset>
            </wp:positionH>
            <wp:positionV relativeFrom="margin">
              <wp:posOffset>7752080</wp:posOffset>
            </wp:positionV>
            <wp:extent cx="1627505" cy="26797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62750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CONTRATADA</w:t>
      </w:r>
    </w:p>
    <w:p>
      <w:pPr>
        <w:pStyle w:val="Style13"/>
        <w:keepNext w:val="0"/>
        <w:keepLines w:val="0"/>
        <w:framePr w:w="468" w:h="213" w:wrap="none" w:vAnchor="text" w:hAnchor="page" w:x="2395" w:y="1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Nome:</w:t>
      </w:r>
    </w:p>
    <w:p>
      <w:pPr>
        <w:pStyle w:val="Style13"/>
        <w:keepNext w:val="0"/>
        <w:keepLines w:val="0"/>
        <w:framePr w:w="2951" w:h="830" w:wrap="none" w:vAnchor="text" w:hAnchor="page" w:x="2388" w:y="136"/>
        <w:widowControl w:val="0"/>
        <w:shd w:val="clear" w:color="auto" w:fill="auto"/>
        <w:tabs>
          <w:tab w:pos="440" w:val="left"/>
        </w:tabs>
        <w:bidi w:val="0"/>
        <w:spacing w:before="0" w:after="0" w:line="4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Nome:</w:t>
      </w:r>
    </w:p>
    <w:p>
      <w:pPr>
        <w:pStyle w:val="Style23"/>
        <w:keepNext/>
        <w:keepLines/>
        <w:framePr w:w="2951" w:h="830" w:wrap="none" w:vAnchor="text" w:hAnchor="page" w:x="2388" w:y="136"/>
        <w:widowControl w:val="0"/>
        <w:shd w:val="clear" w:color="auto" w:fill="auto"/>
        <w:tabs>
          <w:tab w:pos="440" w:val="left"/>
          <w:tab w:pos="2930" w:val="left"/>
        </w:tabs>
        <w:bidi w:val="0"/>
        <w:spacing w:before="0" w:after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cpf:</w:t>
        <w:tab/>
      </w:r>
      <w:r>
        <w:rPr>
          <w:u w:val="single"/>
        </w:rPr>
        <w:t xml:space="preserve"> </w:t>
        <w:tab/>
      </w:r>
      <w:bookmarkEnd w:id="0"/>
    </w:p>
    <w:p>
      <w:pPr>
        <w:pStyle w:val="Style11"/>
        <w:keepNext w:val="0"/>
        <w:keepLines w:val="0"/>
        <w:framePr w:w="454" w:h="213" w:wrap="none" w:vAnchor="text" w:hAnchor="page" w:x="6105" w:y="1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Nome: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4159885</wp:posOffset>
            </wp:positionH>
            <wp:positionV relativeFrom="paragraph">
              <wp:posOffset>12700</wp:posOffset>
            </wp:positionV>
            <wp:extent cx="1889760" cy="4940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188976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47650" distB="0" distL="13335" distR="0" simplePos="0" relativeHeight="62914703" behindDoc="1" locked="0" layoutInCell="1" allowOverlap="1">
            <wp:simplePos x="0" y="0"/>
            <wp:positionH relativeFrom="page">
              <wp:posOffset>3889375</wp:posOffset>
            </wp:positionH>
            <wp:positionV relativeFrom="paragraph">
              <wp:posOffset>346710</wp:posOffset>
            </wp:positionV>
            <wp:extent cx="841375" cy="12827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841375" cy="1282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2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2240" w:h="15840"/>
      <w:pgMar w:top="928" w:left="2416" w:right="2049" w:bottom="14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6137275</wp:posOffset>
              </wp:positionH>
              <wp:positionV relativeFrom="page">
                <wp:posOffset>9044305</wp:posOffset>
              </wp:positionV>
              <wp:extent cx="40640" cy="8128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640" cy="812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483.25pt;margin-top:712.14999999999998pt;width:3.2000000000000002pt;height:6.4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6092190</wp:posOffset>
              </wp:positionH>
              <wp:positionV relativeFrom="page">
                <wp:posOffset>9034780</wp:posOffset>
              </wp:positionV>
              <wp:extent cx="45085" cy="723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085" cy="723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479.69999999999999pt;margin-top:711.39999999999998pt;width:3.5499999999999998pt;height:5.70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6268085</wp:posOffset>
              </wp:positionH>
              <wp:positionV relativeFrom="page">
                <wp:posOffset>9048750</wp:posOffset>
              </wp:positionV>
              <wp:extent cx="40640" cy="76835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640" cy="768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493.55000000000001pt;margin-top:712.5pt;width:3.2000000000000002pt;height:6.0499999999999998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6223000</wp:posOffset>
              </wp:positionH>
              <wp:positionV relativeFrom="page">
                <wp:posOffset>8980805</wp:posOffset>
              </wp:positionV>
              <wp:extent cx="40640" cy="7683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640" cy="768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490.pt;margin-top:707.14999999999998pt;width:3.2000000000000002pt;height:6.0499999999999998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3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3.1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decimal"/>
      <w:lvlText w:val="3.2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5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16">
    <w:multiLevelType w:val="multilevel"/>
    <w:lvl w:ilvl="0">
      <w:start w:val="1"/>
      <w:numFmt w:val="decimal"/>
      <w:lvlText w:val="7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abstractNum w:abstractNumId="18">
    <w:multiLevelType w:val="multilevel"/>
    <w:lvl w:ilvl="0">
      <w:start w:val="1"/>
      <w:numFmt w:val="decimal"/>
      <w:lvlText w:val="8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abstractNum w:abstractNumId="20">
    <w:multiLevelType w:val="multilevel"/>
    <w:lvl w:ilvl="0">
      <w:start w:val="1"/>
      <w:numFmt w:val="decimal"/>
      <w:lvlText w:val="9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22">
    <w:multiLevelType w:val="multilevel"/>
    <w:lvl w:ilvl="0">
      <w:start w:val="3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24">
    <w:multiLevelType w:val="multilevel"/>
    <w:lvl w:ilvl="0">
      <w:start w:val="1"/>
      <w:numFmt w:val="upperRoman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abstractNum w:abstractNumId="26">
    <w:multiLevelType w:val="multilevel"/>
    <w:lvl w:ilvl="0">
      <w:start w:val="1"/>
      <w:numFmt w:val="decimal"/>
      <w:lvlText w:val="10.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t-BR" w:eastAsia="pt-BR" w:bidi="pt-BR"/>
      </w:rPr>
    </w:lvl>
  </w:abstractNum>
  <w:abstractNum w:abstractNumId="28">
    <w:multiLevelType w:val="multilevel"/>
    <w:lvl w:ilvl="0">
      <w:start w:val="3"/>
      <w:numFmt w:val="decimal"/>
      <w:lvlText w:val="10.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BR" w:eastAsia="pt-BR" w:bidi="pt-BR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2">
    <w:name w:val="Picture caption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character" w:customStyle="1" w:styleId="CharStyle24">
    <w:name w:val="Heading #1|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  <w:spacing w:after="40" w:line="410" w:lineRule="auto"/>
      <w:ind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  <w:lang w:val="pt-BR" w:eastAsia="pt-BR" w:bidi="pt-BR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40" w:line="410" w:lineRule="auto"/>
      <w:ind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3">
    <w:name w:val="Heading #1|1"/>
    <w:basedOn w:val="Normal"/>
    <w:link w:val="CharStyle24"/>
    <w:pPr>
      <w:widowControl w:val="0"/>
      <w:shd w:val="clear" w:color="auto" w:fill="FFFFFF"/>
      <w:spacing w:line="454" w:lineRule="auto"/>
      <w:outlineLvl w:val="0"/>
    </w:pPr>
    <w:rPr>
      <w:rFonts w:ascii="Arial" w:eastAsia="Arial" w:hAnsi="Arial" w:cs="Arial"/>
      <w:b w:val="0"/>
      <w:bCs w:val="0"/>
      <w:i w:val="0"/>
      <w:iCs w:val="0"/>
      <w:smallCaps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footer" Target="footer1.xml"/><Relationship Id="rId16" Type="http://schemas.openxmlformats.org/officeDocument/2006/relationships/footer" Target="footer2.xm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footer" Target="footer3.xml"/><Relationship Id="rId28" Type="http://schemas.openxmlformats.org/officeDocument/2006/relationships/footer" Target="footer4.xml"/><Relationship Id="rId29" Type="http://schemas.openxmlformats.org/officeDocument/2006/relationships/image" Target="media/image11.jpeg"/><Relationship Id="rId30" Type="http://schemas.openxmlformats.org/officeDocument/2006/relationships/image" Target="media/image11.jpeg" TargetMode="External"/><Relationship Id="rId31" Type="http://schemas.openxmlformats.org/officeDocument/2006/relationships/image" Target="media/image12.jpeg"/><Relationship Id="rId32" Type="http://schemas.openxmlformats.org/officeDocument/2006/relationships/image" Target="media/image12.jpeg" TargetMode="External"/><Relationship Id="rId33" Type="http://schemas.openxmlformats.org/officeDocument/2006/relationships/image" Target="media/image13.jpeg"/><Relationship Id="rId34" Type="http://schemas.openxmlformats.org/officeDocument/2006/relationships/image" Target="media/image13.jpeg" TargetMode="External"/><Relationship Id="rId35" Type="http://schemas.openxmlformats.org/officeDocument/2006/relationships/image" Target="media/image14.jpeg"/><Relationship Id="rId36" Type="http://schemas.openxmlformats.org/officeDocument/2006/relationships/image" Target="media/image1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FUNPREVIM</dc:title>
  <dc:subject/>
  <dc:creator/>
  <cp:keywords/>
</cp:coreProperties>
</file>