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keepLines/>
        <w:widowControl w:val="0"/>
        <w:shd w:val="clear" w:color="auto" w:fill="auto"/>
        <w:bidi w:val="0"/>
        <w:spacing w:before="0" w:after="0" w:line="240" w:lineRule="auto"/>
        <w:ind w:left="0" w:right="0" w:firstLine="0"/>
        <w:jc w:val="center"/>
      </w:pPr>
      <w:bookmarkStart w:id="0" w:name="bookmark0"/>
      <w:r>
        <w:rPr>
          <w:rFonts w:ascii="Times New Roman" w:eastAsia="Times New Roman" w:hAnsi="Times New Roman" w:cs="Times New Roman"/>
          <w:color w:val="000000"/>
          <w:spacing w:val="0"/>
          <w:w w:val="100"/>
          <w:position w:val="0"/>
          <w:shd w:val="clear" w:color="auto" w:fill="auto"/>
        </w:rPr>
        <w:t>INSTITUTO DE PREVIDÊNCIA DOS</w:t>
      </w:r>
      <w:bookmarkEnd w:id="0"/>
    </w:p>
    <w:p>
      <w:pPr>
        <w:pStyle w:val="Style2"/>
        <w:keepNext/>
        <w:keepLines/>
        <w:widowControl w:val="0"/>
        <w:shd w:val="clear" w:color="auto" w:fill="auto"/>
        <w:bidi w:val="0"/>
        <w:spacing w:before="0" w:line="240" w:lineRule="auto"/>
        <w:ind w:left="0" w:right="0" w:firstLine="0"/>
        <w:jc w:val="center"/>
      </w:pPr>
      <w:bookmarkStart w:id="1" w:name="bookmark1"/>
      <w:r>
        <w:rPr>
          <w:rFonts w:ascii="Times New Roman" w:eastAsia="Times New Roman" w:hAnsi="Times New Roman" w:cs="Times New Roman"/>
          <w:color w:val="000000"/>
          <w:spacing w:val="0"/>
          <w:w w:val="100"/>
          <w:position w:val="0"/>
          <w:shd w:val="clear" w:color="auto" w:fill="auto"/>
        </w:rPr>
        <w:t>SERVIDORES PÚBLICOS DO MUNICÍPIO DE</w:t>
        <w:br/>
        <w:t>LÁBRE A - LÁBREA PRE V</w:t>
      </w:r>
      <w:bookmarkEnd w:id="1"/>
    </w:p>
    <w:p>
      <w:pPr>
        <w:pStyle w:val="Style7"/>
        <w:keepNext w:val="0"/>
        <w:keepLines w:val="0"/>
        <w:widowControl w:val="0"/>
        <w:shd w:val="clear" w:color="auto" w:fill="auto"/>
        <w:bidi w:val="0"/>
        <w:spacing w:before="0" w:after="0" w:line="23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RELATÓRIO DO SEGUNDO SEMESTRE</w:t>
      </w:r>
    </w:p>
    <w:p>
      <w:pPr>
        <w:pStyle w:val="Style7"/>
        <w:keepNext w:val="0"/>
        <w:keepLines w:val="0"/>
        <w:widowControl w:val="0"/>
        <w:shd w:val="clear" w:color="auto" w:fill="auto"/>
        <w:bidi w:val="0"/>
        <w:spacing w:before="0" w:after="280" w:line="23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ANÁLISE DA ADERÊNCIA DA GESTÃO DOS RECURSOS DO RPPS A</w:t>
        <w:br/>
        <w:t>RESOLUÇÃO 4.963/2021 E POLÍTICA DE INVESTIMENTOS 2025</w:t>
      </w:r>
    </w:p>
    <w:p>
      <w:pPr>
        <w:pStyle w:val="Style7"/>
        <w:keepNext w:val="0"/>
        <w:keepLines w:val="0"/>
        <w:widowControl w:val="0"/>
        <w:shd w:val="clear" w:color="auto" w:fill="auto"/>
        <w:bidi w:val="0"/>
        <w:spacing w:before="0" w:after="4360" w:line="23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Em atendimento a Portaria/MTP N° 1.467, de 02 de junho de 2022</w:t>
      </w:r>
    </w:p>
    <w:p>
      <w:pPr>
        <w:pStyle w:val="Style7"/>
        <w:keepNext w:val="0"/>
        <w:keepLines w:val="0"/>
        <w:widowControl w:val="0"/>
        <w:shd w:val="clear" w:color="auto" w:fill="auto"/>
        <w:bidi w:val="0"/>
        <w:spacing w:before="0" w:after="360" w:line="240" w:lineRule="auto"/>
        <w:ind w:left="0" w:right="0" w:firstLine="0"/>
        <w:jc w:val="center"/>
        <w:rPr>
          <w:sz w:val="24"/>
          <w:szCs w:val="24"/>
        </w:rPr>
        <w:sectPr>
          <w:footerReference w:type="default" r:id="rId5"/>
          <w:footnotePr>
            <w:pos w:val="pageBottom"/>
            <w:numFmt w:val="decimal"/>
            <w:numRestart w:val="continuous"/>
          </w:footnotePr>
          <w:pgSz w:w="11900" w:h="16840"/>
          <w:pgMar w:top="1674" w:left="1707" w:right="1073" w:bottom="1674" w:header="1246" w:footer="3" w:gutter="0"/>
          <w:pgNumType w:start="1"/>
          <w:cols w:space="720"/>
          <w:noEndnote/>
          <w:rtlGutter w:val="0"/>
          <w:docGrid w:linePitch="360"/>
        </w:sect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JANEIRO DE 2026</w:t>
      </w:r>
    </w:p>
    <w:p>
      <w:pPr>
        <w:pStyle w:val="Style16"/>
        <w:keepNext/>
        <w:keepLines/>
        <w:widowControl w:val="0"/>
        <w:shd w:val="clear" w:color="auto" w:fill="auto"/>
        <w:bidi w:val="0"/>
        <w:spacing w:before="260" w:after="780" w:line="240" w:lineRule="auto"/>
        <w:ind w:left="0" w:right="0" w:firstLine="0"/>
        <w:jc w:val="center"/>
      </w:pPr>
      <w:bookmarkStart w:id="2" w:name="bookmark2"/>
      <w:r>
        <w:rPr>
          <w:rFonts w:ascii="Times New Roman" w:eastAsia="Times New Roman" w:hAnsi="Times New Roman" w:cs="Times New Roman"/>
          <w:color w:val="000000"/>
          <w:spacing w:val="0"/>
          <w:w w:val="100"/>
          <w:position w:val="0"/>
          <w:sz w:val="24"/>
          <w:szCs w:val="24"/>
          <w:shd w:val="clear" w:color="auto" w:fill="auto"/>
          <w:lang w:val="pt-BR" w:eastAsia="pt-BR" w:bidi="pt-BR"/>
        </w:rPr>
        <w:t>INTRODUÇÃO</w:t>
      </w:r>
      <w:bookmarkEnd w:id="2"/>
    </w:p>
    <w:p>
      <w:pPr>
        <w:pStyle w:val="Style7"/>
        <w:keepNext w:val="0"/>
        <w:keepLines w:val="0"/>
        <w:widowControl w:val="0"/>
        <w:shd w:val="clear" w:color="auto" w:fill="auto"/>
        <w:bidi w:val="0"/>
        <w:spacing w:before="0" w:after="140" w:line="386" w:lineRule="auto"/>
        <w:ind w:left="0" w:right="0" w:firstLine="0"/>
        <w:jc w:val="both"/>
        <w:rPr>
          <w:sz w:val="24"/>
          <w:szCs w:val="24"/>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Em atendimento às determinações legais, especialmente ao art. 129 da Portaria MTP n° 1.467, de 2 de junho de 2022, apresentamos o Relatório de Análise da Aderência da Gestão dos Recursos do RPPS à Resolução CMN n° 4.963/2021 e à Política de Investimentos do 2</w:t>
      </w:r>
      <w:r>
        <w:rPr>
          <w:rFonts w:ascii="Times New Roman" w:eastAsia="Times New Roman" w:hAnsi="Times New Roman" w:cs="Times New Roman"/>
          <w:color w:val="000000"/>
          <w:spacing w:val="0"/>
          <w:w w:val="100"/>
          <w:position w:val="0"/>
          <w:sz w:val="22"/>
          <w:szCs w:val="22"/>
          <w:shd w:val="clear" w:color="auto" w:fill="auto"/>
          <w:vertAlign w:val="superscript"/>
          <w:lang w:val="pt-BR" w:eastAsia="pt-BR" w:bidi="pt-BR"/>
        </w:rPr>
        <w:t xml:space="preserve">o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semestre de 2025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INSTITUTO DE PREVIDÊNCIA DOS SERVIDORES PÚBLICOS DO MUNICÍPIO DE LÁBREA, inscrito no CNPJ: 05.995.768/0001-66.</w:t>
      </w:r>
    </w:p>
    <w:p>
      <w:pPr>
        <w:pStyle w:val="Style16"/>
        <w:keepNext/>
        <w:keepLines/>
        <w:widowControl w:val="0"/>
        <w:shd w:val="clear" w:color="auto" w:fill="auto"/>
        <w:bidi w:val="0"/>
        <w:spacing w:before="0" w:after="140"/>
        <w:ind w:left="0" w:right="0" w:firstLine="0"/>
        <w:jc w:val="both"/>
      </w:pPr>
      <w:bookmarkStart w:id="3" w:name="bookmark3"/>
      <w:r>
        <w:rPr>
          <w:rFonts w:ascii="Times New Roman" w:eastAsia="Times New Roman" w:hAnsi="Times New Roman" w:cs="Times New Roman"/>
          <w:color w:val="000000"/>
          <w:spacing w:val="0"/>
          <w:w w:val="100"/>
          <w:position w:val="0"/>
          <w:sz w:val="24"/>
          <w:szCs w:val="24"/>
          <w:shd w:val="clear" w:color="auto" w:fill="auto"/>
          <w:lang w:val="pt-BR" w:eastAsia="pt-BR" w:bidi="pt-BR"/>
        </w:rPr>
        <w:t>Objetivo do relatório:</w:t>
      </w:r>
      <w:bookmarkEnd w:id="3"/>
    </w:p>
    <w:p>
      <w:pPr>
        <w:pStyle w:val="Style7"/>
        <w:keepNext w:val="0"/>
        <w:keepLines w:val="0"/>
        <w:widowControl w:val="0"/>
        <w:shd w:val="clear" w:color="auto" w:fill="auto"/>
        <w:bidi w:val="0"/>
        <w:spacing w:before="0"/>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A análise tem como foco a aderência das alocações à Política de Investimentos vigente, a verificação do cumprimento das normas federais de segurança financeira e a avaliação do desempenho da carteira frente à meta atuarial estabelecida para o exercício. Dessa forma, atende-se aos requisitos contidos no art. 129 da Portaria MTP n° 1.467, de 02 de junho de 2022, e suas alterações subsequentes.</w:t>
      </w:r>
    </w:p>
    <w:p>
      <w:pPr>
        <w:pStyle w:val="Style7"/>
        <w:keepNext w:val="0"/>
        <w:keepLines w:val="0"/>
        <w:widowControl w:val="0"/>
        <w:shd w:val="clear" w:color="auto" w:fill="auto"/>
        <w:bidi w:val="0"/>
        <w:spacing w:before="0" w:line="389" w:lineRule="auto"/>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O objetivo principal deste relatório é acompanhar, analisar e verificar se a gestão dos recursos do RPPS está em conformidade com as normas vigentes e com a Política de Investimentos estabelecida.</w:t>
      </w:r>
    </w:p>
    <w:p>
      <w:pPr>
        <w:pStyle w:val="Style16"/>
        <w:keepNext/>
        <w:keepLines/>
        <w:widowControl w:val="0"/>
        <w:shd w:val="clear" w:color="auto" w:fill="auto"/>
        <w:bidi w:val="0"/>
        <w:spacing w:before="0" w:after="100"/>
        <w:ind w:left="0" w:right="0" w:firstLine="1160"/>
        <w:jc w:val="both"/>
      </w:pPr>
      <w:bookmarkStart w:id="4" w:name="bookmark4"/>
      <w:r>
        <w:rPr>
          <w:rFonts w:ascii="Times New Roman" w:eastAsia="Times New Roman" w:hAnsi="Times New Roman" w:cs="Times New Roman"/>
          <w:color w:val="000000"/>
          <w:spacing w:val="0"/>
          <w:w w:val="100"/>
          <w:position w:val="0"/>
          <w:sz w:val="24"/>
          <w:szCs w:val="24"/>
          <w:shd w:val="clear" w:color="auto" w:fill="auto"/>
          <w:lang w:val="pt-BR" w:eastAsia="pt-BR" w:bidi="pt-BR"/>
        </w:rPr>
        <w:t>Política de Investimentos 2025:</w:t>
      </w:r>
      <w:bookmarkEnd w:id="4"/>
    </w:p>
    <w:p>
      <w:pPr>
        <w:pStyle w:val="Style7"/>
        <w:keepNext w:val="0"/>
        <w:keepLines w:val="0"/>
        <w:widowControl w:val="0"/>
        <w:shd w:val="clear" w:color="auto" w:fill="auto"/>
        <w:bidi w:val="0"/>
        <w:spacing w:before="0"/>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Foi aprovada em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 xml:space="preserve">07/07/2025. </w:t>
      </w:r>
      <w:r>
        <w:rPr>
          <w:rFonts w:ascii="Times New Roman" w:eastAsia="Times New Roman" w:hAnsi="Times New Roman" w:cs="Times New Roman"/>
          <w:color w:val="000000"/>
          <w:spacing w:val="0"/>
          <w:w w:val="100"/>
          <w:position w:val="0"/>
          <w:shd w:val="clear" w:color="auto" w:fill="auto"/>
          <w:lang w:val="pt-BR" w:eastAsia="pt-BR" w:bidi="pt-BR"/>
        </w:rPr>
        <w:t>Trata-se de um instrumento de planejamento estratégico que norteia a alocação dos recursos financeiros do RPPS. E um documento formal, aprovado pelos órgãos de governança, que estabelece diretrizes, limites de risco, metas de rentabilidade e os segmentos de mercado nos quais o patrimônio previdenciário poderá ser aplicado ao longo do exercício.</w:t>
      </w:r>
    </w:p>
    <w:p>
      <w:pPr>
        <w:pStyle w:val="Style7"/>
        <w:keepNext w:val="0"/>
        <w:keepLines w:val="0"/>
        <w:widowControl w:val="0"/>
        <w:shd w:val="clear" w:color="auto" w:fill="auto"/>
        <w:bidi w:val="0"/>
        <w:spacing w:before="0"/>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As aplicações devem abranger os seguintes segmentos:</w:t>
      </w:r>
    </w:p>
    <w:p>
      <w:pPr>
        <w:pStyle w:val="Style7"/>
        <w:keepNext w:val="0"/>
        <w:keepLines w:val="0"/>
        <w:widowControl w:val="0"/>
        <w:shd w:val="clear" w:color="auto" w:fill="auto"/>
        <w:bidi w:val="0"/>
        <w:spacing w:before="0"/>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 Renda fixa; • Renda variável; • Investimentos no exterior; • Fundos estruturados e imobiliários.</w:t>
      </w:r>
    </w:p>
    <w:p>
      <w:pPr>
        <w:pStyle w:val="Style7"/>
        <w:keepNext w:val="0"/>
        <w:keepLines w:val="0"/>
        <w:widowControl w:val="0"/>
        <w:shd w:val="clear" w:color="auto" w:fill="auto"/>
        <w:bidi w:val="0"/>
        <w:spacing w:before="0"/>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Os valores correspondentes à taxa de administração devem ser </w:t>
      </w:r>
      <w:r>
        <w:rPr>
          <w:rFonts w:ascii="Times New Roman" w:eastAsia="Times New Roman" w:hAnsi="Times New Roman" w:cs="Times New Roman"/>
          <w:color w:val="000000"/>
          <w:spacing w:val="0"/>
          <w:w w:val="100"/>
          <w:position w:val="0"/>
          <w:shd w:val="clear" w:color="auto" w:fill="auto"/>
          <w:lang w:val="pt-PT" w:eastAsia="pt-PT" w:bidi="pt-PT"/>
        </w:rPr>
        <w:t xml:space="preserve">segregados </w:t>
      </w:r>
      <w:r>
        <w:rPr>
          <w:rFonts w:ascii="Times New Roman" w:eastAsia="Times New Roman" w:hAnsi="Times New Roman" w:cs="Times New Roman"/>
          <w:color w:val="000000"/>
          <w:spacing w:val="0"/>
          <w:w w:val="100"/>
          <w:position w:val="0"/>
          <w:shd w:val="clear" w:color="auto" w:fill="auto"/>
          <w:lang w:val="pt-BR" w:eastAsia="pt-BR" w:bidi="pt-BR"/>
        </w:rPr>
        <w:t xml:space="preserve">dos recursos destinados ao pagamento de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 xml:space="preserve">benefícios em conta individual, </w:t>
      </w:r>
      <w:r>
        <w:rPr>
          <w:rFonts w:ascii="Times New Roman" w:eastAsia="Times New Roman" w:hAnsi="Times New Roman" w:cs="Times New Roman"/>
          <w:color w:val="000000"/>
          <w:spacing w:val="0"/>
          <w:w w:val="100"/>
          <w:position w:val="0"/>
          <w:shd w:val="clear" w:color="auto" w:fill="auto"/>
          <w:lang w:val="pt-BR" w:eastAsia="pt-BR" w:bidi="pt-BR"/>
        </w:rPr>
        <w:t>distinta das demais verbas do RPPS.</w:t>
      </w:r>
    </w:p>
    <w:p>
      <w:pPr>
        <w:pStyle w:val="Style16"/>
        <w:keepNext/>
        <w:keepLines/>
        <w:widowControl w:val="0"/>
        <w:shd w:val="clear" w:color="auto" w:fill="auto"/>
        <w:bidi w:val="0"/>
        <w:spacing w:before="0" w:after="260" w:line="240" w:lineRule="auto"/>
        <w:ind w:left="0" w:right="0" w:firstLine="1240"/>
        <w:jc w:val="both"/>
      </w:pPr>
      <w:bookmarkStart w:id="5" w:name="bookmark5"/>
      <w:r>
        <w:rPr>
          <w:rFonts w:ascii="Times New Roman" w:eastAsia="Times New Roman" w:hAnsi="Times New Roman" w:cs="Times New Roman"/>
          <w:color w:val="000000"/>
          <w:spacing w:val="0"/>
          <w:w w:val="100"/>
          <w:position w:val="0"/>
          <w:sz w:val="24"/>
          <w:szCs w:val="24"/>
          <w:shd w:val="clear" w:color="auto" w:fill="auto"/>
        </w:rPr>
        <w:t>Enquadramento:</w:t>
      </w:r>
      <w:bookmarkEnd w:id="5"/>
    </w:p>
    <w:p>
      <w:pPr>
        <w:pStyle w:val="Style7"/>
        <w:keepNext w:val="0"/>
        <w:keepLines w:val="0"/>
        <w:widowControl w:val="0"/>
        <w:shd w:val="clear" w:color="auto" w:fill="auto"/>
        <w:bidi w:val="0"/>
        <w:spacing w:before="0" w:after="860" w:line="240" w:lineRule="auto"/>
        <w:ind w:left="0" w:right="0" w:firstLine="12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Aderente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diretrizes da Política de Investimentos/DPIN do exercício 2025.</w:t>
      </w:r>
    </w:p>
    <w:p>
      <w:pPr>
        <w:pStyle w:val="Style11"/>
        <w:keepNext w:val="0"/>
        <w:keepLines w:val="0"/>
        <w:widowControl w:val="0"/>
        <w:shd w:val="clear" w:color="auto" w:fill="auto"/>
        <w:bidi w:val="0"/>
        <w:spacing w:before="0" w:line="240" w:lineRule="auto"/>
        <w:ind w:left="3760" w:right="0" w:firstLine="0"/>
        <w:jc w:val="left"/>
        <w:rPr>
          <w:sz w:val="18"/>
          <w:szCs w:val="18"/>
        </w:rPr>
      </w:pPr>
      <w:r>
        <w:rPr>
          <w:rFonts w:ascii="Arial" w:eastAsia="Arial" w:hAnsi="Arial" w:cs="Arial"/>
          <w:b/>
          <w:bCs/>
          <w:color w:val="000000"/>
          <w:spacing w:val="0"/>
          <w:w w:val="100"/>
          <w:position w:val="0"/>
          <w:sz w:val="18"/>
          <w:szCs w:val="18"/>
          <w:shd w:val="clear" w:color="auto" w:fill="auto"/>
        </w:rPr>
        <w:t>DEMONSTRATIVO DA POLÍTICA DE INVESTIMENTOS - DPIN</w:t>
      </w:r>
    </w:p>
    <w:p>
      <w:pPr>
        <w:pStyle w:val="Style11"/>
        <w:keepNext w:val="0"/>
        <w:keepLines w:val="0"/>
        <w:widowControl w:val="0"/>
        <w:shd w:val="clear" w:color="auto" w:fill="auto"/>
        <w:bidi w:val="0"/>
        <w:spacing w:before="0" w:after="0" w:line="240" w:lineRule="auto"/>
        <w:ind w:left="340" w:right="0" w:firstLine="20"/>
        <w:jc w:val="left"/>
        <w:rPr>
          <w:sz w:val="12"/>
          <w:szCs w:val="12"/>
        </w:rPr>
      </w:pPr>
      <w:r>
        <w:rPr>
          <w:rFonts w:ascii="Arial" w:eastAsia="Arial" w:hAnsi="Arial" w:cs="Arial"/>
          <w:b/>
          <w:bCs/>
          <w:color w:val="000000"/>
          <w:spacing w:val="0"/>
          <w:w w:val="100"/>
          <w:position w:val="0"/>
          <w:sz w:val="12"/>
          <w:szCs w:val="12"/>
          <w:shd w:val="clear" w:color="auto" w:fill="auto"/>
        </w:rPr>
        <w:t xml:space="preserve">ESTRATÉGIAS DE </w:t>
      </w:r>
      <w:r>
        <w:rPr>
          <w:rFonts w:ascii="Arial" w:eastAsia="Arial" w:hAnsi="Arial" w:cs="Arial"/>
          <w:b/>
          <w:bCs/>
          <w:color w:val="000000"/>
          <w:spacing w:val="0"/>
          <w:w w:val="100"/>
          <w:position w:val="0"/>
          <w:sz w:val="12"/>
          <w:szCs w:val="12"/>
          <w:shd w:val="clear" w:color="auto" w:fill="auto"/>
          <w:lang w:val="pt-BR" w:eastAsia="pt-BR" w:bidi="pt-BR"/>
        </w:rPr>
        <w:t>ALOCAÇÃO</w:t>
      </w:r>
    </w:p>
    <w:tbl>
      <w:tblPr>
        <w:tblOverlap w:val="never"/>
        <w:jc w:val="center"/>
        <w:tblLayout w:type="fixed"/>
      </w:tblPr>
      <w:tblGrid>
        <w:gridCol w:w="1195"/>
        <w:gridCol w:w="1656"/>
        <w:gridCol w:w="792"/>
        <w:gridCol w:w="1056"/>
        <w:gridCol w:w="715"/>
        <w:gridCol w:w="744"/>
        <w:gridCol w:w="744"/>
        <w:gridCol w:w="744"/>
        <w:gridCol w:w="869"/>
        <w:gridCol w:w="317"/>
      </w:tblGrid>
      <w:tr>
        <w:trPr>
          <w:trHeight w:val="408" w:hRule="exact"/>
        </w:trPr>
        <w:tc>
          <w:tcPr>
            <w:vMerge w:val="restart"/>
            <w:tcBorders>
              <w:top w:val="single" w:sz="4"/>
              <w:left w:val="single" w:sz="4"/>
            </w:tcBorders>
            <w:shd w:val="clear" w:color="auto" w:fill="C7C8CC"/>
            <w:vAlign w:val="center"/>
          </w:tcPr>
          <w:p>
            <w:pPr>
              <w:pStyle w:val="Style11"/>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rPr>
              <w:t>SEOMÊMTO</w:t>
            </w:r>
          </w:p>
        </w:tc>
        <w:tc>
          <w:tcPr>
            <w:vMerge w:val="restart"/>
            <w:tcBorders>
              <w:top w:val="single" w:sz="4"/>
              <w:left w:val="single" w:sz="4"/>
            </w:tcBorders>
            <w:shd w:val="clear" w:color="auto" w:fill="C7C8CC"/>
            <w:vAlign w:val="center"/>
          </w:tcPr>
          <w:p>
            <w:pPr>
              <w:pStyle w:val="Style11"/>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rPr>
              <w:t>WOE ATIVO</w:t>
            </w:r>
          </w:p>
        </w:tc>
        <w:tc>
          <w:tcPr>
            <w:vMerge w:val="restart"/>
            <w:tcBorders>
              <w:top w:val="single" w:sz="4"/>
              <w:left w:val="single" w:sz="4"/>
            </w:tcBorders>
            <w:shd w:val="clear" w:color="auto" w:fill="C7C8CC"/>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 xml:space="preserve">LIMITE DA </w:t>
            </w:r>
            <w:r>
              <w:rPr>
                <w:rFonts w:ascii="Arial" w:eastAsia="Arial" w:hAnsi="Arial" w:cs="Arial"/>
                <w:b/>
                <w:bCs/>
                <w:color w:val="000000"/>
                <w:spacing w:val="0"/>
                <w:w w:val="100"/>
                <w:position w:val="0"/>
                <w:sz w:val="9"/>
                <w:szCs w:val="9"/>
                <w:shd w:val="clear" w:color="auto" w:fill="auto"/>
                <w:lang w:val="pt-BR" w:eastAsia="pt-BR" w:bidi="pt-BR"/>
              </w:rPr>
              <w:t>RESOLUÇÃO</w:t>
            </w:r>
          </w:p>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CMN%</w:t>
            </w:r>
          </w:p>
        </w:tc>
        <w:tc>
          <w:tcPr>
            <w:vMerge w:val="restart"/>
            <w:tcBorders>
              <w:top w:val="single" w:sz="4"/>
              <w:left w:val="single" w:sz="4"/>
            </w:tcBorders>
            <w:shd w:val="clear" w:color="auto" w:fill="C7C8CC"/>
            <w:vAlign w:val="center"/>
          </w:tcPr>
          <w:p>
            <w:pPr>
              <w:pStyle w:val="Style11"/>
              <w:keepNext w:val="0"/>
              <w:keepLines w:val="0"/>
              <w:widowControl w:val="0"/>
              <w:shd w:val="clear" w:color="auto" w:fill="auto"/>
              <w:bidi w:val="0"/>
              <w:spacing w:before="0" w:after="0" w:line="266"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POSIÇÃO ATUAL DA CARrfâRAtMj</w:t>
            </w:r>
          </w:p>
        </w:tc>
        <w:tc>
          <w:tcPr>
            <w:vMerge w:val="restart"/>
            <w:tcBorders>
              <w:top w:val="single" w:sz="4"/>
              <w:left w:val="single" w:sz="4"/>
            </w:tcBorders>
            <w:shd w:val="clear" w:color="auto" w:fill="C7C8CC"/>
            <w:vAlign w:val="center"/>
          </w:tcPr>
          <w:p>
            <w:pPr>
              <w:pStyle w:val="Style11"/>
              <w:keepNext w:val="0"/>
              <w:keepLines w:val="0"/>
              <w:widowControl w:val="0"/>
              <w:shd w:val="clear" w:color="auto" w:fill="auto"/>
              <w:bidi w:val="0"/>
              <w:spacing w:before="0" w:after="0" w:line="240"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rPr>
              <w:t>POSfÇÀO ATUAL DA 0 ARTÊíRA</w:t>
            </w:r>
          </w:p>
        </w:tc>
        <w:tc>
          <w:tcPr>
            <w:gridSpan w:val="3"/>
            <w:tcBorders>
              <w:top w:val="single" w:sz="4"/>
              <w:left w:val="single" w:sz="4"/>
            </w:tcBorders>
            <w:shd w:val="clear" w:color="auto" w:fill="C7C8CC"/>
            <w:vAlign w:val="center"/>
          </w:tcPr>
          <w:p>
            <w:pPr>
              <w:pStyle w:val="Style11"/>
              <w:keepNext w:val="0"/>
              <w:keepLines w:val="0"/>
              <w:widowControl w:val="0"/>
              <w:shd w:val="clear" w:color="auto" w:fill="auto"/>
              <w:bidi w:val="0"/>
              <w:spacing w:before="0" w:after="0" w:line="257"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ÊSTRATÊGiADÊ ÂLÔCAÇÀÔ - PôdnCA DE MVESTMENTÔ OEtwl</w:t>
            </w:r>
          </w:p>
        </w:tc>
        <w:tc>
          <w:tcPr>
            <w:vMerge w:val="restart"/>
            <w:tcBorders>
              <w:top w:val="single" w:sz="4"/>
              <w:left w:val="single" w:sz="4"/>
            </w:tcBorders>
            <w:shd w:val="clear" w:color="auto" w:fill="C7C8CC"/>
            <w:vAlign w:val="center"/>
          </w:tcPr>
          <w:p>
            <w:pPr>
              <w:pStyle w:val="Style11"/>
              <w:keepNext w:val="0"/>
              <w:keepLines w:val="0"/>
              <w:widowControl w:val="0"/>
              <w:shd w:val="clear" w:color="auto" w:fill="auto"/>
              <w:bidi w:val="0"/>
              <w:spacing w:before="0" w:after="0" w:line="228"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MCTADC RENTA8O3ADE</w:t>
            </w:r>
          </w:p>
          <w:p>
            <w:pPr>
              <w:pStyle w:val="Style11"/>
              <w:keepNext w:val="0"/>
              <w:keepLines w:val="0"/>
              <w:widowControl w:val="0"/>
              <w:shd w:val="clear" w:color="auto" w:fill="auto"/>
              <w:bidi w:val="0"/>
              <w:spacing w:before="0" w:after="0" w:line="228"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PARA O</w:t>
            </w:r>
          </w:p>
          <w:p>
            <w:pPr>
              <w:pStyle w:val="Style11"/>
              <w:keepNext w:val="0"/>
              <w:keepLines w:val="0"/>
              <w:widowControl w:val="0"/>
              <w:shd w:val="clear" w:color="auto" w:fill="auto"/>
              <w:bidi w:val="0"/>
              <w:spacing w:before="0" w:after="0" w:line="228"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EXERCÍCIO POR TIPO DE ATIVO</w:t>
            </w:r>
          </w:p>
        </w:tc>
        <w:tc>
          <w:tcPr>
            <w:vMerge w:val="restart"/>
            <w:tcBorders>
              <w:top w:val="single" w:sz="4"/>
              <w:left w:val="single" w:sz="4"/>
            </w:tcBorders>
            <w:shd w:val="clear" w:color="auto" w:fill="C7C8CC"/>
            <w:vAlign w:val="top"/>
          </w:tcPr>
          <w:p>
            <w:pPr>
              <w:widowControl w:val="0"/>
              <w:rPr>
                <w:sz w:val="10"/>
                <w:szCs w:val="10"/>
              </w:rPr>
            </w:pPr>
          </w:p>
        </w:tc>
      </w:tr>
      <w:tr>
        <w:trPr>
          <w:trHeight w:val="302" w:hRule="exact"/>
        </w:trPr>
        <w:tc>
          <w:tcPr>
            <w:vMerge/>
            <w:tcBorders>
              <w:left w:val="single" w:sz="4"/>
            </w:tcBorders>
            <w:shd w:val="clear" w:color="auto" w:fill="C7C8CC"/>
            <w:vAlign w:val="center"/>
          </w:tcPr>
          <w:p>
            <w:pPr/>
          </w:p>
        </w:tc>
        <w:tc>
          <w:tcPr>
            <w:vMerge/>
            <w:tcBorders>
              <w:left w:val="single" w:sz="4"/>
            </w:tcBorders>
            <w:shd w:val="clear" w:color="auto" w:fill="C7C8CC"/>
            <w:vAlign w:val="center"/>
          </w:tcPr>
          <w:p>
            <w:pPr/>
          </w:p>
        </w:tc>
        <w:tc>
          <w:tcPr>
            <w:vMerge/>
            <w:tcBorders>
              <w:left w:val="single" w:sz="4"/>
            </w:tcBorders>
            <w:shd w:val="clear" w:color="auto" w:fill="C7C8CC"/>
            <w:vAlign w:val="center"/>
          </w:tcPr>
          <w:p>
            <w:pPr/>
          </w:p>
        </w:tc>
        <w:tc>
          <w:tcPr>
            <w:vMerge/>
            <w:tcBorders>
              <w:left w:val="single" w:sz="4"/>
            </w:tcBorders>
            <w:shd w:val="clear" w:color="auto" w:fill="C7C8CC"/>
            <w:vAlign w:val="center"/>
          </w:tcPr>
          <w:p>
            <w:pPr/>
          </w:p>
        </w:tc>
        <w:tc>
          <w:tcPr>
            <w:vMerge/>
            <w:tcBorders>
              <w:left w:val="single" w:sz="4"/>
            </w:tcBorders>
            <w:shd w:val="clear" w:color="auto" w:fill="C7C8CC"/>
            <w:vAlign w:val="center"/>
          </w:tcPr>
          <w:p>
            <w:pPr/>
          </w:p>
        </w:tc>
        <w:tc>
          <w:tcPr>
            <w:tcBorders>
              <w:top w:val="single" w:sz="4"/>
              <w:lef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LIMITE </w:t>
            </w:r>
            <w:r>
              <w:rPr>
                <w:rFonts w:ascii="Arial" w:eastAsia="Arial" w:hAnsi="Arial" w:cs="Arial"/>
                <w:b/>
                <w:bCs/>
                <w:color w:val="000000"/>
                <w:spacing w:val="0"/>
                <w:w w:val="100"/>
                <w:position w:val="0"/>
                <w:sz w:val="9"/>
                <w:szCs w:val="9"/>
                <w:shd w:val="clear" w:color="auto" w:fill="auto"/>
              </w:rPr>
              <w:t>WFÊRÍORm</w:t>
            </w:r>
          </w:p>
        </w:tc>
        <w:tc>
          <w:tcPr>
            <w:tcBorders>
              <w:top w:val="single" w:sz="4"/>
              <w:lef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ESTRATÉGIA</w:t>
            </w:r>
          </w:p>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ALVO(%)</w:t>
            </w:r>
          </w:p>
        </w:tc>
        <w:tc>
          <w:tcPr>
            <w:tcBorders>
              <w:top w:val="single" w:sz="4"/>
              <w:lef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LtWTE SUPERIOR fK)</w:t>
            </w:r>
          </w:p>
        </w:tc>
        <w:tc>
          <w:tcPr>
            <w:vMerge/>
            <w:tcBorders>
              <w:left w:val="single" w:sz="4"/>
            </w:tcBorders>
            <w:shd w:val="clear" w:color="auto" w:fill="C7C8CC"/>
            <w:vAlign w:val="center"/>
          </w:tcPr>
          <w:p>
            <w:pPr/>
          </w:p>
        </w:tc>
        <w:tc>
          <w:tcPr>
            <w:vMerge/>
            <w:tcBorders>
              <w:left w:val="single" w:sz="4"/>
            </w:tcBorders>
            <w:shd w:val="clear" w:color="auto" w:fill="C7C8CC"/>
            <w:vAlign w:val="top"/>
          </w:tcPr>
          <w:p>
            <w:pPr/>
          </w:p>
        </w:tc>
      </w:tr>
      <w:tr>
        <w:trPr>
          <w:trHeight w:val="446" w:hRule="exact"/>
        </w:trPr>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rPr>
              <w:t>Randá Fixa</w:t>
            </w:r>
          </w:p>
        </w:tc>
        <w:tc>
          <w:tcPr>
            <w:tcBorders>
              <w:top w:val="single" w:sz="4"/>
              <w:left w:val="single" w:sz="4"/>
            </w:tcBorders>
            <w:shd w:val="clear" w:color="auto" w:fill="FFFFFF"/>
            <w:vAlign w:val="top"/>
          </w:tcPr>
          <w:p>
            <w:pPr>
              <w:pStyle w:val="Style11"/>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rPr>
              <w:t>FtmdsVÍXasee de írvastimrôd -</w:t>
            </w:r>
          </w:p>
          <w:p>
            <w:pPr>
              <w:pStyle w:val="Style11"/>
              <w:keepNext w:val="0"/>
              <w:keepLines w:val="0"/>
              <w:widowControl w:val="0"/>
              <w:shd w:val="clear" w:color="auto" w:fill="auto"/>
              <w:bidi w:val="0"/>
              <w:spacing w:before="0" w:after="0" w:line="233"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rPr>
              <w:t>TWas Pdttos SEW - Art. 7* t, &amp;</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100,80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8,00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54.00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85.00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r>
      <w:tr>
        <w:trPr>
          <w:trHeight w:val="451" w:hRule="exact"/>
        </w:trPr>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Rands </w:t>
            </w:r>
            <w:r>
              <w:rPr>
                <w:rFonts w:ascii="Arial" w:eastAsia="Arial" w:hAnsi="Arial" w:cs="Arial"/>
                <w:b/>
                <w:bCs/>
                <w:color w:val="000000"/>
                <w:spacing w:val="0"/>
                <w:w w:val="100"/>
                <w:position w:val="0"/>
                <w:sz w:val="9"/>
                <w:szCs w:val="9"/>
                <w:shd w:val="clear" w:color="auto" w:fill="auto"/>
              </w:rPr>
              <w:t>Fm</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rPr>
              <w:t xml:space="preserve">FtmdtVdasMdé </w:t>
            </w:r>
            <w:r>
              <w:rPr>
                <w:rFonts w:ascii="Arial" w:eastAsia="Arial" w:hAnsi="Arial" w:cs="Arial"/>
                <w:b/>
                <w:bCs/>
                <w:color w:val="000000"/>
                <w:spacing w:val="0"/>
                <w:w w:val="100"/>
                <w:position w:val="0"/>
                <w:sz w:val="9"/>
                <w:szCs w:val="9"/>
                <w:shd w:val="clear" w:color="auto" w:fill="auto"/>
                <w:lang w:val="pt-BR" w:eastAsia="pt-BR" w:bidi="pt-BR"/>
              </w:rPr>
              <w:t xml:space="preserve">dwaismante </w:t>
            </w:r>
            <w:r>
              <w:rPr>
                <w:rFonts w:ascii="Arial" w:eastAsia="Arial" w:hAnsi="Arial" w:cs="Arial"/>
                <w:b/>
                <w:bCs/>
                <w:color w:val="000000"/>
                <w:spacing w:val="0"/>
                <w:w w:val="100"/>
                <w:position w:val="0"/>
                <w:sz w:val="9"/>
                <w:szCs w:val="9"/>
                <w:shd w:val="clear" w:color="auto" w:fill="auto"/>
              </w:rPr>
              <w:t>em</w:t>
            </w:r>
          </w:p>
          <w:p>
            <w:pPr>
              <w:pStyle w:val="Style11"/>
              <w:keepNext w:val="0"/>
              <w:keepLines w:val="0"/>
              <w:widowControl w:val="0"/>
              <w:shd w:val="clear" w:color="auto" w:fill="auto"/>
              <w:bidi w:val="0"/>
              <w:spacing w:before="0" w:after="0" w:line="211"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rPr>
              <w:t xml:space="preserve">Renda Fixa - </w:t>
            </w:r>
            <w:r>
              <w:rPr>
                <w:rFonts w:ascii="Arial" w:eastAsia="Arial" w:hAnsi="Arial" w:cs="Arial"/>
                <w:b/>
                <w:bCs/>
                <w:color w:val="000000"/>
                <w:spacing w:val="0"/>
                <w:w w:val="100"/>
                <w:position w:val="0"/>
                <w:sz w:val="9"/>
                <w:szCs w:val="9"/>
                <w:shd w:val="clear" w:color="auto" w:fill="auto"/>
                <w:lang w:val="pt-BR" w:eastAsia="pt-BR" w:bidi="pt-BR"/>
              </w:rPr>
              <w:t xml:space="preserve">Gtmtí </w:t>
            </w:r>
            <w:r>
              <w:rPr>
                <w:rFonts w:ascii="Arial" w:eastAsia="Arial" w:hAnsi="Arial" w:cs="Arial"/>
                <w:b/>
                <w:bCs/>
                <w:color w:val="000000"/>
                <w:spacing w:val="0"/>
                <w:w w:val="100"/>
                <w:position w:val="0"/>
                <w:sz w:val="9"/>
                <w:szCs w:val="9"/>
                <w:shd w:val="clear" w:color="auto" w:fill="auto"/>
              </w:rPr>
              <w:t xml:space="preserve">- </w:t>
            </w:r>
            <w:r>
              <w:rPr>
                <w:rFonts w:ascii="Arial" w:eastAsia="Arial" w:hAnsi="Arial" w:cs="Arial"/>
                <w:b/>
                <w:bCs/>
                <w:i/>
                <w:iCs/>
                <w:color w:val="000000"/>
                <w:spacing w:val="0"/>
                <w:w w:val="100"/>
                <w:position w:val="0"/>
                <w:sz w:val="9"/>
                <w:szCs w:val="9"/>
                <w:shd w:val="clear" w:color="auto" w:fill="auto"/>
              </w:rPr>
              <w:t>M. 7®. Hl,</w:t>
            </w:r>
            <w:r>
              <w:rPr>
                <w:rFonts w:ascii="Arial" w:eastAsia="Arial" w:hAnsi="Arial" w:cs="Arial"/>
                <w:b/>
                <w:bCs/>
                <w:color w:val="000000"/>
                <w:spacing w:val="0"/>
                <w:w w:val="100"/>
                <w:position w:val="0"/>
                <w:sz w:val="9"/>
                <w:szCs w:val="9"/>
                <w:shd w:val="clear" w:color="auto" w:fill="auto"/>
              </w:rPr>
              <w:t xml:space="preserve"> a</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80.88</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■081.704.^4</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100.00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45.00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r>
      <w:tr>
        <w:trPr>
          <w:trHeight w:val="446" w:hRule="exact"/>
        </w:trPr>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rPr>
              <w:t>Renda</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Fm&amp;FCiam </w:t>
            </w:r>
            <w:r>
              <w:rPr>
                <w:rFonts w:ascii="Arial" w:eastAsia="Arial" w:hAnsi="Arial" w:cs="Arial"/>
                <w:b/>
                <w:bCs/>
                <w:color w:val="000000"/>
                <w:spacing w:val="0"/>
                <w:w w:val="100"/>
                <w:position w:val="0"/>
                <w:sz w:val="9"/>
                <w:szCs w:val="9"/>
                <w:shd w:val="clear" w:color="auto" w:fill="auto"/>
              </w:rPr>
              <w:t>de lumOrnem em</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30,00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8.00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2.00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r>
      <w:tr>
        <w:trPr>
          <w:trHeight w:val="442"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11"/>
              <w:keepNext w:val="0"/>
              <w:keepLines w:val="0"/>
              <w:widowControl w:val="0"/>
              <w:shd w:val="clear" w:color="auto" w:fill="auto"/>
              <w:bidi w:val="0"/>
              <w:spacing w:before="80" w:after="0" w:line="211"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rPr>
              <w:t>Fuesíô/ate&amp;m de íomommtta «m ledícaa de Mercado (ETF| - Art. 8*. 8</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30D0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0,80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5.00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r>
      <w:tr>
        <w:trPr>
          <w:trHeight w:val="442" w:hRule="exact"/>
        </w:trPr>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Rands </w:t>
            </w:r>
            <w:r>
              <w:rPr>
                <w:rFonts w:ascii="Arial" w:eastAsia="Arial" w:hAnsi="Arial" w:cs="Arial"/>
                <w:b/>
                <w:bCs/>
                <w:color w:val="000000"/>
                <w:spacing w:val="0"/>
                <w:w w:val="100"/>
                <w:position w:val="0"/>
                <w:sz w:val="9"/>
                <w:szCs w:val="9"/>
                <w:shd w:val="clear" w:color="auto" w:fill="auto"/>
              </w:rPr>
              <w:t>Va«á&gt;m3</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rPr>
              <w:t>iwesimemô em</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30.00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0.80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r>
      <w:tr>
        <w:trPr>
          <w:trHeight w:val="442" w:hRule="exact"/>
        </w:trPr>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rPr>
              <w:t>Renda Variável</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rPr>
              <w:t>FdmfíVCiasaa de invesOmertó em</w:t>
            </w:r>
          </w:p>
          <w:p>
            <w:pPr>
              <w:pStyle w:val="Style11"/>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rPr>
              <w:t>ÔOR-ETF-imJP.IV</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30.00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r>
      <w:tr>
        <w:trPr>
          <w:trHeight w:val="456" w:hRule="exact"/>
        </w:trPr>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rPr>
              <w:t>líWáfesentós no Êxtmtex</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57" w:lineRule="auto"/>
              <w:ind w:left="0" w:right="0" w:firstLine="600"/>
              <w:jc w:val="left"/>
              <w:rPr>
                <w:sz w:val="9"/>
                <w:szCs w:val="9"/>
              </w:rPr>
            </w:pPr>
            <w:r>
              <w:rPr>
                <w:rFonts w:ascii="Arial" w:eastAsia="Arial" w:hAnsi="Arial" w:cs="Arial"/>
                <w:b/>
                <w:bCs/>
                <w:color w:val="000000"/>
                <w:spacing w:val="0"/>
                <w:w w:val="100"/>
                <w:position w:val="0"/>
                <w:sz w:val="9"/>
                <w:szCs w:val="9"/>
                <w:shd w:val="clear" w:color="auto" w:fill="auto"/>
              </w:rPr>
              <w:t xml:space="preserve">de hwsfewjto em Afeves </w:t>
            </w:r>
            <w:r>
              <w:rPr>
                <w:rFonts w:ascii="Arial" w:eastAsia="Arial" w:hAnsi="Arial" w:cs="Arial"/>
                <w:b/>
                <w:bCs/>
                <w:i/>
                <w:iCs/>
                <w:color w:val="000000"/>
                <w:spacing w:val="0"/>
                <w:w w:val="100"/>
                <w:position w:val="0"/>
                <w:sz w:val="9"/>
                <w:szCs w:val="9"/>
                <w:shd w:val="clear" w:color="auto" w:fill="auto"/>
              </w:rPr>
              <w:t>ao</w:t>
            </w:r>
            <w:r>
              <w:rPr>
                <w:rFonts w:ascii="Arial" w:eastAsia="Arial" w:hAnsi="Arial" w:cs="Arial"/>
                <w:b/>
                <w:bCs/>
                <w:color w:val="000000"/>
                <w:spacing w:val="0"/>
                <w:w w:val="100"/>
                <w:position w:val="0"/>
                <w:sz w:val="9"/>
                <w:szCs w:val="9"/>
                <w:shd w:val="clear" w:color="auto" w:fill="auto"/>
              </w:rPr>
              <w:t xml:space="preserve"> Fjdaéôf - Aít â*</w:t>
            </w:r>
            <w:r>
              <w:rPr>
                <w:rFonts w:ascii="Arial" w:eastAsia="Arial" w:hAnsi="Arial" w:cs="Arial"/>
                <w:b/>
                <w:bCs/>
                <w:color w:val="000000"/>
                <w:spacing w:val="0"/>
                <w:w w:val="100"/>
                <w:position w:val="0"/>
                <w:sz w:val="9"/>
                <w:szCs w:val="9"/>
                <w:shd w:val="clear" w:color="auto" w:fill="auto"/>
                <w:vertAlign w:val="subscript"/>
              </w:rPr>
              <w:t>4</w:t>
            </w:r>
            <w:r>
              <w:rPr>
                <w:rFonts w:ascii="Arial" w:eastAsia="Arial" w:hAnsi="Arial" w:cs="Arial"/>
                <w:b/>
                <w:bCs/>
                <w:color w:val="000000"/>
                <w:spacing w:val="0"/>
                <w:w w:val="100"/>
                <w:position w:val="0"/>
                <w:sz w:val="9"/>
                <w:szCs w:val="9"/>
                <w:shd w:val="clear" w:color="auto" w:fill="auto"/>
              </w:rPr>
              <w:t xml:space="preserve"> 8</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10.00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8,00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0.80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8.80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r>
      <w:tr>
        <w:trPr>
          <w:trHeight w:val="432" w:hRule="exact"/>
        </w:trPr>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rPr>
              <w:t>kweWnemos Eaeutareáoâ</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FürdctfQssaa </w:t>
            </w:r>
            <w:r>
              <w:rPr>
                <w:rFonts w:ascii="Arial" w:eastAsia="Arial" w:hAnsi="Arial" w:cs="Arial"/>
                <w:b/>
                <w:bCs/>
                <w:color w:val="000000"/>
                <w:spacing w:val="0"/>
                <w:w w:val="100"/>
                <w:position w:val="0"/>
                <w:sz w:val="9"/>
                <w:szCs w:val="9"/>
                <w:shd w:val="clear" w:color="auto" w:fill="auto"/>
              </w:rPr>
              <w:t>de iowsEmenío</w:t>
            </w:r>
          </w:p>
          <w:p>
            <w:pPr>
              <w:pStyle w:val="Style11"/>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rPr>
              <w:t>MtdismercadoF«*Art.1UI</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10.00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0.80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5.08</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a»</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5,08</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r>
      <w:tr>
        <w:trPr>
          <w:trHeight w:val="437" w:hRule="exact"/>
        </w:trPr>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rPr>
              <w:t>Renda Fixa</w:t>
            </w:r>
          </w:p>
        </w:tc>
        <w:tc>
          <w:tcPr>
            <w:tcBorders>
              <w:top w:val="single" w:sz="4"/>
              <w:left w:val="single" w:sz="4"/>
            </w:tcBorders>
            <w:shd w:val="clear" w:color="auto" w:fill="FFFFFF"/>
            <w:vAlign w:val="center"/>
          </w:tcPr>
          <w:p>
            <w:pPr>
              <w:pStyle w:val="Style11"/>
              <w:keepNext w:val="0"/>
              <w:keepLines w:val="0"/>
              <w:widowControl w:val="0"/>
              <w:shd w:val="clear" w:color="auto" w:fill="auto"/>
              <w:tabs>
                <w:tab w:pos="931" w:val="left"/>
              </w:tabs>
              <w:bidi w:val="0"/>
              <w:spacing w:before="0" w:after="0" w:line="276"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rPr>
              <w:t>Atvtsa de Rmdíi Fitó E«®ta pdf ínstfeéçô»*</w:t>
              <w:tab/>
              <w:t>- M. 7», IV</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20.00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5.00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r>
      <w:tr>
        <w:trPr>
          <w:trHeight w:val="461" w:hRule="exact"/>
        </w:trPr>
        <w:tc>
          <w:tcPr>
            <w:tcBorders>
              <w:top w:val="single" w:sz="4"/>
              <w:left w:val="single" w:sz="4"/>
              <w:bottom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rPr>
              <w:t>Renda Pista</w:t>
            </w:r>
          </w:p>
        </w:tc>
        <w:tc>
          <w:tcPr>
            <w:tcBorders>
              <w:top w:val="single" w:sz="4"/>
              <w:left w:val="single" w:sz="4"/>
              <w:bottom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rPr>
              <w:t>FmsdstfCums» de immsÊmento em</w:t>
            </w:r>
          </w:p>
          <w:p>
            <w:pPr>
              <w:pStyle w:val="Style11"/>
              <w:keepNext w:val="0"/>
              <w:keepLines w:val="0"/>
              <w:widowControl w:val="0"/>
              <w:shd w:val="clear" w:color="auto" w:fill="auto"/>
              <w:tabs>
                <w:tab w:pos="821" w:val="left"/>
              </w:tabs>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rPr>
              <w:t>Renda Fixa ~</w:t>
              <w:tab/>
              <w:t>Pdvade » Ast 7*,</w:t>
            </w:r>
          </w:p>
          <w:p>
            <w:pPr>
              <w:pStyle w:val="Style11"/>
              <w:keepNext w:val="0"/>
              <w:keepLines w:val="0"/>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rPr>
              <w:t>V.fe</w:t>
            </w:r>
          </w:p>
        </w:tc>
        <w:tc>
          <w:tcPr>
            <w:tcBorders>
              <w:top w:val="single" w:sz="4"/>
              <w:left w:val="single" w:sz="4"/>
              <w:bottom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500</w:t>
            </w:r>
          </w:p>
        </w:tc>
        <w:tc>
          <w:tcPr>
            <w:tcBorders>
              <w:top w:val="single" w:sz="4"/>
              <w:left w:val="single" w:sz="4"/>
              <w:bottom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8.00</w:t>
            </w:r>
          </w:p>
        </w:tc>
        <w:tc>
          <w:tcPr>
            <w:tcBorders>
              <w:top w:val="single" w:sz="4"/>
              <w:left w:val="single" w:sz="4"/>
              <w:bottom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0,80</w:t>
            </w:r>
          </w:p>
        </w:tc>
        <w:tc>
          <w:tcPr>
            <w:tcBorders>
              <w:top w:val="single" w:sz="4"/>
              <w:left w:val="single" w:sz="4"/>
              <w:bottom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0,00</w:t>
            </w:r>
          </w:p>
        </w:tc>
        <w:tc>
          <w:tcPr>
            <w:tcBorders>
              <w:top w:val="single" w:sz="4"/>
              <w:left w:val="single" w:sz="4"/>
              <w:bottom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0.80</w:t>
            </w:r>
          </w:p>
        </w:tc>
        <w:tc>
          <w:tcPr>
            <w:tcBorders>
              <w:top w:val="single" w:sz="4"/>
              <w:left w:val="single" w:sz="4"/>
              <w:bottom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5.00</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r>
    </w:tbl>
    <w:p>
      <w:pPr>
        <w:widowControl w:val="0"/>
        <w:spacing w:after="359" w:line="1" w:lineRule="exact"/>
      </w:pPr>
    </w:p>
    <w:p>
      <w:pPr>
        <w:pStyle w:val="Style11"/>
        <w:keepNext w:val="0"/>
        <w:keepLines w:val="0"/>
        <w:widowControl w:val="0"/>
        <w:shd w:val="clear" w:color="auto" w:fill="auto"/>
        <w:bidi w:val="0"/>
        <w:spacing w:before="0" w:after="86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rPr>
        <w:t xml:space="preserve">Imagem 1 - Fonte MPS: </w:t>
      </w:r>
      <w:r>
        <w:fldChar w:fldCharType="begin"/>
      </w:r>
      <w:r>
        <w:rPr/>
        <w:instrText> HYPERLINK "https://cadprev.previdencia.gov.br/CadDrcv/pagcs/modulos/dpinV2/consultarDemonstrativos.xhtnil" </w:instrText>
      </w:r>
      <w:r>
        <w:fldChar w:fldCharType="separate"/>
      </w:r>
      <w:r>
        <w:rPr>
          <w:rFonts w:ascii="Times New Roman" w:eastAsia="Times New Roman" w:hAnsi="Times New Roman" w:cs="Times New Roman"/>
          <w:color w:val="000000"/>
          <w:spacing w:val="0"/>
          <w:w w:val="100"/>
          <w:position w:val="0"/>
          <w:sz w:val="17"/>
          <w:szCs w:val="17"/>
          <w:u w:val="single"/>
          <w:shd w:val="clear" w:color="auto" w:fill="auto"/>
        </w:rPr>
        <w:t>https://cadprev.</w:t>
      </w:r>
      <w:r>
        <w:rPr>
          <w:rFonts w:ascii="Times New Roman" w:eastAsia="Times New Roman" w:hAnsi="Times New Roman" w:cs="Times New Roman"/>
          <w:color w:val="000000"/>
          <w:spacing w:val="0"/>
          <w:w w:val="100"/>
          <w:position w:val="0"/>
          <w:sz w:val="17"/>
          <w:szCs w:val="17"/>
          <w:u w:val="single"/>
          <w:shd w:val="clear" w:color="auto" w:fill="auto"/>
          <w:lang w:val="en-US" w:eastAsia="en-US" w:bidi="en-US"/>
        </w:rPr>
        <w:t>previdencia.gov.br/CadDrcv/pagcs/modulos/dpinV2/consultarDemonstrativos.xhtnil</w:t>
      </w:r>
      <w:r>
        <w:fldChar w:fldCharType="end"/>
      </w:r>
    </w:p>
    <w:p>
      <w:pPr>
        <w:pStyle w:val="Style16"/>
        <w:keepNext/>
        <w:keepLines/>
        <w:widowControl w:val="0"/>
        <w:shd w:val="clear" w:color="auto" w:fill="auto"/>
        <w:bidi w:val="0"/>
        <w:spacing w:before="0" w:after="100"/>
        <w:ind w:left="0" w:right="0" w:firstLine="1240"/>
        <w:jc w:val="both"/>
      </w:pPr>
      <w:bookmarkStart w:id="6" w:name="bookmark6"/>
      <w:r>
        <w:rPr>
          <w:rFonts w:ascii="Times New Roman" w:eastAsia="Times New Roman" w:hAnsi="Times New Roman" w:cs="Times New Roman"/>
          <w:color w:val="000000"/>
          <w:spacing w:val="0"/>
          <w:w w:val="100"/>
          <w:position w:val="0"/>
          <w:sz w:val="24"/>
          <w:szCs w:val="24"/>
          <w:shd w:val="clear" w:color="auto" w:fill="auto"/>
        </w:rPr>
        <w:t xml:space="preserve">RENDIMENTOS </w:t>
      </w:r>
      <w:r>
        <w:rPr>
          <w:rFonts w:ascii="Times New Roman" w:eastAsia="Times New Roman" w:hAnsi="Times New Roman" w:cs="Times New Roman"/>
          <w:i/>
          <w:iCs/>
          <w:color w:val="000000"/>
          <w:spacing w:val="0"/>
          <w:w w:val="100"/>
          <w:position w:val="0"/>
          <w:sz w:val="24"/>
          <w:szCs w:val="24"/>
          <w:shd w:val="clear" w:color="auto" w:fill="auto"/>
          <w:lang w:val="pt-BR" w:eastAsia="pt-BR" w:bidi="pt-BR"/>
        </w:rPr>
        <w:t>VERSUS</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 </w:t>
      </w:r>
      <w:r>
        <w:rPr>
          <w:rFonts w:ascii="Times New Roman" w:eastAsia="Times New Roman" w:hAnsi="Times New Roman" w:cs="Times New Roman"/>
          <w:color w:val="000000"/>
          <w:spacing w:val="0"/>
          <w:w w:val="100"/>
          <w:position w:val="0"/>
          <w:sz w:val="24"/>
          <w:szCs w:val="24"/>
          <w:shd w:val="clear" w:color="auto" w:fill="auto"/>
        </w:rPr>
        <w:t>A POLÍTICA DE INVESTIMENTOS</w:t>
      </w:r>
      <w:bookmarkEnd w:id="6"/>
    </w:p>
    <w:p>
      <w:pPr>
        <w:pStyle w:val="Style7"/>
        <w:keepNext w:val="0"/>
        <w:keepLines w:val="0"/>
        <w:widowControl w:val="0"/>
        <w:shd w:val="clear" w:color="auto" w:fill="auto"/>
        <w:bidi w:val="0"/>
        <w:spacing w:before="0" w:line="389" w:lineRule="auto"/>
        <w:ind w:left="0" w:right="0" w:firstLine="1240"/>
        <w:jc w:val="both"/>
      </w:pPr>
      <w:r>
        <w:rPr>
          <w:rFonts w:ascii="Times New Roman" w:eastAsia="Times New Roman" w:hAnsi="Times New Roman" w:cs="Times New Roman"/>
          <w:color w:val="000000"/>
          <w:spacing w:val="0"/>
          <w:w w:val="100"/>
          <w:position w:val="0"/>
          <w:shd w:val="clear" w:color="auto" w:fill="auto"/>
          <w:lang w:val="pt-PT" w:eastAsia="pt-PT" w:bidi="pt-PT"/>
        </w:rPr>
        <w:t>A Política de Investimentos do RPPS para o exercício de 2025 observou os princípios estabelecidos pela Resolução CMN 4.963/2021 e pela Portaria MTP n° 1.467, de 2 de junho de 2022. Tais diretrizes exigem que as aplicações reúnam os princípios de segurança, rentabilidade, solvência, liquidez, motivação, adequação à natureza das obrigações e transparência.</w:t>
      </w:r>
    </w:p>
    <w:p>
      <w:pPr>
        <w:pStyle w:val="Style7"/>
        <w:keepNext w:val="0"/>
        <w:keepLines w:val="0"/>
        <w:widowControl w:val="0"/>
        <w:shd w:val="clear" w:color="auto" w:fill="auto"/>
        <w:bidi w:val="0"/>
        <w:spacing w:before="0" w:line="389" w:lineRule="auto"/>
        <w:ind w:left="0" w:right="0" w:firstLine="1240"/>
        <w:jc w:val="both"/>
      </w:pPr>
      <w:r>
        <w:rPr>
          <w:rFonts w:ascii="Times New Roman" w:eastAsia="Times New Roman" w:hAnsi="Times New Roman" w:cs="Times New Roman"/>
          <w:color w:val="000000"/>
          <w:spacing w:val="0"/>
          <w:w w:val="100"/>
          <w:position w:val="0"/>
          <w:shd w:val="clear" w:color="auto" w:fill="auto"/>
          <w:lang w:val="pt-PT" w:eastAsia="pt-PT" w:bidi="pt-PT"/>
        </w:rPr>
        <w:t>É fundamental que os valores referentes à taxa de administração sejam segregados dos recursos destinados ao pagamento de benefícios, mantidos em conta individual e distinta, de acordo com os requisitos normativos de segregação e transparência .</w:t>
      </w:r>
    </w:p>
    <w:p>
      <w:pPr>
        <w:pStyle w:val="Style16"/>
        <w:keepNext/>
        <w:keepLines/>
        <w:widowControl w:val="0"/>
        <w:shd w:val="clear" w:color="auto" w:fill="auto"/>
        <w:bidi w:val="0"/>
        <w:spacing w:before="0" w:after="100"/>
        <w:ind w:left="0" w:right="0" w:firstLine="1240"/>
        <w:jc w:val="both"/>
      </w:pPr>
      <w:bookmarkStart w:id="7" w:name="bookmark7"/>
      <w:r>
        <w:rPr>
          <w:rFonts w:ascii="Times New Roman" w:eastAsia="Times New Roman" w:hAnsi="Times New Roman" w:cs="Times New Roman"/>
          <w:color w:val="000000"/>
          <w:spacing w:val="0"/>
          <w:w w:val="100"/>
          <w:position w:val="0"/>
          <w:sz w:val="24"/>
          <w:szCs w:val="24"/>
          <w:shd w:val="clear" w:color="auto" w:fill="auto"/>
        </w:rPr>
        <w:t>Objetivo da Política de Investimentos</w:t>
      </w:r>
      <w:bookmarkEnd w:id="7"/>
    </w:p>
    <w:p>
      <w:pPr>
        <w:pStyle w:val="Style7"/>
        <w:keepNext w:val="0"/>
        <w:keepLines w:val="0"/>
        <w:widowControl w:val="0"/>
        <w:shd w:val="clear" w:color="auto" w:fill="auto"/>
        <w:bidi w:val="0"/>
        <w:spacing w:before="0" w:line="389" w:lineRule="auto"/>
        <w:ind w:left="0" w:right="0" w:firstLine="12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Segurança: preservação do </w:t>
      </w:r>
      <w:r>
        <w:rPr>
          <w:rFonts w:ascii="Times New Roman" w:eastAsia="Times New Roman" w:hAnsi="Times New Roman" w:cs="Times New Roman"/>
          <w:color w:val="000000"/>
          <w:spacing w:val="0"/>
          <w:w w:val="100"/>
          <w:position w:val="0"/>
          <w:shd w:val="clear" w:color="auto" w:fill="auto"/>
          <w:lang w:val="pt-BR" w:eastAsia="pt-BR" w:bidi="pt-BR"/>
        </w:rPr>
        <w:t xml:space="preserve">patrimônio </w:t>
      </w:r>
      <w:r>
        <w:rPr>
          <w:rFonts w:ascii="Times New Roman" w:eastAsia="Times New Roman" w:hAnsi="Times New Roman" w:cs="Times New Roman"/>
          <w:color w:val="000000"/>
          <w:spacing w:val="0"/>
          <w:w w:val="100"/>
          <w:position w:val="0"/>
          <w:shd w:val="clear" w:color="auto" w:fill="auto"/>
          <w:lang w:val="pt-PT" w:eastAsia="pt-PT" w:bidi="pt-PT"/>
        </w:rPr>
        <w:t xml:space="preserve">institucional; • Rentabilidade: retomo </w:t>
      </w:r>
      <w:r>
        <w:rPr>
          <w:rFonts w:ascii="Times New Roman" w:eastAsia="Times New Roman" w:hAnsi="Times New Roman" w:cs="Times New Roman"/>
          <w:color w:val="000000"/>
          <w:spacing w:val="0"/>
          <w:w w:val="100"/>
          <w:position w:val="0"/>
          <w:shd w:val="clear" w:color="auto" w:fill="auto"/>
          <w:lang w:val="pt-PT" w:eastAsia="pt-PT" w:bidi="pt-PT"/>
        </w:rPr>
        <w:t>adequado, respeitando a prudência financeira; • Solvência e liquidez: capacidade de honrar os compromissos atuariais; • Transparência e motivação: clareza nas decisões e coerência com os objetivos previdenciários.</w:t>
      </w:r>
    </w:p>
    <w:p>
      <w:pPr>
        <w:pStyle w:val="Style7"/>
        <w:keepNext w:val="0"/>
        <w:keepLines w:val="0"/>
        <w:widowControl w:val="0"/>
        <w:shd w:val="clear" w:color="auto" w:fill="auto"/>
        <w:bidi w:val="0"/>
        <w:spacing w:before="0" w:line="40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Essas diretrizes foram rigorosamente observadas não apenas na aplicação, mas também na manutenção e eventual desinvestimento dos recursos.</w:t>
      </w:r>
    </w:p>
    <w:p>
      <w:pPr>
        <w:pStyle w:val="Style16"/>
        <w:keepNext/>
        <w:keepLines/>
        <w:widowControl w:val="0"/>
        <w:shd w:val="clear" w:color="auto" w:fill="auto"/>
        <w:bidi w:val="0"/>
        <w:spacing w:before="0" w:after="100"/>
        <w:ind w:left="0" w:right="0" w:firstLine="0"/>
        <w:jc w:val="center"/>
      </w:pPr>
      <w:bookmarkStart w:id="8" w:name="bookmark8"/>
      <w:r>
        <w:rPr>
          <w:rFonts w:ascii="Times New Roman" w:eastAsia="Times New Roman" w:hAnsi="Times New Roman" w:cs="Times New Roman"/>
          <w:color w:val="000000"/>
          <w:spacing w:val="0"/>
          <w:w w:val="100"/>
          <w:position w:val="0"/>
          <w:sz w:val="24"/>
          <w:szCs w:val="24"/>
          <w:shd w:val="clear" w:color="auto" w:fill="auto"/>
        </w:rPr>
        <w:t>RENDIMENTOS DO SEGUNDO SEMESTRE</w:t>
      </w:r>
      <w:bookmarkEnd w:id="8"/>
    </w:p>
    <w:p>
      <w:pPr>
        <w:pStyle w:val="Style7"/>
        <w:keepNext w:val="0"/>
        <w:keepLines w:val="0"/>
        <w:widowControl w:val="0"/>
        <w:shd w:val="clear" w:color="auto" w:fill="auto"/>
        <w:bidi w:val="0"/>
        <w:spacing w:before="0" w:after="480" w:line="401" w:lineRule="auto"/>
        <w:ind w:left="0" w:right="0" w:firstLine="1160"/>
        <w:jc w:val="both"/>
      </w:pPr>
      <w:r>
        <w:rPr>
          <w:rFonts w:ascii="Times New Roman" w:eastAsia="Times New Roman" w:hAnsi="Times New Roman" w:cs="Times New Roman"/>
          <w:color w:val="000000"/>
          <w:spacing w:val="0"/>
          <w:w w:val="100"/>
          <w:position w:val="0"/>
          <w:shd w:val="clear" w:color="auto" w:fill="auto"/>
          <w:lang w:val="pt-PT" w:eastAsia="pt-PT" w:bidi="pt-PT"/>
        </w:rPr>
        <w:t>Total de rendimentos apurados nas aplicações financeiras do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semestre de 2025 foi de R$ 160.507,04, o melhor mês de rendimento foi OUTUBRO, com um ganho de R$ 30.164,85.</w:t>
      </w:r>
    </w:p>
    <w:p>
      <w:pPr>
        <w:pStyle w:val="Style16"/>
        <w:keepNext/>
        <w:keepLines/>
        <w:widowControl w:val="0"/>
        <w:shd w:val="clear" w:color="auto" w:fill="auto"/>
        <w:bidi w:val="0"/>
        <w:spacing w:before="0" w:after="100"/>
        <w:ind w:left="0" w:right="0" w:firstLine="0"/>
        <w:jc w:val="center"/>
      </w:pPr>
      <w:bookmarkStart w:id="9" w:name="bookmark9"/>
      <w:r>
        <w:rPr>
          <w:rFonts w:ascii="Times New Roman" w:eastAsia="Times New Roman" w:hAnsi="Times New Roman" w:cs="Times New Roman"/>
          <w:color w:val="000000"/>
          <w:spacing w:val="0"/>
          <w:w w:val="100"/>
          <w:position w:val="0"/>
          <w:sz w:val="24"/>
          <w:szCs w:val="24"/>
          <w:shd w:val="clear" w:color="auto" w:fill="auto"/>
        </w:rPr>
        <w:t>COMPOSIÇÃO DE INVESTIMENTOS E BANCOS</w:t>
      </w:r>
      <w:bookmarkEnd w:id="9"/>
    </w:p>
    <w:p>
      <w:pPr>
        <w:pStyle w:val="Style7"/>
        <w:keepNext w:val="0"/>
        <w:keepLines w:val="0"/>
        <w:widowControl w:val="0"/>
        <w:shd w:val="clear" w:color="auto" w:fill="auto"/>
        <w:bidi w:val="0"/>
        <w:spacing w:before="0" w:after="0" w:line="389" w:lineRule="auto"/>
        <w:ind w:left="0" w:right="0" w:firstLine="11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Os recursos financeiros do RPPS foram geridos em conformidade com a Política de Investimentos, a Resolução em vigor e por meio de Instituições Financeiras </w:t>
      </w:r>
      <w:r>
        <w:rPr>
          <w:rFonts w:ascii="Times New Roman" w:eastAsia="Times New Roman" w:hAnsi="Times New Roman" w:cs="Times New Roman"/>
          <w:color w:val="000000"/>
          <w:spacing w:val="0"/>
          <w:w w:val="100"/>
          <w:position w:val="0"/>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hd w:val="clear" w:color="auto" w:fill="auto"/>
          <w:lang w:val="pt-PT" w:eastAsia="pt-PT" w:bidi="pt-PT"/>
        </w:rPr>
        <w:t xml:space="preserve">credenciadas. Realizaram-se ajustes pontuais na carteira, realocando ativos entre os próprios bancos, a fim de manter a carteira alinhada com a conjuntura </w:t>
      </w:r>
      <w:r>
        <w:rPr>
          <w:rFonts w:ascii="Times New Roman" w:eastAsia="Times New Roman" w:hAnsi="Times New Roman" w:cs="Times New Roman"/>
          <w:color w:val="000000"/>
          <w:spacing w:val="0"/>
          <w:w w:val="100"/>
          <w:position w:val="0"/>
          <w:shd w:val="clear" w:color="auto" w:fill="auto"/>
          <w:lang w:val="pt-BR" w:eastAsia="pt-BR" w:bidi="pt-BR"/>
        </w:rPr>
        <w:t xml:space="preserve">econômica </w:t>
      </w:r>
      <w:r>
        <w:rPr>
          <w:rFonts w:ascii="Times New Roman" w:eastAsia="Times New Roman" w:hAnsi="Times New Roman" w:cs="Times New Roman"/>
          <w:color w:val="000000"/>
          <w:spacing w:val="0"/>
          <w:w w:val="100"/>
          <w:position w:val="0"/>
          <w:shd w:val="clear" w:color="auto" w:fill="auto"/>
          <w:lang w:val="pt-PT" w:eastAsia="pt-PT" w:bidi="pt-PT"/>
        </w:rPr>
        <w:t>atual.</w:t>
      </w:r>
    </w:p>
    <w:p>
      <w:pPr>
        <w:pStyle w:val="Style7"/>
        <w:keepNext w:val="0"/>
        <w:keepLines w:val="0"/>
        <w:widowControl w:val="0"/>
        <w:shd w:val="clear" w:color="auto" w:fill="auto"/>
        <w:bidi w:val="0"/>
        <w:spacing w:before="0" w:line="389" w:lineRule="auto"/>
        <w:ind w:left="0" w:right="0" w:firstLine="1160"/>
        <w:jc w:val="both"/>
      </w:pPr>
      <w:r>
        <w:rPr>
          <w:rFonts w:ascii="Times New Roman" w:eastAsia="Times New Roman" w:hAnsi="Times New Roman" w:cs="Times New Roman"/>
          <w:color w:val="000000"/>
          <w:spacing w:val="0"/>
          <w:w w:val="100"/>
          <w:position w:val="0"/>
          <w:shd w:val="clear" w:color="auto" w:fill="auto"/>
          <w:lang w:val="pt-PT" w:eastAsia="pt-PT" w:bidi="pt-PT"/>
        </w:rPr>
        <w:t>O montante do capital do RPPS apurado em 31/12/2025 foi de R$ 3.952.221,71, aplicado em fundos de investimento e mantido em conta corrente, conforme distribuição a seguir:</w:t>
      </w:r>
    </w:p>
    <w:tbl>
      <w:tblPr>
        <w:tblOverlap w:val="never"/>
        <w:jc w:val="center"/>
        <w:tblLayout w:type="fixed"/>
      </w:tblPr>
      <w:tblGrid>
        <w:gridCol w:w="7162"/>
        <w:gridCol w:w="926"/>
        <w:gridCol w:w="538"/>
      </w:tblGrid>
      <w:tr>
        <w:trPr>
          <w:trHeight w:val="206" w:hRule="exact"/>
        </w:trPr>
        <w:tc>
          <w:tcPr>
            <w:vMerge w:val="restart"/>
            <w:tcBorders/>
            <w:shd w:val="clear" w:color="auto" w:fill="3B3C3F"/>
            <w:vAlign w:val="top"/>
          </w:tcPr>
          <w:p>
            <w:pPr>
              <w:pStyle w:val="Style11"/>
              <w:keepNext w:val="0"/>
              <w:keepLines w:val="0"/>
              <w:widowControl w:val="0"/>
              <w:pBdr>
                <w:top w:val="single" w:sz="0" w:space="0" w:color="343437"/>
                <w:left w:val="single" w:sz="0" w:space="0" w:color="343437"/>
                <w:bottom w:val="single" w:sz="0" w:space="0" w:color="343437"/>
                <w:right w:val="single" w:sz="0" w:space="0" w:color="343437"/>
              </w:pBdr>
              <w:shd w:val="clear" w:color="auto" w:fill="343437"/>
              <w:bidi w:val="0"/>
              <w:spacing w:before="0" w:after="0" w:line="240" w:lineRule="auto"/>
              <w:ind w:left="0" w:right="0" w:firstLine="0"/>
              <w:jc w:val="left"/>
              <w:rPr>
                <w:sz w:val="9"/>
                <w:szCs w:val="9"/>
              </w:rPr>
            </w:pPr>
            <w:r>
              <w:rPr>
                <w:rFonts w:ascii="Arial" w:eastAsia="Arial" w:hAnsi="Arial" w:cs="Arial"/>
                <w:b/>
                <w:bCs/>
                <w:color w:val="FFFFFF"/>
                <w:spacing w:val="0"/>
                <w:w w:val="100"/>
                <w:position w:val="0"/>
                <w:sz w:val="9"/>
                <w:szCs w:val="9"/>
                <w:shd w:val="clear" w:color="auto" w:fill="auto"/>
              </w:rPr>
              <w:t>( ompmíção da ( arfvíra</w:t>
            </w:r>
          </w:p>
        </w:tc>
        <w:tc>
          <w:tcPr>
            <w:gridSpan w:val="2"/>
            <w:tcBorders/>
            <w:shd w:val="clear" w:color="auto" w:fill="3B3C3F"/>
            <w:vAlign w:val="top"/>
          </w:tcPr>
          <w:p>
            <w:pPr>
              <w:pStyle w:val="Style11"/>
              <w:keepNext w:val="0"/>
              <w:keepLines w:val="0"/>
              <w:widowControl w:val="0"/>
              <w:pBdr>
                <w:top w:val="single" w:sz="0" w:space="0" w:color="363638"/>
                <w:left w:val="single" w:sz="0" w:space="0" w:color="363638"/>
                <w:bottom w:val="single" w:sz="0" w:space="0" w:color="363638"/>
                <w:right w:val="single" w:sz="0" w:space="0" w:color="363638"/>
              </w:pBdr>
              <w:shd w:val="clear" w:color="auto" w:fill="363638"/>
              <w:bidi w:val="0"/>
              <w:spacing w:before="0" w:after="0" w:line="240" w:lineRule="auto"/>
              <w:ind w:left="0" w:right="0" w:firstLine="0"/>
              <w:jc w:val="center"/>
              <w:rPr>
                <w:sz w:val="9"/>
                <w:szCs w:val="9"/>
              </w:rPr>
            </w:pPr>
            <w:r>
              <w:rPr>
                <w:rFonts w:ascii="Arial" w:eastAsia="Arial" w:hAnsi="Arial" w:cs="Arial"/>
                <w:b/>
                <w:bCs/>
                <w:color w:val="FFFFFF"/>
                <w:spacing w:val="0"/>
                <w:w w:val="100"/>
                <w:position w:val="0"/>
                <w:sz w:val="9"/>
                <w:szCs w:val="9"/>
                <w:shd w:val="clear" w:color="auto" w:fill="auto"/>
              </w:rPr>
              <w:t>127025</w:t>
            </w:r>
          </w:p>
        </w:tc>
      </w:tr>
      <w:tr>
        <w:trPr>
          <w:trHeight w:val="197" w:hRule="exact"/>
        </w:trPr>
        <w:tc>
          <w:tcPr>
            <w:vMerge/>
            <w:tcBorders/>
            <w:shd w:val="clear" w:color="auto" w:fill="3B3C3F"/>
            <w:vAlign w:val="top"/>
          </w:tcPr>
          <w:p>
            <w:pPr/>
          </w:p>
        </w:tc>
        <w:tc>
          <w:tcPr>
            <w:tcBorders/>
            <w:shd w:val="clear" w:color="auto" w:fill="3B3C3F"/>
            <w:vAlign w:val="center"/>
          </w:tcPr>
          <w:p>
            <w:pPr>
              <w:pStyle w:val="Style11"/>
              <w:keepNext w:val="0"/>
              <w:keepLines w:val="0"/>
              <w:widowControl w:val="0"/>
              <w:pBdr>
                <w:top w:val="single" w:sz="0" w:space="0" w:color="2B2B2D"/>
                <w:left w:val="single" w:sz="0" w:space="0" w:color="2B2B2D"/>
                <w:bottom w:val="single" w:sz="0" w:space="0" w:color="2B2B2D"/>
                <w:right w:val="single" w:sz="0" w:space="0" w:color="2B2B2D"/>
              </w:pBdr>
              <w:shd w:val="clear" w:color="auto" w:fill="2B2B2D"/>
              <w:bidi w:val="0"/>
              <w:spacing w:before="0" w:after="0" w:line="240" w:lineRule="auto"/>
              <w:ind w:left="0" w:right="0" w:firstLine="0"/>
              <w:jc w:val="center"/>
              <w:rPr>
                <w:sz w:val="12"/>
                <w:szCs w:val="12"/>
              </w:rPr>
            </w:pPr>
            <w:r>
              <w:rPr>
                <w:rFonts w:ascii="Arial" w:eastAsia="Arial" w:hAnsi="Arial" w:cs="Arial"/>
                <w:color w:val="FFFFFF"/>
                <w:spacing w:val="0"/>
                <w:w w:val="100"/>
                <w:position w:val="0"/>
                <w:sz w:val="12"/>
                <w:szCs w:val="12"/>
                <w:shd w:val="clear" w:color="auto" w:fill="auto"/>
              </w:rPr>
              <w:t>RS</w:t>
            </w:r>
          </w:p>
        </w:tc>
        <w:tc>
          <w:tcPr>
            <w:tcBorders/>
            <w:shd w:val="clear" w:color="auto" w:fill="3B3C3F"/>
            <w:vAlign w:val="center"/>
          </w:tcPr>
          <w:p>
            <w:pPr>
              <w:pStyle w:val="Style11"/>
              <w:keepNext w:val="0"/>
              <w:keepLines w:val="0"/>
              <w:widowControl w:val="0"/>
              <w:pBdr>
                <w:top w:val="single" w:sz="0" w:space="0" w:color="292A2B"/>
                <w:left w:val="single" w:sz="0" w:space="0" w:color="292A2B"/>
                <w:bottom w:val="single" w:sz="0" w:space="0" w:color="292A2B"/>
                <w:right w:val="single" w:sz="0" w:space="0" w:color="292A2B"/>
              </w:pBdr>
              <w:shd w:val="clear" w:color="auto" w:fill="292A2B"/>
              <w:bidi w:val="0"/>
              <w:spacing w:before="0" w:after="0" w:line="240" w:lineRule="auto"/>
              <w:ind w:left="0" w:right="0" w:firstLine="0"/>
              <w:jc w:val="center"/>
              <w:rPr>
                <w:sz w:val="12"/>
                <w:szCs w:val="12"/>
              </w:rPr>
            </w:pPr>
            <w:r>
              <w:rPr>
                <w:rFonts w:ascii="Times New Roman" w:eastAsia="Times New Roman" w:hAnsi="Times New Roman" w:cs="Times New Roman"/>
                <w:b/>
                <w:bCs/>
                <w:color w:val="FFFFFF"/>
                <w:spacing w:val="0"/>
                <w:w w:val="100"/>
                <w:position w:val="0"/>
                <w:sz w:val="12"/>
                <w:szCs w:val="12"/>
                <w:shd w:val="clear" w:color="auto" w:fill="auto"/>
              </w:rPr>
              <w:t>♦..</w:t>
            </w:r>
            <w:r>
              <w:rPr>
                <w:rFonts w:ascii="Times New Roman" w:eastAsia="Times New Roman" w:hAnsi="Times New Roman" w:cs="Times New Roman"/>
                <w:b/>
                <w:bCs/>
                <w:color w:val="FFFFFF"/>
                <w:spacing w:val="0"/>
                <w:w w:val="100"/>
                <w:position w:val="0"/>
                <w:sz w:val="12"/>
                <w:szCs w:val="12"/>
                <w:shd w:val="clear" w:color="auto" w:fill="auto"/>
                <w:vertAlign w:val="subscript"/>
              </w:rPr>
              <w:t>w</w:t>
            </w:r>
          </w:p>
        </w:tc>
      </w:tr>
      <w:tr>
        <w:trPr>
          <w:trHeight w:val="182" w:hRule="exact"/>
        </w:trPr>
        <w:tc>
          <w:tcPr>
            <w:tcBorders>
              <w:left w:val="single" w:sz="4"/>
            </w:tcBorders>
            <w:shd w:val="clear" w:color="auto" w:fill="FFFFFF"/>
            <w:vAlign w:val="top"/>
          </w:tcPr>
          <w:p>
            <w:pPr>
              <w:pStyle w:val="Style11"/>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b/>
                <w:bCs/>
                <w:color w:val="000000"/>
                <w:spacing w:val="0"/>
                <w:w w:val="100"/>
                <w:position w:val="0"/>
                <w:sz w:val="12"/>
                <w:szCs w:val="12"/>
                <w:shd w:val="clear" w:color="auto" w:fill="auto"/>
              </w:rPr>
              <w:t xml:space="preserve">BB 1RF-M 1 TÍTULOS PÚBLICOS RESP LIMITADA F1F </w:t>
            </w: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 xml:space="preserve">CTC </w:t>
            </w:r>
            <w:r>
              <w:rPr>
                <w:rFonts w:ascii="Times New Roman" w:eastAsia="Times New Roman" w:hAnsi="Times New Roman" w:cs="Times New Roman"/>
                <w:b/>
                <w:bCs/>
                <w:color w:val="000000"/>
                <w:spacing w:val="0"/>
                <w:w w:val="100"/>
                <w:position w:val="0"/>
                <w:sz w:val="12"/>
                <w:szCs w:val="12"/>
                <w:shd w:val="clear" w:color="auto" w:fill="auto"/>
              </w:rPr>
              <w:t>RENDA FIXA PREVIDENCIÁRIO</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pStyle w:val="Style11"/>
              <w:keepNext w:val="0"/>
              <w:keepLines w:val="0"/>
              <w:widowControl w:val="0"/>
              <w:shd w:val="clear" w:color="auto" w:fill="auto"/>
              <w:bidi w:val="0"/>
              <w:spacing w:before="0" w:after="0" w:line="240" w:lineRule="auto"/>
              <w:ind w:left="0" w:right="0" w:firstLine="0"/>
              <w:jc w:val="center"/>
              <w:rPr>
                <w:sz w:val="12"/>
                <w:szCs w:val="12"/>
              </w:rPr>
            </w:pPr>
            <w:r>
              <w:rPr>
                <w:rFonts w:ascii="Times New Roman" w:eastAsia="Times New Roman" w:hAnsi="Times New Roman" w:cs="Times New Roman"/>
                <w:b/>
                <w:bCs/>
                <w:color w:val="000000"/>
                <w:spacing w:val="0"/>
                <w:w w:val="100"/>
                <w:position w:val="0"/>
                <w:sz w:val="12"/>
                <w:szCs w:val="12"/>
                <w:shd w:val="clear" w:color="auto" w:fill="auto"/>
              </w:rPr>
              <w:t>79.S0</w:t>
            </w:r>
          </w:p>
        </w:tc>
      </w:tr>
      <w:tr>
        <w:trPr>
          <w:trHeight w:val="187" w:hRule="exact"/>
        </w:trPr>
        <w:tc>
          <w:tcPr>
            <w:tcBorders>
              <w:top w:val="single" w:sz="4"/>
              <w:left w:val="single" w:sz="4"/>
            </w:tcBorders>
            <w:shd w:val="clear" w:color="auto" w:fill="FFFFFF"/>
            <w:vAlign w:val="top"/>
          </w:tcPr>
          <w:p>
            <w:pPr>
              <w:pStyle w:val="Style11"/>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b/>
                <w:bCs/>
                <w:color w:val="000000"/>
                <w:spacing w:val="0"/>
                <w:w w:val="100"/>
                <w:position w:val="0"/>
                <w:sz w:val="12"/>
                <w:szCs w:val="12"/>
                <w:shd w:val="clear" w:color="auto" w:fill="auto"/>
              </w:rPr>
              <w:t xml:space="preserve">BB PERFIL RESP LIMITADA </w:t>
            </w: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 xml:space="preserve">FIE </w:t>
            </w:r>
            <w:r>
              <w:rPr>
                <w:rFonts w:ascii="Times New Roman" w:eastAsia="Times New Roman" w:hAnsi="Times New Roman" w:cs="Times New Roman"/>
                <w:b/>
                <w:bCs/>
                <w:color w:val="000000"/>
                <w:spacing w:val="0"/>
                <w:w w:val="100"/>
                <w:position w:val="0"/>
                <w:sz w:val="12"/>
                <w:szCs w:val="12"/>
                <w:shd w:val="clear" w:color="auto" w:fill="auto"/>
              </w:rPr>
              <w:t>&lt;TC RENDA FIXA REFERENCIADO Dl PREVIDENCIÁRIO LP</w:t>
            </w:r>
          </w:p>
        </w:tc>
        <w:tc>
          <w:tcPr>
            <w:tcBorders>
              <w:top w:val="single" w:sz="4"/>
              <w:left w:val="single" w:sz="4"/>
            </w:tcBorders>
            <w:shd w:val="clear" w:color="auto" w:fill="FFFFFF"/>
            <w:vAlign w:val="top"/>
          </w:tcPr>
          <w:p>
            <w:pPr>
              <w:pStyle w:val="Style11"/>
              <w:keepNext w:val="0"/>
              <w:keepLines w:val="0"/>
              <w:widowControl w:val="0"/>
              <w:shd w:val="clear" w:color="auto" w:fill="auto"/>
              <w:bidi w:val="0"/>
              <w:spacing w:before="0" w:after="0" w:line="240" w:lineRule="auto"/>
              <w:ind w:left="0" w:right="0" w:firstLine="0"/>
              <w:jc w:val="right"/>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3MT14.W</w:t>
            </w:r>
          </w:p>
        </w:tc>
        <w:tc>
          <w:tcPr>
            <w:tcBorders>
              <w:top w:val="single" w:sz="4"/>
              <w:left w:val="single" w:sz="4"/>
              <w:right w:val="single" w:sz="4"/>
            </w:tcBorders>
            <w:shd w:val="clear" w:color="auto" w:fill="FFFFFF"/>
            <w:vAlign w:val="top"/>
          </w:tcPr>
          <w:p>
            <w:pPr>
              <w:pStyle w:val="Style11"/>
              <w:keepNext w:val="0"/>
              <w:keepLines w:val="0"/>
              <w:widowControl w:val="0"/>
              <w:shd w:val="clear" w:color="auto" w:fill="auto"/>
              <w:bidi w:val="0"/>
              <w:spacing w:before="0" w:after="0" w:line="240" w:lineRule="auto"/>
              <w:ind w:left="0" w:right="0" w:firstLine="0"/>
              <w:jc w:val="center"/>
              <w:rPr>
                <w:sz w:val="12"/>
                <w:szCs w:val="12"/>
              </w:rPr>
            </w:pPr>
            <w:r>
              <w:rPr>
                <w:rFonts w:ascii="Times New Roman" w:eastAsia="Times New Roman" w:hAnsi="Times New Roman" w:cs="Times New Roman"/>
                <w:b/>
                <w:bCs/>
                <w:color w:val="000000"/>
                <w:spacing w:val="0"/>
                <w:w w:val="100"/>
                <w:position w:val="0"/>
                <w:sz w:val="12"/>
                <w:szCs w:val="12"/>
                <w:shd w:val="clear" w:color="auto" w:fill="auto"/>
              </w:rPr>
              <w:t>9.45</w:t>
            </w:r>
          </w:p>
        </w:tc>
      </w:tr>
      <w:tr>
        <w:trPr>
          <w:trHeight w:val="192" w:hRule="exact"/>
        </w:trPr>
        <w:tc>
          <w:tcPr>
            <w:tcBorders>
              <w:top w:val="single" w:sz="4"/>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b/>
                <w:bCs/>
                <w:color w:val="000000"/>
                <w:spacing w:val="0"/>
                <w:w w:val="100"/>
                <w:position w:val="0"/>
                <w:sz w:val="12"/>
                <w:szCs w:val="12"/>
                <w:shd w:val="clear" w:color="auto" w:fill="auto"/>
              </w:rPr>
              <w:t xml:space="preserve">BB TESOUROS8UC RESP </w:t>
            </w: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 xml:space="preserve">UMITATA </w:t>
            </w:r>
            <w:r>
              <w:rPr>
                <w:rFonts w:ascii="Times New Roman" w:eastAsia="Times New Roman" w:hAnsi="Times New Roman" w:cs="Times New Roman"/>
                <w:b/>
                <w:bCs/>
                <w:color w:val="000000"/>
                <w:spacing w:val="0"/>
                <w:w w:val="100"/>
                <w:position w:val="0"/>
                <w:sz w:val="12"/>
                <w:szCs w:val="12"/>
                <w:shd w:val="clear" w:color="auto" w:fill="auto"/>
              </w:rPr>
              <w:t>FIF CIC RENDA FIXA LP</w:t>
            </w:r>
          </w:p>
        </w:tc>
        <w:tc>
          <w:tcPr>
            <w:tcBorders>
              <w:top w:val="single" w:sz="4"/>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right"/>
              <w:rPr>
                <w:sz w:val="12"/>
                <w:szCs w:val="12"/>
              </w:rPr>
            </w:pPr>
            <w:r>
              <w:rPr>
                <w:rFonts w:ascii="Times New Roman" w:eastAsia="Times New Roman" w:hAnsi="Times New Roman" w:cs="Times New Roman"/>
                <w:b/>
                <w:bCs/>
                <w:color w:val="000000"/>
                <w:spacing w:val="0"/>
                <w:w w:val="100"/>
                <w:position w:val="0"/>
                <w:sz w:val="12"/>
                <w:szCs w:val="12"/>
                <w:shd w:val="clear" w:color="auto" w:fill="auto"/>
              </w:rPr>
              <w:t>374.033.31</w:t>
            </w:r>
          </w:p>
        </w:tc>
        <w:tc>
          <w:tcPr>
            <w:tcBorders>
              <w:top w:val="single" w:sz="4"/>
              <w:left w:val="single" w:sz="4"/>
              <w:righ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2"/>
                <w:szCs w:val="12"/>
              </w:rPr>
            </w:pPr>
            <w:r>
              <w:rPr>
                <w:rFonts w:ascii="Times New Roman" w:eastAsia="Times New Roman" w:hAnsi="Times New Roman" w:cs="Times New Roman"/>
                <w:b/>
                <w:bCs/>
                <w:color w:val="000000"/>
                <w:spacing w:val="0"/>
                <w:w w:val="100"/>
                <w:position w:val="0"/>
                <w:sz w:val="12"/>
                <w:szCs w:val="12"/>
                <w:shd w:val="clear" w:color="auto" w:fill="auto"/>
              </w:rPr>
              <w:t>11,&lt;B</w:t>
            </w:r>
          </w:p>
        </w:tc>
      </w:tr>
      <w:tr>
        <w:trPr>
          <w:trHeight w:val="211" w:hRule="exact"/>
        </w:trPr>
        <w:tc>
          <w:tcPr>
            <w:tcBorders>
              <w:top w:val="single" w:sz="4"/>
              <w:left w:val="single" w:sz="4"/>
              <w:bottom w:val="single" w:sz="4"/>
            </w:tcBorders>
            <w:shd w:val="clear" w:color="auto" w:fill="C7C8CC"/>
            <w:vAlign w:val="center"/>
          </w:tcPr>
          <w:p>
            <w:pPr>
              <w:pStyle w:val="Style11"/>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rPr>
              <w:t>total:</w:t>
            </w:r>
          </w:p>
        </w:tc>
        <w:tc>
          <w:tcPr>
            <w:tcBorders>
              <w:top w:val="single" w:sz="4"/>
              <w:left w:val="single" w:sz="4"/>
              <w:bottom w:val="single" w:sz="4"/>
            </w:tcBorders>
            <w:shd w:val="clear" w:color="auto" w:fill="C7C8CC"/>
            <w:vAlign w:val="center"/>
          </w:tcPr>
          <w:p>
            <w:pPr>
              <w:pStyle w:val="Style11"/>
              <w:keepNext w:val="0"/>
              <w:keepLines w:val="0"/>
              <w:widowControl w:val="0"/>
              <w:shd w:val="clear" w:color="auto" w:fill="auto"/>
              <w:bidi w:val="0"/>
              <w:spacing w:before="0" w:after="0" w:line="240" w:lineRule="auto"/>
              <w:ind w:left="0" w:right="0" w:firstLine="0"/>
              <w:jc w:val="right"/>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en-US" w:eastAsia="en-US" w:bidi="en-US"/>
              </w:rPr>
              <w:t>33S9.7W.4I</w:t>
            </w:r>
          </w:p>
        </w:tc>
        <w:tc>
          <w:tcPr>
            <w:tcBorders>
              <w:top w:val="single" w:sz="4"/>
              <w:left w:val="single" w:sz="4"/>
              <w:bottom w:val="single" w:sz="4"/>
              <w:right w:val="single" w:sz="4"/>
            </w:tcBorders>
            <w:shd w:val="clear" w:color="auto" w:fill="C7C8CC"/>
            <w:vAlign w:val="center"/>
          </w:tcPr>
          <w:p>
            <w:pPr>
              <w:pStyle w:val="Style11"/>
              <w:keepNext w:val="0"/>
              <w:keepLines w:val="0"/>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rPr>
              <w:t>100.08</w:t>
            </w:r>
          </w:p>
        </w:tc>
      </w:tr>
    </w:tbl>
    <w:p>
      <w:pPr>
        <w:widowControl w:val="0"/>
        <w:spacing w:after="379" w:line="1" w:lineRule="exact"/>
      </w:pPr>
    </w:p>
    <w:p>
      <w:pPr>
        <w:widowControl w:val="0"/>
        <w:spacing w:line="1" w:lineRule="exact"/>
      </w:pPr>
    </w:p>
    <w:tbl>
      <w:tblPr>
        <w:tblOverlap w:val="never"/>
        <w:jc w:val="center"/>
        <w:tblLayout w:type="fixed"/>
      </w:tblPr>
      <w:tblGrid>
        <w:gridCol w:w="6754"/>
        <w:gridCol w:w="1867"/>
      </w:tblGrid>
      <w:tr>
        <w:trPr>
          <w:trHeight w:val="202" w:hRule="exact"/>
        </w:trPr>
        <w:tc>
          <w:tcPr>
            <w:tcBorders>
              <w:top w:val="single" w:sz="4"/>
              <w:lef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b/>
                <w:bCs/>
                <w:color w:val="000000"/>
                <w:spacing w:val="0"/>
                <w:w w:val="100"/>
                <w:position w:val="0"/>
                <w:sz w:val="12"/>
                <w:szCs w:val="12"/>
                <w:shd w:val="clear" w:color="auto" w:fill="auto"/>
              </w:rPr>
              <w:t>Duponibil«h&lt;fc cm conu corrente:</w:t>
            </w:r>
          </w:p>
        </w:tc>
        <w:tc>
          <w:tcPr>
            <w:tcBorders>
              <w:top w:val="single" w:sz="4"/>
              <w:left w:val="single" w:sz="4"/>
              <w:righ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right"/>
              <w:rPr>
                <w:sz w:val="12"/>
                <w:szCs w:val="12"/>
              </w:rPr>
            </w:pPr>
            <w:r>
              <w:rPr>
                <w:rFonts w:ascii="Times New Roman" w:eastAsia="Times New Roman" w:hAnsi="Times New Roman" w:cs="Times New Roman"/>
                <w:b/>
                <w:bCs/>
                <w:color w:val="000000"/>
                <w:spacing w:val="0"/>
                <w:w w:val="100"/>
                <w:position w:val="0"/>
                <w:sz w:val="12"/>
                <w:szCs w:val="12"/>
                <w:shd w:val="clear" w:color="auto" w:fill="auto"/>
              </w:rPr>
              <w:t>*62.4*1.22</w:t>
            </w:r>
          </w:p>
        </w:tc>
      </w:tr>
      <w:tr>
        <w:trPr>
          <w:trHeight w:val="206" w:hRule="exact"/>
        </w:trPr>
        <w:tc>
          <w:tcPr>
            <w:tcBorders>
              <w:top w:val="single" w:sz="4"/>
              <w:left w:val="single" w:sz="4"/>
              <w:bottom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rPr>
              <w:t>Montante total - Aplkacèet + DbpoiUbUidadc:</w:t>
            </w:r>
          </w:p>
        </w:tc>
        <w:tc>
          <w:tcPr>
            <w:tcBorders>
              <w:top w:val="single" w:sz="4"/>
              <w:left w:val="single" w:sz="4"/>
              <w:bottom w:val="single" w:sz="4"/>
              <w:righ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right"/>
              <w:rPr>
                <w:sz w:val="12"/>
                <w:szCs w:val="12"/>
              </w:rPr>
            </w:pPr>
            <w:r>
              <w:rPr>
                <w:rFonts w:ascii="Times New Roman" w:eastAsia="Times New Roman" w:hAnsi="Times New Roman" w:cs="Times New Roman"/>
                <w:b/>
                <w:bCs/>
                <w:color w:val="000000"/>
                <w:spacing w:val="0"/>
                <w:w w:val="100"/>
                <w:position w:val="0"/>
                <w:sz w:val="12"/>
                <w:szCs w:val="12"/>
                <w:shd w:val="clear" w:color="auto" w:fill="auto"/>
              </w:rPr>
              <w:t>1951.121.71</w:t>
            </w:r>
          </w:p>
        </w:tc>
      </w:tr>
    </w:tbl>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Imagem 2 - Fonte: RELATÓRIO REFERÊNCIA</w:t>
      </w:r>
    </w:p>
    <w:p>
      <w:pPr>
        <w:pStyle w:val="Style16"/>
        <w:keepNext/>
        <w:keepLines/>
        <w:widowControl w:val="0"/>
        <w:shd w:val="clear" w:color="auto" w:fill="auto"/>
        <w:bidi w:val="0"/>
        <w:spacing w:before="0" w:after="280" w:line="240" w:lineRule="auto"/>
        <w:ind w:left="0" w:right="0" w:firstLine="0"/>
        <w:jc w:val="center"/>
      </w:pPr>
      <w:bookmarkStart w:id="10" w:name="bookmark10"/>
      <w:r>
        <w:rPr>
          <w:rFonts w:ascii="Times New Roman" w:eastAsia="Times New Roman" w:hAnsi="Times New Roman" w:cs="Times New Roman"/>
          <w:color w:val="000000"/>
          <w:spacing w:val="0"/>
          <w:w w:val="100"/>
          <w:position w:val="0"/>
          <w:sz w:val="24"/>
          <w:szCs w:val="24"/>
          <w:shd w:val="clear" w:color="auto" w:fill="auto"/>
          <w:lang w:val="pt-BR" w:eastAsia="pt-BR" w:bidi="pt-BR"/>
        </w:rPr>
        <w:t>OS FUNDOS APLICADOS ESTÃO DISTRIBUÍDOS NO BB:</w:t>
      </w:r>
      <w:bookmarkEnd w:id="10"/>
    </w:p>
    <w:p>
      <w:pPr>
        <w:pStyle w:val="Style33"/>
        <w:keepNext w:val="0"/>
        <w:keepLines w:val="0"/>
        <w:widowControl w:val="0"/>
        <w:shd w:val="clear" w:color="auto" w:fill="auto"/>
        <w:bidi w:val="0"/>
        <w:spacing w:before="0" w:after="0" w:line="240" w:lineRule="auto"/>
        <w:ind w:left="173" w:right="0" w:firstLine="0"/>
        <w:jc w:val="left"/>
        <w:rPr>
          <w:sz w:val="14"/>
          <w:szCs w:val="14"/>
        </w:rPr>
      </w:pPr>
      <w:r>
        <w:rPr>
          <w:b/>
          <w:bCs/>
          <w:color w:val="000000"/>
          <w:spacing w:val="0"/>
          <w:w w:val="100"/>
          <w:position w:val="0"/>
          <w:sz w:val="14"/>
          <w:szCs w:val="14"/>
          <w:shd w:val="clear" w:color="auto" w:fill="auto"/>
          <w:lang w:val="pt-BR" w:eastAsia="pt-BR" w:bidi="pt-BR"/>
        </w:rPr>
        <w:t>RS Por Instituição Financeira</w:t>
      </w:r>
    </w:p>
    <w:p>
      <w:pPr>
        <w:widowControl w:val="0"/>
        <w:jc w:val="center"/>
        <w:rPr>
          <w:sz w:val="2"/>
          <w:szCs w:val="2"/>
        </w:rPr>
      </w:pPr>
      <w:r>
        <w:drawing>
          <wp:inline>
            <wp:extent cx="3413760" cy="1682750"/>
            <wp:docPr id="3" name="Picutre 3"/>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pic:blipFill>
                  <pic:spPr>
                    <a:xfrm>
                      <a:ext cx="3413760" cy="1682750"/>
                    </a:xfrm>
                    <a:prstGeom prst="rect"/>
                  </pic:spPr>
                </pic:pic>
              </a:graphicData>
            </a:graphic>
          </wp:inline>
        </w:drawing>
      </w:r>
    </w:p>
    <w:p>
      <w:pPr>
        <w:widowControl w:val="0"/>
        <w:spacing w:after="319" w:line="1" w:lineRule="exact"/>
      </w:pPr>
    </w:p>
    <w:p>
      <w:pPr>
        <w:pStyle w:val="Style7"/>
        <w:keepNext w:val="0"/>
        <w:keepLines w:val="0"/>
        <w:widowControl w:val="0"/>
        <w:shd w:val="clear" w:color="auto" w:fill="auto"/>
        <w:bidi w:val="0"/>
        <w:spacing w:before="0" w:after="80" w:line="38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GRÁFICO 1 - Fonte: RELATÓRIO REFERÊNCIA</w:t>
      </w:r>
    </w:p>
    <w:p>
      <w:pPr>
        <w:pStyle w:val="Style7"/>
        <w:keepNext w:val="0"/>
        <w:keepLines w:val="0"/>
        <w:widowControl w:val="0"/>
        <w:shd w:val="clear" w:color="auto" w:fill="auto"/>
        <w:bidi w:val="0"/>
        <w:spacing w:before="0" w:after="0" w:line="389" w:lineRule="auto"/>
        <w:ind w:left="0" w:right="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Reforçamos que as instituições financeiras nas quais o RPPS possui aplicações estão aptas a receber recursos previdenciários, conforme atualização da lista exaustiva do Ministério da Previdência Social (MPS) em 23/07/2025.</w:t>
      </w:r>
    </w:p>
    <w:p>
      <w:pPr>
        <w:pStyle w:val="Style7"/>
        <w:keepNext w:val="0"/>
        <w:keepLines w:val="0"/>
        <w:widowControl w:val="0"/>
        <w:shd w:val="clear" w:color="auto" w:fill="auto"/>
        <w:bidi w:val="0"/>
        <w:spacing w:before="0" w:after="540" w:line="389" w:lineRule="auto"/>
        <w:ind w:left="0" w:right="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Essa atualização baseia-se na Resolução CMN n° 4.963/2021, que estabelece requisitos rigorosos para os bancos — tais como comitês de auditoria e riscos, autorização do Banco Central e, quando aplicável, registro na CVM como administrador de carteiras —, garantindo que apenas instituições habilitadas recebam aplicações dos RPPS.</w:t>
      </w:r>
    </w:p>
    <w:p>
      <w:pPr>
        <w:pStyle w:val="Style7"/>
        <w:keepNext w:val="0"/>
        <w:keepLines w:val="0"/>
        <w:widowControl w:val="0"/>
        <w:shd w:val="clear" w:color="auto" w:fill="auto"/>
        <w:bidi w:val="0"/>
        <w:spacing w:before="0" w:after="80" w:line="434" w:lineRule="auto"/>
        <w:ind w:left="0" w:right="0" w:firstLine="180"/>
        <w:jc w:val="left"/>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 xml:space="preserve">ACOMPANHAMENTO DA CARTEIRA DE INVESTIMENTOS </w:t>
      </w:r>
      <w:r>
        <w:rPr>
          <w:rFonts w:ascii="Times New Roman" w:eastAsia="Times New Roman" w:hAnsi="Times New Roman" w:cs="Times New Roman"/>
          <w:b/>
          <w:bCs/>
          <w:i/>
          <w:iCs/>
          <w:color w:val="000000"/>
          <w:spacing w:val="0"/>
          <w:w w:val="100"/>
          <w:position w:val="0"/>
          <w:sz w:val="24"/>
          <w:szCs w:val="24"/>
          <w:shd w:val="clear" w:color="auto" w:fill="auto"/>
          <w:lang w:val="pt-BR" w:eastAsia="pt-BR" w:bidi="pt-BR"/>
        </w:rPr>
        <w:t>VERSUS</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 xml:space="preserve"> A META </w:t>
      </w:r>
      <w:r>
        <w:rPr>
          <w:rFonts w:ascii="Times New Roman" w:eastAsia="Times New Roman" w:hAnsi="Times New Roman" w:cs="Times New Roman"/>
          <w:color w:val="000000"/>
          <w:spacing w:val="0"/>
          <w:w w:val="100"/>
          <w:position w:val="0"/>
          <w:shd w:val="clear" w:color="auto" w:fill="auto"/>
          <w:lang w:val="pt-BR" w:eastAsia="pt-BR" w:bidi="pt-BR"/>
        </w:rPr>
        <w:t>A meta para 2025 definida na Política de Investimentos, foi de INPC + 5,47% ao ano. A rentabilidade anual apurada foi de R$ 207.280,05, o que corresponde 191,95% da meta da Política de Investimentos.</w:t>
      </w:r>
    </w:p>
    <w:p>
      <w:pPr>
        <w:pStyle w:val="Style7"/>
        <w:keepNext w:val="0"/>
        <w:keepLines w:val="0"/>
        <w:widowControl w:val="0"/>
        <w:shd w:val="clear" w:color="auto" w:fill="auto"/>
        <w:bidi w:val="0"/>
        <w:spacing w:before="0" w:after="80" w:line="44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Em termos percentuais:</w:t>
      </w:r>
    </w:p>
    <w:p>
      <w:pPr>
        <w:pStyle w:val="Style7"/>
        <w:keepNext w:val="0"/>
        <w:keepLines w:val="0"/>
        <w:widowControl w:val="0"/>
        <w:numPr>
          <w:ilvl w:val="0"/>
          <w:numId w:val="1"/>
        </w:numPr>
        <w:shd w:val="clear" w:color="auto" w:fill="auto"/>
        <w:tabs>
          <w:tab w:pos="250" w:val="left"/>
        </w:tabs>
        <w:bidi w:val="0"/>
        <w:spacing w:before="0" w:after="80" w:line="44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Rentabilidade realizada: 18,39%;</w:t>
      </w:r>
    </w:p>
    <w:p>
      <w:pPr>
        <w:pStyle w:val="Style7"/>
        <w:keepNext w:val="0"/>
        <w:keepLines w:val="0"/>
        <w:widowControl w:val="0"/>
        <w:numPr>
          <w:ilvl w:val="0"/>
          <w:numId w:val="1"/>
        </w:numPr>
        <w:shd w:val="clear" w:color="auto" w:fill="auto"/>
        <w:tabs>
          <w:tab w:pos="250" w:val="left"/>
        </w:tabs>
        <w:bidi w:val="0"/>
        <w:spacing w:before="0" w:after="160" w:line="44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Meta da Política de Investimentos: 9,58%.</w:t>
      </w:r>
    </w:p>
    <w:tbl>
      <w:tblPr>
        <w:tblOverlap w:val="never"/>
        <w:jc w:val="center"/>
        <w:tblLayout w:type="fixed"/>
      </w:tblPr>
      <w:tblGrid>
        <w:gridCol w:w="1469"/>
        <w:gridCol w:w="1987"/>
        <w:gridCol w:w="1589"/>
        <w:gridCol w:w="1579"/>
        <w:gridCol w:w="854"/>
        <w:gridCol w:w="1152"/>
      </w:tblGrid>
      <w:tr>
        <w:trPr>
          <w:trHeight w:val="216" w:hRule="exact"/>
        </w:trPr>
        <w:tc>
          <w:tcPr>
            <w:vMerge w:val="restart"/>
            <w:tcBorders/>
            <w:shd w:val="clear" w:color="auto" w:fill="3B3C3F"/>
            <w:vAlign w:val="top"/>
          </w:tcPr>
          <w:p>
            <w:pPr>
              <w:pStyle w:val="Style11"/>
              <w:keepNext w:val="0"/>
              <w:keepLines w:val="0"/>
              <w:widowControl w:val="0"/>
              <w:pBdr>
                <w:top w:val="single" w:sz="0" w:space="0" w:color="353538"/>
                <w:left w:val="single" w:sz="0" w:space="0" w:color="353538"/>
                <w:bottom w:val="single" w:sz="0" w:space="0" w:color="353538"/>
                <w:right w:val="single" w:sz="0" w:space="0" w:color="353538"/>
              </w:pBdr>
              <w:shd w:val="clear" w:color="auto" w:fill="353538"/>
              <w:bidi w:val="0"/>
              <w:spacing w:before="0" w:after="0" w:line="240" w:lineRule="auto"/>
              <w:ind w:left="0" w:right="0" w:firstLine="0"/>
              <w:jc w:val="left"/>
              <w:rPr>
                <w:sz w:val="12"/>
                <w:szCs w:val="12"/>
              </w:rPr>
            </w:pPr>
            <w:r>
              <w:rPr>
                <w:rFonts w:ascii="Arial" w:eastAsia="Arial" w:hAnsi="Arial" w:cs="Arial"/>
                <w:color w:val="FFFFFF"/>
                <w:spacing w:val="0"/>
                <w:w w:val="100"/>
                <w:position w:val="0"/>
                <w:sz w:val="12"/>
                <w:szCs w:val="12"/>
                <w:shd w:val="clear" w:color="auto" w:fill="auto"/>
                <w:lang w:val="pt-BR" w:eastAsia="pt-BR" w:bidi="pt-BR"/>
              </w:rPr>
              <w:t>MÊ S BASE</w:t>
            </w:r>
          </w:p>
        </w:tc>
        <w:tc>
          <w:tcPr>
            <w:gridSpan w:val="2"/>
            <w:tcBorders/>
            <w:shd w:val="clear" w:color="auto" w:fill="3B3C3F"/>
            <w:vAlign w:val="bottom"/>
          </w:tcPr>
          <w:p>
            <w:pPr>
              <w:pStyle w:val="Style11"/>
              <w:keepNext w:val="0"/>
              <w:keepLines w:val="0"/>
              <w:widowControl w:val="0"/>
              <w:pBdr>
                <w:top w:val="single" w:sz="0" w:space="0" w:color="353539"/>
                <w:left w:val="single" w:sz="0" w:space="0" w:color="353539"/>
                <w:bottom w:val="single" w:sz="0" w:space="0" w:color="353539"/>
                <w:right w:val="single" w:sz="0" w:space="0" w:color="353539"/>
              </w:pBdr>
              <w:shd w:val="clear" w:color="auto" w:fill="353539"/>
              <w:bidi w:val="0"/>
              <w:spacing w:before="0" w:after="0" w:line="240" w:lineRule="auto"/>
              <w:ind w:left="60" w:right="0" w:firstLine="0"/>
              <w:jc w:val="center"/>
              <w:rPr>
                <w:sz w:val="12"/>
                <w:szCs w:val="12"/>
              </w:rPr>
            </w:pPr>
            <w:r>
              <w:rPr>
                <w:rFonts w:ascii="Arial" w:eastAsia="Arial" w:hAnsi="Arial" w:cs="Arial"/>
                <w:color w:val="FFFFFF"/>
                <w:spacing w:val="0"/>
                <w:w w:val="100"/>
                <w:position w:val="0"/>
                <w:sz w:val="12"/>
                <w:szCs w:val="12"/>
                <w:shd w:val="clear" w:color="auto" w:fill="auto"/>
                <w:lang w:val="pt-BR" w:eastAsia="pt-BR" w:bidi="pt-BR"/>
              </w:rPr>
              <w:t>RENIABH IDADEACl MUI ADA</w:t>
            </w:r>
          </w:p>
        </w:tc>
        <w:tc>
          <w:tcPr>
            <w:gridSpan w:val="2"/>
            <w:vMerge w:val="restart"/>
            <w:tcBorders/>
            <w:shd w:val="clear" w:color="auto" w:fill="3B3C3F"/>
            <w:vAlign w:val="top"/>
          </w:tcPr>
          <w:p>
            <w:pPr>
              <w:pStyle w:val="Style11"/>
              <w:keepNext w:val="0"/>
              <w:keepLines w:val="0"/>
              <w:widowControl w:val="0"/>
              <w:pBdr>
                <w:top w:val="single" w:sz="0" w:space="0" w:color="343437"/>
                <w:left w:val="single" w:sz="0" w:space="0" w:color="343437"/>
                <w:bottom w:val="single" w:sz="0" w:space="0" w:color="343437"/>
                <w:right w:val="single" w:sz="0" w:space="0" w:color="343437"/>
              </w:pBdr>
              <w:shd w:val="clear" w:color="auto" w:fill="343437"/>
              <w:bidi w:val="0"/>
              <w:spacing w:before="0" w:after="0" w:line="240" w:lineRule="auto"/>
              <w:ind w:left="0" w:right="0" w:firstLine="0"/>
              <w:jc w:val="center"/>
              <w:rPr>
                <w:sz w:val="12"/>
                <w:szCs w:val="12"/>
              </w:rPr>
            </w:pPr>
            <w:r>
              <w:rPr>
                <w:rFonts w:ascii="Arial" w:eastAsia="Arial" w:hAnsi="Arial" w:cs="Arial"/>
                <w:color w:val="FFFFFF"/>
                <w:spacing w:val="0"/>
                <w:w w:val="100"/>
                <w:position w:val="0"/>
                <w:sz w:val="12"/>
                <w:szCs w:val="12"/>
                <w:shd w:val="clear" w:color="auto" w:fill="auto"/>
              </w:rPr>
              <w:t xml:space="preserve">ME </w:t>
            </w:r>
            <w:r>
              <w:rPr>
                <w:rFonts w:ascii="Arial" w:eastAsia="Arial" w:hAnsi="Arial" w:cs="Arial"/>
                <w:color w:val="FFFFFF"/>
                <w:spacing w:val="0"/>
                <w:w w:val="100"/>
                <w:position w:val="0"/>
                <w:sz w:val="12"/>
                <w:szCs w:val="12"/>
                <w:shd w:val="clear" w:color="auto" w:fill="auto"/>
                <w:lang w:val="pt-BR" w:eastAsia="pt-BR" w:bidi="pt-BR"/>
              </w:rPr>
              <w:t>I A</w:t>
            </w:r>
          </w:p>
        </w:tc>
        <w:tc>
          <w:tcPr>
            <w:vMerge w:val="restart"/>
            <w:tcBorders/>
            <w:shd w:val="clear" w:color="auto" w:fill="3B3C3F"/>
            <w:vAlign w:val="top"/>
          </w:tcPr>
          <w:p>
            <w:pPr>
              <w:pStyle w:val="Style11"/>
              <w:keepNext w:val="0"/>
              <w:keepLines w:val="0"/>
              <w:widowControl w:val="0"/>
              <w:pBdr>
                <w:top w:val="single" w:sz="0" w:space="0" w:color="343536"/>
                <w:left w:val="single" w:sz="0" w:space="0" w:color="343536"/>
                <w:bottom w:val="single" w:sz="0" w:space="0" w:color="343536"/>
                <w:right w:val="single" w:sz="0" w:space="0" w:color="343536"/>
              </w:pBdr>
              <w:shd w:val="clear" w:color="auto" w:fill="343536"/>
              <w:bidi w:val="0"/>
              <w:spacing w:before="0" w:after="0" w:line="240" w:lineRule="auto"/>
              <w:ind w:left="100" w:right="0" w:firstLine="0"/>
              <w:jc w:val="center"/>
              <w:rPr>
                <w:sz w:val="12"/>
                <w:szCs w:val="12"/>
              </w:rPr>
            </w:pPr>
            <w:r>
              <w:rPr>
                <w:rFonts w:ascii="Arial" w:eastAsia="Arial" w:hAnsi="Arial" w:cs="Arial"/>
                <w:color w:val="FFFFFF"/>
                <w:spacing w:val="0"/>
                <w:w w:val="100"/>
                <w:position w:val="0"/>
                <w:sz w:val="12"/>
                <w:szCs w:val="12"/>
                <w:shd w:val="clear" w:color="auto" w:fill="auto"/>
                <w:lang w:val="pt-BR" w:eastAsia="pt-BR" w:bidi="pt-BR"/>
              </w:rPr>
              <w:t>% da Meta</w:t>
            </w:r>
          </w:p>
        </w:tc>
      </w:tr>
      <w:tr>
        <w:trPr>
          <w:trHeight w:val="206" w:hRule="exact"/>
        </w:trPr>
        <w:tc>
          <w:tcPr>
            <w:vMerge/>
            <w:tcBorders/>
            <w:shd w:val="clear" w:color="auto" w:fill="3B3C3F"/>
            <w:vAlign w:val="top"/>
          </w:tcPr>
          <w:p>
            <w:pPr/>
          </w:p>
        </w:tc>
        <w:tc>
          <w:tcPr>
            <w:tcBorders/>
            <w:shd w:val="clear" w:color="auto" w:fill="3B3C3F"/>
            <w:vAlign w:val="center"/>
          </w:tcPr>
          <w:p>
            <w:pPr>
              <w:pStyle w:val="Style11"/>
              <w:keepNext w:val="0"/>
              <w:keepLines w:val="0"/>
              <w:widowControl w:val="0"/>
              <w:pBdr>
                <w:top w:val="single" w:sz="0" w:space="0" w:color="333336"/>
                <w:left w:val="single" w:sz="0" w:space="0" w:color="333336"/>
                <w:bottom w:val="single" w:sz="0" w:space="0" w:color="333336"/>
                <w:right w:val="single" w:sz="0" w:space="0" w:color="333336"/>
              </w:pBdr>
              <w:shd w:val="clear" w:color="auto" w:fill="333336"/>
              <w:bidi w:val="0"/>
              <w:spacing w:before="0" w:after="0" w:line="240" w:lineRule="auto"/>
              <w:ind w:left="0" w:right="0" w:firstLine="0"/>
              <w:jc w:val="center"/>
              <w:rPr>
                <w:sz w:val="12"/>
                <w:szCs w:val="12"/>
              </w:rPr>
            </w:pPr>
            <w:r>
              <w:rPr>
                <w:rFonts w:ascii="Times New Roman" w:eastAsia="Times New Roman" w:hAnsi="Times New Roman" w:cs="Times New Roman"/>
                <w:b/>
                <w:bCs/>
                <w:color w:val="FFFFFF"/>
                <w:spacing w:val="0"/>
                <w:w w:val="100"/>
                <w:position w:val="0"/>
                <w:sz w:val="12"/>
                <w:szCs w:val="12"/>
                <w:shd w:val="clear" w:color="auto" w:fill="auto"/>
                <w:lang w:val="pt-BR" w:eastAsia="pt-BR" w:bidi="pt-BR"/>
              </w:rPr>
              <w:t>R$</w:t>
            </w:r>
          </w:p>
        </w:tc>
        <w:tc>
          <w:tcPr>
            <w:tcBorders/>
            <w:shd w:val="clear" w:color="auto" w:fill="3B3C3F"/>
            <w:vAlign w:val="center"/>
          </w:tcPr>
          <w:p>
            <w:pPr>
              <w:pStyle w:val="Style11"/>
              <w:keepNext w:val="0"/>
              <w:keepLines w:val="0"/>
              <w:widowControl w:val="0"/>
              <w:pBdr>
                <w:top w:val="single" w:sz="0" w:space="0" w:color="333436"/>
                <w:left w:val="single" w:sz="0" w:space="0" w:color="333436"/>
                <w:bottom w:val="single" w:sz="0" w:space="0" w:color="333436"/>
                <w:right w:val="single" w:sz="0" w:space="0" w:color="333436"/>
              </w:pBdr>
              <w:shd w:val="clear" w:color="auto" w:fill="333436"/>
              <w:bidi w:val="0"/>
              <w:spacing w:before="0" w:after="0" w:line="240" w:lineRule="auto"/>
              <w:ind w:left="0" w:right="180" w:firstLine="0"/>
              <w:jc w:val="center"/>
              <w:rPr>
                <w:sz w:val="12"/>
                <w:szCs w:val="12"/>
              </w:rPr>
            </w:pPr>
            <w:r>
              <w:rPr>
                <w:rFonts w:ascii="Times New Roman" w:eastAsia="Times New Roman" w:hAnsi="Times New Roman" w:cs="Times New Roman"/>
                <w:b/>
                <w:bCs/>
                <w:color w:val="FFFFFF"/>
                <w:spacing w:val="0"/>
                <w:w w:val="100"/>
                <w:position w:val="0"/>
                <w:sz w:val="12"/>
                <w:szCs w:val="12"/>
                <w:shd w:val="clear" w:color="auto" w:fill="auto"/>
                <w:lang w:val="pt-BR" w:eastAsia="pt-BR" w:bidi="pt-BR"/>
              </w:rPr>
              <w:t>#z</w:t>
            </w:r>
          </w:p>
          <w:p>
            <w:pPr>
              <w:pStyle w:val="Style11"/>
              <w:keepNext w:val="0"/>
              <w:keepLines w:val="0"/>
              <w:widowControl w:val="0"/>
              <w:pBdr>
                <w:top w:val="single" w:sz="0" w:space="0" w:color="333436"/>
                <w:left w:val="single" w:sz="0" w:space="0" w:color="333436"/>
                <w:bottom w:val="single" w:sz="0" w:space="0" w:color="333436"/>
                <w:right w:val="single" w:sz="0" w:space="0" w:color="333436"/>
              </w:pBdr>
              <w:shd w:val="clear" w:color="auto" w:fill="333436"/>
              <w:bidi w:val="0"/>
              <w:spacing w:before="0" w:after="0" w:line="180" w:lineRule="auto"/>
              <w:ind w:left="0" w:right="180" w:firstLine="0"/>
              <w:jc w:val="center"/>
              <w:rPr>
                <w:sz w:val="12"/>
                <w:szCs w:val="12"/>
              </w:rPr>
            </w:pPr>
            <w:r>
              <w:rPr>
                <w:rFonts w:ascii="Times New Roman" w:eastAsia="Times New Roman" w:hAnsi="Times New Roman" w:cs="Times New Roman"/>
                <w:b/>
                <w:bCs/>
                <w:color w:val="FFFFFF"/>
                <w:spacing w:val="0"/>
                <w:w w:val="100"/>
                <w:position w:val="0"/>
                <w:sz w:val="12"/>
                <w:szCs w:val="12"/>
                <w:shd w:val="clear" w:color="auto" w:fill="auto"/>
              </w:rPr>
              <w:t>ZR</w:t>
            </w:r>
          </w:p>
        </w:tc>
        <w:tc>
          <w:tcPr>
            <w:gridSpan w:val="2"/>
            <w:vMerge/>
            <w:tcBorders/>
            <w:shd w:val="clear" w:color="auto" w:fill="3B3C3F"/>
            <w:vAlign w:val="top"/>
          </w:tcPr>
          <w:p>
            <w:pPr/>
          </w:p>
        </w:tc>
        <w:tc>
          <w:tcPr>
            <w:vMerge/>
            <w:tcBorders/>
            <w:shd w:val="clear" w:color="auto" w:fill="3B3C3F"/>
            <w:vAlign w:val="top"/>
          </w:tcPr>
          <w:p>
            <w:pPr/>
          </w:p>
        </w:tc>
      </w:tr>
      <w:tr>
        <w:trPr>
          <w:trHeight w:val="197" w:hRule="exact"/>
        </w:trPr>
        <w:tc>
          <w:tcPr>
            <w:tcBorders>
              <w:bottom w:val="single" w:sz="4"/>
            </w:tcBorders>
            <w:shd w:val="clear" w:color="auto" w:fill="FFFFFF"/>
            <w:vAlign w:val="top"/>
          </w:tcPr>
          <w:p>
            <w:pPr>
              <w:pStyle w:val="Style11"/>
              <w:keepNext w:val="0"/>
              <w:keepLines w:val="0"/>
              <w:widowControl w:val="0"/>
              <w:shd w:val="clear" w:color="auto" w:fill="auto"/>
              <w:bidi w:val="0"/>
              <w:spacing w:before="0" w:after="0" w:line="240" w:lineRule="auto"/>
              <w:ind w:left="100" w:right="0" w:firstLine="0"/>
              <w:jc w:val="center"/>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12/2025</w:t>
            </w:r>
          </w:p>
        </w:tc>
        <w:tc>
          <w:tcPr>
            <w:tcBorders>
              <w:bottom w:val="single" w:sz="4"/>
            </w:tcBorders>
            <w:shd w:val="clear" w:color="auto" w:fill="FFFFFF"/>
            <w:vAlign w:val="top"/>
          </w:tcPr>
          <w:p>
            <w:pPr>
              <w:pStyle w:val="Style11"/>
              <w:keepNext w:val="0"/>
              <w:keepLines w:val="0"/>
              <w:widowControl w:val="0"/>
              <w:shd w:val="clear" w:color="auto" w:fill="auto"/>
              <w:bidi w:val="0"/>
              <w:spacing w:before="0" w:after="0" w:line="240" w:lineRule="auto"/>
              <w:ind w:left="0" w:right="0" w:firstLine="0"/>
              <w:jc w:val="center"/>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RS 207.280.05</w:t>
            </w:r>
          </w:p>
        </w:tc>
        <w:tc>
          <w:tcPr>
            <w:tcBorders>
              <w:bottom w:val="single" w:sz="4"/>
            </w:tcBorders>
            <w:shd w:val="clear" w:color="auto" w:fill="FFFFFF"/>
            <w:vAlign w:val="top"/>
          </w:tcPr>
          <w:p>
            <w:pPr>
              <w:pStyle w:val="Style11"/>
              <w:keepNext w:val="0"/>
              <w:keepLines w:val="0"/>
              <w:widowControl w:val="0"/>
              <w:shd w:val="clear" w:color="auto" w:fill="auto"/>
              <w:bidi w:val="0"/>
              <w:spacing w:before="0" w:after="0" w:line="240" w:lineRule="auto"/>
              <w:ind w:left="0" w:right="180" w:firstLine="0"/>
              <w:jc w:val="center"/>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10005%</w:t>
            </w:r>
          </w:p>
        </w:tc>
        <w:tc>
          <w:tcPr>
            <w:tcBorders>
              <w:bottom w:val="single" w:sz="4"/>
            </w:tcBorders>
            <w:shd w:val="clear" w:color="auto" w:fill="FFFFFF"/>
            <w:vAlign w:val="top"/>
          </w:tcPr>
          <w:p>
            <w:pPr>
              <w:pStyle w:val="Style11"/>
              <w:keepNext w:val="0"/>
              <w:keepLines w:val="0"/>
              <w:widowControl w:val="0"/>
              <w:shd w:val="clear" w:color="auto" w:fill="auto"/>
              <w:tabs>
                <w:tab w:pos="370" w:val="left"/>
                <w:tab w:pos="1493" w:val="left"/>
              </w:tabs>
              <w:bidi w:val="0"/>
              <w:spacing w:before="0" w:after="0" w:line="240" w:lineRule="auto"/>
              <w:ind w:left="0" w:right="0" w:firstLine="0"/>
              <w:jc w:val="both"/>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1</w:t>
              <w:tab/>
              <w:t>1NPC+ 5.47%</w:t>
              <w:tab/>
              <w:t>1</w:t>
            </w:r>
          </w:p>
        </w:tc>
        <w:tc>
          <w:tcPr>
            <w:tcBorders>
              <w:bottom w:val="single" w:sz="4"/>
            </w:tcBorders>
            <w:shd w:val="clear" w:color="auto" w:fill="FFFFFF"/>
            <w:vAlign w:val="top"/>
          </w:tcPr>
          <w:p>
            <w:pPr>
              <w:pStyle w:val="Style11"/>
              <w:keepNext w:val="0"/>
              <w:keepLines w:val="0"/>
              <w:widowControl w:val="0"/>
              <w:shd w:val="clear" w:color="auto" w:fill="auto"/>
              <w:tabs>
                <w:tab w:pos="727" w:val="left"/>
              </w:tabs>
              <w:bidi w:val="0"/>
              <w:spacing w:before="0" w:after="0" w:line="240" w:lineRule="auto"/>
              <w:ind w:left="180" w:right="0" w:firstLine="0"/>
              <w:jc w:val="both"/>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0.58%</w:t>
              <w:tab/>
              <w:t>1</w:t>
            </w:r>
          </w:p>
        </w:tc>
        <w:tc>
          <w:tcPr>
            <w:tcBorders>
              <w:bottom w:val="single" w:sz="4"/>
            </w:tcBorders>
            <w:shd w:val="clear" w:color="auto" w:fill="FFFFFF"/>
            <w:vAlign w:val="top"/>
          </w:tcPr>
          <w:p>
            <w:pPr>
              <w:widowControl w:val="0"/>
              <w:rPr>
                <w:sz w:val="10"/>
                <w:szCs w:val="10"/>
              </w:rPr>
            </w:pPr>
          </w:p>
        </w:tc>
      </w:tr>
    </w:tbl>
    <w:p>
      <w:pPr>
        <w:pStyle w:val="Style29"/>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Imagem 3 - Fonte: RELATÓRIO REFERÊNCIA</w:t>
      </w:r>
    </w:p>
    <w:p>
      <w:pPr>
        <w:pStyle w:val="Style16"/>
        <w:keepNext/>
        <w:keepLines/>
        <w:widowControl w:val="0"/>
        <w:shd w:val="clear" w:color="auto" w:fill="auto"/>
        <w:bidi w:val="0"/>
        <w:spacing w:before="0"/>
        <w:ind w:left="0" w:right="0" w:firstLine="0"/>
        <w:jc w:val="center"/>
      </w:pPr>
      <w:bookmarkStart w:id="11" w:name="bookmark11"/>
      <w:r>
        <w:rPr>
          <w:rFonts w:ascii="Times New Roman" w:eastAsia="Times New Roman" w:hAnsi="Times New Roman" w:cs="Times New Roman"/>
          <w:color w:val="000000"/>
          <w:spacing w:val="0"/>
          <w:w w:val="100"/>
          <w:position w:val="0"/>
          <w:sz w:val="24"/>
          <w:szCs w:val="24"/>
          <w:shd w:val="clear" w:color="auto" w:fill="auto"/>
        </w:rPr>
        <w:t>ELABORAÇÃO DO DEMONSTRATIVO DAS APLICAÇÕES E INVESTIMENTOS</w:t>
        <w:br/>
        <w:t>DOS RECURSOS - DAIR</w:t>
      </w:r>
      <w:bookmarkEnd w:id="11"/>
    </w:p>
    <w:p>
      <w:pPr>
        <w:pStyle w:val="Style7"/>
        <w:keepNext w:val="0"/>
        <w:keepLines w:val="0"/>
        <w:widowControl w:val="0"/>
        <w:shd w:val="clear" w:color="auto" w:fill="auto"/>
        <w:bidi w:val="0"/>
        <w:spacing w:before="0" w:after="120" w:line="39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envio do Demonstrativo das Aplicações e Investimentos dos Recursos (DAIR), critério para emissão do CRP, deve ocorrer até o último dia de cada mês, relativamente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informações das aplicações do mês anterior, conforme o art. 241, inciso IV, alínea “b”, da Portaria MTP n° 1.467/2022.</w:t>
      </w:r>
    </w:p>
    <w:tbl>
      <w:tblPr>
        <w:tblOverlap w:val="never"/>
        <w:jc w:val="center"/>
        <w:tblLayout w:type="fixed"/>
      </w:tblPr>
      <w:tblGrid>
        <w:gridCol w:w="437"/>
        <w:gridCol w:w="859"/>
        <w:gridCol w:w="470"/>
        <w:gridCol w:w="547"/>
        <w:gridCol w:w="1234"/>
        <w:gridCol w:w="797"/>
        <w:gridCol w:w="965"/>
        <w:gridCol w:w="1349"/>
        <w:gridCol w:w="590"/>
        <w:gridCol w:w="835"/>
        <w:gridCol w:w="898"/>
      </w:tblGrid>
      <w:tr>
        <w:trPr>
          <w:trHeight w:val="144" w:hRule="exact"/>
        </w:trPr>
        <w:tc>
          <w:tcPr>
            <w:gridSpan w:val="11"/>
            <w:tcBorders/>
            <w:shd w:val="clear" w:color="auto" w:fill="3B3C3F"/>
            <w:vAlign w:val="top"/>
          </w:tcPr>
          <w:p>
            <w:pPr>
              <w:pStyle w:val="Style11"/>
              <w:keepNext w:val="0"/>
              <w:keepLines w:val="0"/>
              <w:widowControl w:val="0"/>
              <w:pBdr>
                <w:top w:val="single" w:sz="0" w:space="0" w:color="363639"/>
                <w:left w:val="single" w:sz="0" w:space="0" w:color="363639"/>
                <w:bottom w:val="single" w:sz="0" w:space="0" w:color="363639"/>
                <w:right w:val="single" w:sz="0" w:space="0" w:color="363639"/>
              </w:pBdr>
              <w:shd w:val="clear" w:color="auto" w:fill="363639"/>
              <w:tabs>
                <w:tab w:pos="8925" w:val="left"/>
              </w:tabs>
              <w:bidi w:val="0"/>
              <w:spacing w:before="0" w:after="0" w:line="240" w:lineRule="auto"/>
              <w:ind w:left="3400" w:right="0" w:firstLine="0"/>
              <w:jc w:val="both"/>
              <w:rPr>
                <w:sz w:val="8"/>
                <w:szCs w:val="8"/>
              </w:rPr>
            </w:pPr>
            <w:r>
              <w:rPr>
                <w:rFonts w:ascii="Arial" w:eastAsia="Arial" w:hAnsi="Arial" w:cs="Arial"/>
                <w:b/>
                <w:bCs/>
                <w:color w:val="FFFFFF"/>
                <w:spacing w:val="0"/>
                <w:w w:val="100"/>
                <w:position w:val="0"/>
                <w:sz w:val="8"/>
                <w:szCs w:val="8"/>
                <w:shd w:val="clear" w:color="auto" w:fill="auto"/>
              </w:rPr>
              <w:t>DcmorwtrMcvo Ur» ApBtTrçuc» e Invesutnertlo» do» Recurvo»</w:t>
              <w:tab/>
              <w:t>’</w:t>
            </w:r>
          </w:p>
        </w:tc>
      </w:tr>
      <w:tr>
        <w:trPr>
          <w:trHeight w:val="134" w:hRule="exact"/>
        </w:trPr>
        <w:tc>
          <w:tcPr>
            <w:tcBorders/>
            <w:shd w:val="clear" w:color="auto" w:fill="3B3C3F"/>
            <w:vAlign w:val="bottom"/>
          </w:tcPr>
          <w:p>
            <w:pPr>
              <w:pStyle w:val="Style11"/>
              <w:keepNext w:val="0"/>
              <w:keepLines w:val="0"/>
              <w:widowControl w:val="0"/>
              <w:pBdr>
                <w:top w:val="single" w:sz="0" w:space="0" w:color="363639"/>
                <w:left w:val="single" w:sz="0" w:space="0" w:color="363639"/>
                <w:bottom w:val="single" w:sz="0" w:space="0" w:color="363639"/>
                <w:right w:val="single" w:sz="0" w:space="0" w:color="363639"/>
              </w:pBdr>
              <w:shd w:val="clear" w:color="auto" w:fill="363639"/>
              <w:bidi w:val="0"/>
              <w:spacing w:before="0" w:after="0" w:line="240" w:lineRule="auto"/>
              <w:ind w:left="0" w:right="0" w:firstLine="0"/>
              <w:jc w:val="left"/>
              <w:rPr>
                <w:sz w:val="9"/>
                <w:szCs w:val="9"/>
              </w:rPr>
            </w:pPr>
            <w:r>
              <w:rPr>
                <w:rFonts w:ascii="Arial" w:eastAsia="Arial" w:hAnsi="Arial" w:cs="Arial"/>
                <w:b/>
                <w:bCs/>
                <w:color w:val="FFFFFF"/>
                <w:spacing w:val="0"/>
                <w:w w:val="100"/>
                <w:position w:val="0"/>
                <w:sz w:val="9"/>
                <w:szCs w:val="9"/>
                <w:shd w:val="clear" w:color="auto" w:fill="auto"/>
              </w:rPr>
              <w:t>1 t-ntr</w:t>
            </w:r>
          </w:p>
        </w:tc>
        <w:tc>
          <w:tcPr>
            <w:tcBorders/>
            <w:shd w:val="clear" w:color="auto" w:fill="3B3C3F"/>
            <w:vAlign w:val="bottom"/>
          </w:tcPr>
          <w:p>
            <w:pPr>
              <w:pStyle w:val="Style11"/>
              <w:keepNext w:val="0"/>
              <w:keepLines w:val="0"/>
              <w:widowControl w:val="0"/>
              <w:pBdr>
                <w:top w:val="single" w:sz="0" w:space="0" w:color="363639"/>
                <w:left w:val="single" w:sz="0" w:space="0" w:color="363639"/>
                <w:bottom w:val="single" w:sz="0" w:space="0" w:color="363639"/>
                <w:right w:val="single" w:sz="0" w:space="0" w:color="363639"/>
              </w:pBdr>
              <w:shd w:val="clear" w:color="auto" w:fill="363639"/>
              <w:bidi w:val="0"/>
              <w:spacing w:before="0" w:after="0" w:line="240" w:lineRule="auto"/>
              <w:ind w:left="0" w:right="0" w:firstLine="0"/>
              <w:jc w:val="center"/>
              <w:rPr>
                <w:sz w:val="9"/>
                <w:szCs w:val="9"/>
              </w:rPr>
            </w:pPr>
            <w:r>
              <w:rPr>
                <w:rFonts w:ascii="Arial" w:eastAsia="Arial" w:hAnsi="Arial" w:cs="Arial"/>
                <w:b/>
                <w:bCs/>
                <w:color w:val="FFFFFF"/>
                <w:spacing w:val="0"/>
                <w:w w:val="100"/>
                <w:position w:val="0"/>
                <w:sz w:val="9"/>
                <w:szCs w:val="9"/>
                <w:shd w:val="clear" w:color="auto" w:fill="auto"/>
              </w:rPr>
              <w:t>CMPJtfoloto</w:t>
            </w:r>
          </w:p>
        </w:tc>
        <w:tc>
          <w:tcPr>
            <w:tcBorders/>
            <w:shd w:val="clear" w:color="auto" w:fill="3B3C3F"/>
            <w:vAlign w:val="top"/>
          </w:tcPr>
          <w:p>
            <w:pPr>
              <w:widowControl w:val="0"/>
              <w:rPr>
                <w:sz w:val="10"/>
                <w:szCs w:val="10"/>
              </w:rPr>
            </w:pPr>
          </w:p>
        </w:tc>
        <w:tc>
          <w:tcPr>
            <w:tcBorders/>
            <w:shd w:val="clear" w:color="auto" w:fill="3B3C3F"/>
            <w:vAlign w:val="top"/>
          </w:tcPr>
          <w:p>
            <w:pPr>
              <w:widowControl w:val="0"/>
              <w:rPr>
                <w:sz w:val="10"/>
                <w:szCs w:val="10"/>
              </w:rPr>
            </w:pPr>
          </w:p>
        </w:tc>
        <w:tc>
          <w:tcPr>
            <w:tcBorders/>
            <w:shd w:val="clear" w:color="auto" w:fill="3B3C3F"/>
            <w:vAlign w:val="bottom"/>
          </w:tcPr>
          <w:p>
            <w:pPr>
              <w:pStyle w:val="Style11"/>
              <w:keepNext w:val="0"/>
              <w:keepLines w:val="0"/>
              <w:widowControl w:val="0"/>
              <w:pBdr>
                <w:top w:val="single" w:sz="0" w:space="0" w:color="353639"/>
                <w:left w:val="single" w:sz="0" w:space="0" w:color="353639"/>
                <w:bottom w:val="single" w:sz="0" w:space="0" w:color="353639"/>
                <w:right w:val="single" w:sz="0" w:space="0" w:color="353639"/>
              </w:pBdr>
              <w:shd w:val="clear" w:color="auto" w:fill="353639"/>
              <w:bidi w:val="0"/>
              <w:spacing w:before="0" w:after="0" w:line="240" w:lineRule="auto"/>
              <w:ind w:left="0" w:right="0" w:firstLine="0"/>
              <w:jc w:val="center"/>
              <w:rPr>
                <w:sz w:val="8"/>
                <w:szCs w:val="8"/>
              </w:rPr>
            </w:pPr>
            <w:r>
              <w:rPr>
                <w:rFonts w:ascii="Arial" w:eastAsia="Arial" w:hAnsi="Arial" w:cs="Arial"/>
                <w:b/>
                <w:bCs/>
                <w:color w:val="FFFFFF"/>
                <w:spacing w:val="0"/>
                <w:w w:val="100"/>
                <w:position w:val="0"/>
                <w:sz w:val="8"/>
                <w:szCs w:val="8"/>
                <w:shd w:val="clear" w:color="auto" w:fill="auto"/>
              </w:rPr>
              <w:t>: utsíktasíe UAW</w:t>
            </w:r>
          </w:p>
        </w:tc>
        <w:tc>
          <w:tcPr>
            <w:tcBorders/>
            <w:shd w:val="clear" w:color="auto" w:fill="3B3C3F"/>
            <w:vAlign w:val="top"/>
          </w:tcPr>
          <w:p>
            <w:pPr>
              <w:widowControl w:val="0"/>
              <w:rPr>
                <w:sz w:val="10"/>
                <w:szCs w:val="10"/>
              </w:rPr>
            </w:pPr>
          </w:p>
        </w:tc>
        <w:tc>
          <w:tcPr>
            <w:tcBorders/>
            <w:shd w:val="clear" w:color="auto" w:fill="3B3C3F"/>
            <w:vAlign w:val="bottom"/>
          </w:tcPr>
          <w:p>
            <w:pPr>
              <w:pStyle w:val="Style11"/>
              <w:keepNext w:val="0"/>
              <w:keepLines w:val="0"/>
              <w:widowControl w:val="0"/>
              <w:pBdr>
                <w:top w:val="single" w:sz="0" w:space="0" w:color="353639"/>
                <w:left w:val="single" w:sz="0" w:space="0" w:color="353639"/>
                <w:bottom w:val="single" w:sz="0" w:space="0" w:color="353639"/>
                <w:right w:val="single" w:sz="0" w:space="0" w:color="353639"/>
              </w:pBdr>
              <w:shd w:val="clear" w:color="auto" w:fill="353639"/>
              <w:bidi w:val="0"/>
              <w:spacing w:before="0" w:after="0" w:line="240" w:lineRule="auto"/>
              <w:ind w:left="0" w:right="0" w:firstLine="0"/>
              <w:jc w:val="center"/>
              <w:rPr>
                <w:sz w:val="9"/>
                <w:szCs w:val="9"/>
              </w:rPr>
            </w:pPr>
            <w:r>
              <w:rPr>
                <w:rFonts w:ascii="Arial" w:eastAsia="Arial" w:hAnsi="Arial" w:cs="Arial"/>
                <w:b/>
                <w:bCs/>
                <w:color w:val="FFFFFF"/>
                <w:spacing w:val="0"/>
                <w:w w:val="100"/>
                <w:position w:val="0"/>
                <w:sz w:val="9"/>
                <w:szCs w:val="9"/>
                <w:shd w:val="clear" w:color="auto" w:fill="auto"/>
              </w:rPr>
              <w:t>fX»t» OtS tlWK&gt;</w:t>
            </w:r>
          </w:p>
        </w:tc>
        <w:tc>
          <w:tcPr>
            <w:tcBorders/>
            <w:shd w:val="clear" w:color="auto" w:fill="3B3C3F"/>
            <w:vAlign w:val="bottom"/>
          </w:tcPr>
          <w:p>
            <w:pPr>
              <w:pStyle w:val="Style11"/>
              <w:keepNext w:val="0"/>
              <w:keepLines w:val="0"/>
              <w:widowControl w:val="0"/>
              <w:pBdr>
                <w:top w:val="single" w:sz="0" w:space="0" w:color="343538"/>
                <w:left w:val="single" w:sz="0" w:space="0" w:color="343538"/>
                <w:bottom w:val="single" w:sz="0" w:space="0" w:color="343538"/>
                <w:right w:val="single" w:sz="0" w:space="0" w:color="343538"/>
              </w:pBdr>
              <w:shd w:val="clear" w:color="auto" w:fill="343538"/>
              <w:bidi w:val="0"/>
              <w:spacing w:before="0" w:after="0" w:line="240" w:lineRule="auto"/>
              <w:ind w:left="160" w:right="0" w:firstLine="0"/>
              <w:jc w:val="left"/>
              <w:rPr>
                <w:sz w:val="9"/>
                <w:szCs w:val="9"/>
              </w:rPr>
            </w:pPr>
            <w:r>
              <w:rPr>
                <w:rFonts w:ascii="Arial" w:eastAsia="Arial" w:hAnsi="Arial" w:cs="Arial"/>
                <w:b/>
                <w:bCs/>
                <w:color w:val="FFFFFF"/>
                <w:spacing w:val="0"/>
                <w:w w:val="100"/>
                <w:position w:val="0"/>
                <w:sz w:val="9"/>
                <w:szCs w:val="9"/>
                <w:shd w:val="clear" w:color="auto" w:fill="auto"/>
                <w:lang w:val="pt-BR" w:eastAsia="pt-BR" w:bidi="pt-BR"/>
              </w:rPr>
              <w:t xml:space="preserve">NoCiicaçêo </w:t>
            </w:r>
            <w:r>
              <w:rPr>
                <w:rFonts w:ascii="Arial" w:eastAsia="Arial" w:hAnsi="Arial" w:cs="Arial"/>
                <w:b/>
                <w:bCs/>
                <w:color w:val="FFFFFF"/>
                <w:spacing w:val="0"/>
                <w:w w:val="100"/>
                <w:position w:val="0"/>
                <w:sz w:val="9"/>
                <w:szCs w:val="9"/>
                <w:shd w:val="clear" w:color="auto" w:fill="auto"/>
              </w:rPr>
              <w:t>de</w:t>
            </w:r>
          </w:p>
        </w:tc>
        <w:tc>
          <w:tcPr>
            <w:tcBorders/>
            <w:shd w:val="clear" w:color="auto" w:fill="3B3C3F"/>
            <w:vAlign w:val="bottom"/>
          </w:tcPr>
          <w:p>
            <w:pPr>
              <w:pStyle w:val="Style11"/>
              <w:keepNext w:val="0"/>
              <w:keepLines w:val="0"/>
              <w:widowControl w:val="0"/>
              <w:pBdr>
                <w:top w:val="single" w:sz="0" w:space="0" w:color="353437"/>
                <w:left w:val="single" w:sz="0" w:space="0" w:color="353437"/>
                <w:bottom w:val="single" w:sz="0" w:space="0" w:color="353437"/>
                <w:right w:val="single" w:sz="0" w:space="0" w:color="353437"/>
              </w:pBdr>
              <w:shd w:val="clear" w:color="auto" w:fill="353437"/>
              <w:bidi w:val="0"/>
              <w:spacing w:before="0" w:after="0" w:line="240" w:lineRule="auto"/>
              <w:ind w:left="0" w:right="0" w:firstLine="0"/>
              <w:jc w:val="center"/>
              <w:rPr>
                <w:sz w:val="8"/>
                <w:szCs w:val="8"/>
              </w:rPr>
            </w:pPr>
            <w:r>
              <w:rPr>
                <w:rFonts w:ascii="Arial" w:eastAsia="Arial" w:hAnsi="Arial" w:cs="Arial"/>
                <w:b/>
                <w:bCs/>
                <w:color w:val="FFFFFF"/>
                <w:spacing w:val="0"/>
                <w:w w:val="100"/>
                <w:position w:val="0"/>
                <w:sz w:val="8"/>
                <w:szCs w:val="8"/>
                <w:shd w:val="clear" w:color="auto" w:fill="auto"/>
              </w:rPr>
              <w:t>HeídtC»Ç«i»</w:t>
            </w:r>
          </w:p>
        </w:tc>
        <w:tc>
          <w:tcPr>
            <w:tcBorders/>
            <w:shd w:val="clear" w:color="auto" w:fill="3B3C3F"/>
            <w:vAlign w:val="top"/>
          </w:tcPr>
          <w:p>
            <w:pPr>
              <w:widowControl w:val="0"/>
              <w:rPr>
                <w:sz w:val="10"/>
                <w:szCs w:val="10"/>
              </w:rPr>
            </w:pPr>
          </w:p>
        </w:tc>
        <w:tc>
          <w:tcPr>
            <w:tcBorders/>
            <w:shd w:val="clear" w:color="auto" w:fill="3B3C3F"/>
            <w:vAlign w:val="top"/>
          </w:tcPr>
          <w:p>
            <w:pPr>
              <w:widowControl w:val="0"/>
              <w:rPr>
                <w:sz w:val="10"/>
                <w:szCs w:val="10"/>
              </w:rPr>
            </w:pPr>
          </w:p>
        </w:tc>
      </w:tr>
      <w:tr>
        <w:trPr>
          <w:trHeight w:val="149" w:hRule="exact"/>
        </w:trPr>
        <w:tc>
          <w:tcPr>
            <w:tcBorders/>
            <w:shd w:val="clear" w:color="auto" w:fill="C7C8CC"/>
            <w:vAlign w:val="top"/>
          </w:tcPr>
          <w:p>
            <w:pPr>
              <w:widowControl w:val="0"/>
              <w:rPr>
                <w:sz w:val="10"/>
                <w:szCs w:val="10"/>
              </w:rPr>
            </w:pPr>
          </w:p>
        </w:tc>
        <w:tc>
          <w:tcPr>
            <w:tcBorders/>
            <w:shd w:val="clear" w:color="auto" w:fill="C7C8CC"/>
            <w:vAlign w:val="top"/>
          </w:tcPr>
          <w:p>
            <w:pPr>
              <w:widowControl w:val="0"/>
              <w:rPr>
                <w:sz w:val="10"/>
                <w:szCs w:val="10"/>
              </w:rPr>
            </w:pP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3825</w:t>
            </w:r>
          </w:p>
        </w:tc>
        <w:tc>
          <w:tcPr>
            <w:tcBorders/>
            <w:shd w:val="clear" w:color="auto" w:fill="C7C8CC"/>
            <w:vAlign w:val="top"/>
          </w:tcPr>
          <w:p>
            <w:pPr>
              <w:widowControl w:val="0"/>
              <w:rPr>
                <w:sz w:val="10"/>
                <w:szCs w:val="10"/>
              </w:rPr>
            </w:pP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rPr>
              <w:t>OAJR •</w:t>
            </w: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3tfl2r2925</w:t>
            </w: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160" w:firstLine="0"/>
              <w:jc w:val="right"/>
              <w:rPr>
                <w:sz w:val="9"/>
                <w:szCs w:val="9"/>
              </w:rPr>
            </w:pPr>
            <w:r>
              <w:rPr>
                <w:rFonts w:ascii="Arial" w:eastAsia="Arial" w:hAnsi="Arial" w:cs="Arial"/>
                <w:b/>
                <w:bCs/>
                <w:color w:val="000000"/>
                <w:spacing w:val="0"/>
                <w:w w:val="100"/>
                <w:position w:val="0"/>
                <w:sz w:val="9"/>
                <w:szCs w:val="9"/>
                <w:shd w:val="clear" w:color="auto" w:fill="auto"/>
              </w:rPr>
              <w:t>2&amp;8V292Ô 55.5215</w:t>
            </w:r>
          </w:p>
        </w:tc>
        <w:tc>
          <w:tcPr>
            <w:tcBorders/>
            <w:shd w:val="clear" w:color="auto" w:fill="C7C8CC"/>
            <w:vAlign w:val="top"/>
          </w:tcPr>
          <w:p>
            <w:pPr>
              <w:widowControl w:val="0"/>
              <w:rPr>
                <w:sz w:val="10"/>
                <w:szCs w:val="10"/>
              </w:rPr>
            </w:pP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0" w:firstLine="0"/>
              <w:jc w:val="center"/>
              <w:rPr>
                <w:sz w:val="8"/>
                <w:szCs w:val="8"/>
              </w:rPr>
            </w:pPr>
            <w:r>
              <w:rPr>
                <w:rFonts w:ascii="Arial" w:eastAsia="Arial" w:hAnsi="Arial" w:cs="Arial"/>
                <w:b/>
                <w:bCs/>
                <w:color w:val="000000"/>
                <w:spacing w:val="0"/>
                <w:w w:val="100"/>
                <w:position w:val="0"/>
                <w:sz w:val="8"/>
                <w:szCs w:val="8"/>
                <w:shd w:val="clear" w:color="auto" w:fill="auto"/>
              </w:rPr>
              <w:t>w</w:t>
            </w: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&amp;</w:t>
            </w: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a</w:t>
            </w:r>
          </w:p>
        </w:tc>
      </w:tr>
      <w:tr>
        <w:trPr>
          <w:trHeight w:val="101" w:hRule="exact"/>
        </w:trPr>
        <w:tc>
          <w:tcPr>
            <w:tcBorders/>
            <w:shd w:val="clear" w:color="auto" w:fill="C7C8CC"/>
            <w:vAlign w:val="top"/>
          </w:tcPr>
          <w:p>
            <w:pPr>
              <w:widowControl w:val="0"/>
              <w:rPr>
                <w:sz w:val="10"/>
                <w:szCs w:val="10"/>
              </w:rPr>
            </w:pPr>
          </w:p>
        </w:tc>
        <w:tc>
          <w:tcPr>
            <w:tcBorders/>
            <w:shd w:val="clear" w:color="auto" w:fill="C7C8CC"/>
            <w:vAlign w:val="top"/>
          </w:tcPr>
          <w:p>
            <w:pPr>
              <w:widowControl w:val="0"/>
              <w:rPr>
                <w:sz w:val="10"/>
                <w:szCs w:val="10"/>
              </w:rPr>
            </w:pPr>
          </w:p>
        </w:tc>
        <w:tc>
          <w:tcPr>
            <w:tcBorders/>
            <w:shd w:val="clear" w:color="auto" w:fill="C7C8CC"/>
            <w:vAlign w:val="bottom"/>
          </w:tcPr>
          <w:p>
            <w:pPr>
              <w:pStyle w:val="Style11"/>
              <w:keepNext w:val="0"/>
              <w:keepLines w:val="0"/>
              <w:widowControl w:val="0"/>
              <w:shd w:val="clear" w:color="auto" w:fill="auto"/>
              <w:bidi w:val="0"/>
              <w:spacing w:before="0" w:after="0" w:line="240" w:lineRule="auto"/>
              <w:ind w:left="40" w:right="0" w:firstLine="0"/>
              <w:jc w:val="center"/>
              <w:rPr>
                <w:sz w:val="9"/>
                <w:szCs w:val="9"/>
              </w:rPr>
            </w:pPr>
            <w:r>
              <w:rPr>
                <w:rFonts w:ascii="Arial" w:eastAsia="Arial" w:hAnsi="Arial" w:cs="Arial"/>
                <w:b/>
                <w:bCs/>
                <w:color w:val="000000"/>
                <w:spacing w:val="0"/>
                <w:w w:val="100"/>
                <w:position w:val="0"/>
                <w:sz w:val="9"/>
                <w:szCs w:val="9"/>
                <w:shd w:val="clear" w:color="auto" w:fill="auto"/>
              </w:rPr>
              <w:t>, 2925</w:t>
            </w:r>
          </w:p>
        </w:tc>
        <w:tc>
          <w:tcPr>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8"/>
                <w:szCs w:val="8"/>
              </w:rPr>
            </w:pPr>
            <w:r>
              <w:rPr>
                <w:rFonts w:ascii="Arial" w:eastAsia="Arial" w:hAnsi="Arial" w:cs="Arial"/>
                <w:b/>
                <w:bCs/>
                <w:color w:val="000000"/>
                <w:spacing w:val="0"/>
                <w:w w:val="100"/>
                <w:position w:val="0"/>
                <w:sz w:val="8"/>
                <w:szCs w:val="8"/>
                <w:shd w:val="clear" w:color="auto" w:fill="auto"/>
              </w:rPr>
              <w:t>líevecíw</w:t>
            </w:r>
          </w:p>
        </w:tc>
        <w:tc>
          <w:tcPr>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rPr>
              <w:t>tUMA- EncanwBotorôUê*</w:t>
            </w:r>
          </w:p>
        </w:tc>
        <w:tc>
          <w:tcPr>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•SÔrtí/WS</w:t>
            </w:r>
          </w:p>
        </w:tc>
        <w:tc>
          <w:tcPr>
            <w:tcBorders/>
            <w:shd w:val="clear" w:color="auto" w:fill="C7C8CC"/>
            <w:vAlign w:val="bottom"/>
          </w:tcPr>
          <w:p>
            <w:pPr>
              <w:pStyle w:val="Style11"/>
              <w:keepNext w:val="0"/>
              <w:keepLines w:val="0"/>
              <w:widowControl w:val="0"/>
              <w:shd w:val="clear" w:color="auto" w:fill="auto"/>
              <w:bidi w:val="0"/>
              <w:spacing w:before="0" w:after="0" w:line="240" w:lineRule="auto"/>
              <w:ind w:left="0" w:right="160" w:firstLine="0"/>
              <w:jc w:val="right"/>
              <w:rPr>
                <w:sz w:val="9"/>
                <w:szCs w:val="9"/>
              </w:rPr>
            </w:pPr>
            <w:r>
              <w:rPr>
                <w:rFonts w:ascii="Arial" w:eastAsia="Arial" w:hAnsi="Arial" w:cs="Arial"/>
                <w:b/>
                <w:bCs/>
                <w:color w:val="000000"/>
                <w:spacing w:val="0"/>
                <w:w w:val="100"/>
                <w:position w:val="0"/>
                <w:sz w:val="9"/>
                <w:szCs w:val="9"/>
                <w:shd w:val="clear" w:color="auto" w:fill="auto"/>
              </w:rPr>
              <w:t>28*13/2825» 4$ 15</w:t>
            </w:r>
          </w:p>
        </w:tc>
        <w:tc>
          <w:tcPr>
            <w:tcBorders/>
            <w:shd w:val="clear" w:color="auto" w:fill="C7C8CC"/>
            <w:vAlign w:val="top"/>
          </w:tcPr>
          <w:p>
            <w:pPr>
              <w:widowControl w:val="0"/>
              <w:rPr>
                <w:sz w:val="10"/>
                <w:szCs w:val="10"/>
              </w:rPr>
            </w:pPr>
          </w:p>
        </w:tc>
        <w:tc>
          <w:tcPr>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8"/>
                <w:szCs w:val="8"/>
              </w:rPr>
            </w:pPr>
            <w:r>
              <w:rPr>
                <w:rFonts w:ascii="Arial" w:eastAsia="Arial" w:hAnsi="Arial" w:cs="Arial"/>
                <w:b/>
                <w:bCs/>
                <w:color w:val="000000"/>
                <w:spacing w:val="0"/>
                <w:w w:val="100"/>
                <w:position w:val="0"/>
                <w:sz w:val="8"/>
                <w:szCs w:val="8"/>
                <w:shd w:val="clear" w:color="auto" w:fill="auto"/>
              </w:rPr>
              <w:t>liáo</w:t>
            </w:r>
          </w:p>
        </w:tc>
        <w:tc>
          <w:tcPr>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w:t>
            </w:r>
          </w:p>
        </w:tc>
        <w:tc>
          <w:tcPr>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a</w:t>
            </w:r>
          </w:p>
        </w:tc>
      </w:tr>
      <w:tr>
        <w:trPr>
          <w:trHeight w:val="187" w:hRule="exact"/>
        </w:trPr>
        <w:tc>
          <w:tcPr>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rPr>
              <w:t>!</w:t>
            </w:r>
          </w:p>
        </w:tc>
        <w:tc>
          <w:tcPr>
            <w:tcBorders/>
            <w:shd w:val="clear" w:color="auto" w:fill="C7C8CC"/>
            <w:vAlign w:val="center"/>
          </w:tcPr>
          <w:p>
            <w:pPr>
              <w:pStyle w:val="Style11"/>
              <w:keepNext w:val="0"/>
              <w:keepLines w:val="0"/>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rPr>
              <w:t>i».m mami-as</w:t>
            </w:r>
          </w:p>
        </w:tc>
        <w:tc>
          <w:tcPr>
            <w:tcBorders/>
            <w:shd w:val="clear" w:color="auto" w:fill="C7C8CC"/>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2923</w:t>
            </w:r>
          </w:p>
        </w:tc>
        <w:tc>
          <w:tcPr>
            <w:tcBorders/>
            <w:shd w:val="clear" w:color="auto" w:fill="C7C8CC"/>
            <w:vAlign w:val="top"/>
          </w:tcPr>
          <w:p>
            <w:pPr>
              <w:widowControl w:val="0"/>
              <w:rPr>
                <w:sz w:val="10"/>
                <w:szCs w:val="10"/>
              </w:rPr>
            </w:pPr>
          </w:p>
        </w:tc>
        <w:tc>
          <w:tcPr>
            <w:tcBorders/>
            <w:shd w:val="clear" w:color="auto" w:fill="C7C8CC"/>
            <w:vAlign w:val="center"/>
          </w:tcPr>
          <w:p>
            <w:pPr>
              <w:pStyle w:val="Style11"/>
              <w:keepNext w:val="0"/>
              <w:keepLines w:val="0"/>
              <w:widowControl w:val="0"/>
              <w:shd w:val="clear" w:color="auto" w:fill="auto"/>
              <w:bidi w:val="0"/>
              <w:spacing w:before="0" w:after="0" w:line="240" w:lineRule="auto"/>
              <w:ind w:left="0" w:right="0" w:firstLine="0"/>
              <w:jc w:val="center"/>
              <w:rPr>
                <w:sz w:val="8"/>
                <w:szCs w:val="8"/>
              </w:rPr>
            </w:pPr>
            <w:r>
              <w:rPr>
                <w:rFonts w:ascii="Arial" w:eastAsia="Arial" w:hAnsi="Arial" w:cs="Arial"/>
                <w:smallCaps/>
                <w:color w:val="000000"/>
                <w:spacing w:val="0"/>
                <w:w w:val="100"/>
                <w:position w:val="0"/>
                <w:sz w:val="10"/>
                <w:szCs w:val="10"/>
                <w:shd w:val="clear" w:color="auto" w:fill="auto"/>
              </w:rPr>
              <w:t>: qmr</w:t>
            </w:r>
            <w:r>
              <w:rPr>
                <w:rFonts w:ascii="Arial" w:eastAsia="Arial" w:hAnsi="Arial" w:cs="Arial"/>
                <w:b/>
                <w:bCs/>
                <w:color w:val="000000"/>
                <w:spacing w:val="0"/>
                <w:w w:val="100"/>
                <w:position w:val="0"/>
                <w:sz w:val="8"/>
                <w:szCs w:val="8"/>
                <w:shd w:val="clear" w:color="auto" w:fill="auto"/>
              </w:rPr>
              <w:t xml:space="preserve"> - gocet?aff&lt;etttOíJo-MÃs</w:t>
            </w:r>
          </w:p>
        </w:tc>
        <w:tc>
          <w:tcPr>
            <w:tcBorders/>
            <w:shd w:val="clear" w:color="auto" w:fill="C7C8CC"/>
            <w:vAlign w:val="center"/>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stfím</w:t>
            </w:r>
          </w:p>
        </w:tc>
        <w:tc>
          <w:tcPr>
            <w:tcBorders/>
            <w:shd w:val="clear" w:color="auto" w:fill="C7C8CC"/>
            <w:vAlign w:val="center"/>
          </w:tcPr>
          <w:p>
            <w:pPr>
              <w:pStyle w:val="Style11"/>
              <w:keepNext w:val="0"/>
              <w:keepLines w:val="0"/>
              <w:widowControl w:val="0"/>
              <w:shd w:val="clear" w:color="auto" w:fill="auto"/>
              <w:bidi w:val="0"/>
              <w:spacing w:before="0" w:after="0" w:line="240" w:lineRule="auto"/>
              <w:ind w:left="0" w:right="160" w:firstLine="0"/>
              <w:jc w:val="right"/>
              <w:rPr>
                <w:sz w:val="9"/>
                <w:szCs w:val="9"/>
              </w:rPr>
            </w:pPr>
            <w:r>
              <w:rPr>
                <w:rFonts w:ascii="Arial" w:eastAsia="Arial" w:hAnsi="Arial" w:cs="Arial"/>
                <w:b/>
                <w:bCs/>
                <w:color w:val="000000"/>
                <w:spacing w:val="0"/>
                <w:w w:val="100"/>
                <w:position w:val="0"/>
                <w:sz w:val="9"/>
                <w:szCs w:val="9"/>
                <w:shd w:val="clear" w:color="auto" w:fill="auto"/>
              </w:rPr>
              <w:t>24ÍÍ1/2025 n.sr»</w:t>
            </w:r>
          </w:p>
        </w:tc>
        <w:tc>
          <w:tcPr>
            <w:tcBorders/>
            <w:shd w:val="clear" w:color="auto" w:fill="C7C8CC"/>
            <w:vAlign w:val="top"/>
          </w:tcPr>
          <w:p>
            <w:pPr>
              <w:widowControl w:val="0"/>
              <w:rPr>
                <w:sz w:val="10"/>
                <w:szCs w:val="10"/>
              </w:rPr>
            </w:pPr>
          </w:p>
        </w:tc>
        <w:tc>
          <w:tcPr>
            <w:tcBorders/>
            <w:shd w:val="clear" w:color="auto" w:fill="C7C8CC"/>
            <w:vAlign w:val="top"/>
          </w:tcPr>
          <w:p>
            <w:pPr>
              <w:widowControl w:val="0"/>
              <w:rPr>
                <w:sz w:val="10"/>
                <w:szCs w:val="10"/>
              </w:rPr>
            </w:pPr>
          </w:p>
        </w:tc>
        <w:tc>
          <w:tcPr>
            <w:tcBorders/>
            <w:shd w:val="clear" w:color="auto" w:fill="C7C8CC"/>
            <w:vAlign w:val="center"/>
          </w:tcPr>
          <w:p>
            <w:pPr>
              <w:pStyle w:val="Style11"/>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&amp;</w:t>
            </w:r>
          </w:p>
        </w:tc>
        <w:tc>
          <w:tcPr>
            <w:tcBorders/>
            <w:shd w:val="clear" w:color="auto" w:fill="C7C8CC"/>
            <w:vAlign w:val="center"/>
          </w:tcPr>
          <w:p>
            <w:pPr>
              <w:pStyle w:val="Style11"/>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&amp;</w:t>
            </w:r>
          </w:p>
        </w:tc>
      </w:tr>
      <w:tr>
        <w:trPr>
          <w:trHeight w:val="144" w:hRule="exact"/>
        </w:trPr>
        <w:tc>
          <w:tcPr>
            <w:tcBorders/>
            <w:shd w:val="clear" w:color="auto" w:fill="C7C8CC"/>
            <w:vAlign w:val="top"/>
          </w:tcPr>
          <w:p>
            <w:pPr>
              <w:widowControl w:val="0"/>
              <w:rPr>
                <w:sz w:val="10"/>
                <w:szCs w:val="10"/>
              </w:rPr>
            </w:pPr>
          </w:p>
        </w:tc>
        <w:tc>
          <w:tcPr>
            <w:tcBorders/>
            <w:shd w:val="clear" w:color="auto" w:fill="C7C8CC"/>
            <w:vAlign w:val="top"/>
          </w:tcPr>
          <w:p>
            <w:pPr>
              <w:widowControl w:val="0"/>
              <w:rPr>
                <w:sz w:val="10"/>
                <w:szCs w:val="10"/>
              </w:rPr>
            </w:pP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3825</w:t>
            </w: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0" w:firstLine="0"/>
              <w:jc w:val="center"/>
              <w:rPr>
                <w:sz w:val="8"/>
                <w:szCs w:val="8"/>
              </w:rPr>
            </w:pPr>
            <w:r>
              <w:rPr>
                <w:rFonts w:ascii="Arial" w:eastAsia="Arial" w:hAnsi="Arial" w:cs="Arial"/>
                <w:b/>
                <w:bCs/>
                <w:color w:val="000000"/>
                <w:spacing w:val="0"/>
                <w:w w:val="100"/>
                <w:position w:val="0"/>
                <w:sz w:val="8"/>
                <w:szCs w:val="8"/>
                <w:shd w:val="clear" w:color="auto" w:fill="auto"/>
              </w:rPr>
              <w:t>«WsKtòrts</w:t>
            </w:r>
          </w:p>
        </w:tc>
        <w:tc>
          <w:tcPr>
            <w:tcBorders/>
            <w:shd w:val="clear" w:color="auto" w:fill="C7C8CC"/>
            <w:vAlign w:val="top"/>
          </w:tcPr>
          <w:p>
            <w:pPr>
              <w:widowControl w:val="0"/>
              <w:rPr>
                <w:sz w:val="10"/>
                <w:szCs w:val="10"/>
              </w:rPr>
            </w:pP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35^2925</w:t>
            </w: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16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«meo </w:t>
            </w:r>
            <w:r>
              <w:rPr>
                <w:rFonts w:ascii="Arial" w:eastAsia="Arial" w:hAnsi="Arial" w:cs="Arial"/>
                <w:b/>
                <w:bCs/>
                <w:color w:val="000000"/>
                <w:spacing w:val="0"/>
                <w:w w:val="100"/>
                <w:position w:val="0"/>
                <w:sz w:val="9"/>
                <w:szCs w:val="9"/>
                <w:shd w:val="clear" w:color="auto" w:fill="auto"/>
              </w:rPr>
              <w:t>n n.42</w:t>
            </w:r>
          </w:p>
        </w:tc>
        <w:tc>
          <w:tcPr>
            <w:tcBorders/>
            <w:shd w:val="clear" w:color="auto" w:fill="C7C8CC"/>
            <w:vAlign w:val="top"/>
          </w:tcPr>
          <w:p>
            <w:pPr>
              <w:widowControl w:val="0"/>
              <w:rPr>
                <w:sz w:val="10"/>
                <w:szCs w:val="10"/>
              </w:rPr>
            </w:pP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0" w:firstLine="0"/>
              <w:jc w:val="center"/>
              <w:rPr>
                <w:sz w:val="8"/>
                <w:szCs w:val="8"/>
              </w:rPr>
            </w:pPr>
            <w:r>
              <w:rPr>
                <w:rFonts w:ascii="Arial" w:eastAsia="Arial" w:hAnsi="Arial" w:cs="Arial"/>
                <w:b/>
                <w:bCs/>
                <w:color w:val="000000"/>
                <w:spacing w:val="0"/>
                <w:w w:val="100"/>
                <w:position w:val="0"/>
                <w:sz w:val="8"/>
                <w:szCs w:val="8"/>
                <w:shd w:val="clear" w:color="auto" w:fill="auto"/>
              </w:rPr>
              <w:t>ílâ©</w:t>
            </w: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S</w:t>
            </w: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w:t>
            </w:r>
          </w:p>
        </w:tc>
      </w:tr>
      <w:tr>
        <w:trPr>
          <w:trHeight w:val="154" w:hRule="exact"/>
        </w:trPr>
        <w:tc>
          <w:tcPr>
            <w:tcBorders/>
            <w:shd w:val="clear" w:color="auto" w:fill="FFFFFF"/>
            <w:vAlign w:val="top"/>
          </w:tcPr>
          <w:p>
            <w:pPr>
              <w:pStyle w:val="Style11"/>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rPr>
              <w:t>; Liwe&lt;t</w:t>
            </w:r>
          </w:p>
        </w:tc>
        <w:tc>
          <w:tcPr>
            <w:tcBorders/>
            <w:shd w:val="clear" w:color="auto" w:fill="C7C8CC"/>
            <w:vAlign w:val="top"/>
          </w:tcPr>
          <w:p>
            <w:pPr>
              <w:pStyle w:val="Style11"/>
              <w:keepNext w:val="0"/>
              <w:keepLines w:val="0"/>
              <w:widowControl w:val="0"/>
              <w:shd w:val="clear" w:color="auto" w:fill="auto"/>
              <w:tabs>
                <w:tab w:pos="523" w:val="left"/>
              </w:tabs>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rPr>
              <w:t>C-S</w:t>
              <w:tab/>
              <w:t>tf-33</w:t>
            </w: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2925</w:t>
            </w:r>
          </w:p>
        </w:tc>
        <w:tc>
          <w:tcPr>
            <w:tcBorders/>
            <w:shd w:val="clear" w:color="auto" w:fill="C7C8CC"/>
            <w:vAlign w:val="top"/>
          </w:tcPr>
          <w:p>
            <w:pPr>
              <w:widowControl w:val="0"/>
              <w:rPr>
                <w:sz w:val="10"/>
                <w:szCs w:val="10"/>
              </w:rPr>
            </w:pP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rPr>
              <w:t>OASt-EneerrwwaoaaMós</w:t>
            </w:r>
          </w:p>
        </w:tc>
        <w:tc>
          <w:tcPr>
            <w:tcBorders/>
            <w:shd w:val="clear" w:color="auto" w:fill="FFFFFF"/>
            <w:vAlign w:val="top"/>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31*98*2825</w:t>
            </w:r>
          </w:p>
        </w:tc>
        <w:tc>
          <w:tcPr>
            <w:tcBorders/>
            <w:shd w:val="clear" w:color="auto" w:fill="FFFFFF"/>
            <w:vAlign w:val="top"/>
          </w:tcPr>
          <w:p>
            <w:pPr>
              <w:pStyle w:val="Style11"/>
              <w:keepNext w:val="0"/>
              <w:keepLines w:val="0"/>
              <w:widowControl w:val="0"/>
              <w:shd w:val="clear" w:color="auto" w:fill="auto"/>
              <w:bidi w:val="0"/>
              <w:spacing w:before="0" w:after="0" w:line="240" w:lineRule="auto"/>
              <w:ind w:left="0" w:right="160" w:firstLine="0"/>
              <w:jc w:val="right"/>
              <w:rPr>
                <w:sz w:val="9"/>
                <w:szCs w:val="9"/>
              </w:rPr>
            </w:pPr>
            <w:r>
              <w:rPr>
                <w:rFonts w:ascii="Arial" w:eastAsia="Arial" w:hAnsi="Arial" w:cs="Arial"/>
                <w:b/>
                <w:bCs/>
                <w:color w:val="000000"/>
                <w:spacing w:val="0"/>
                <w:w w:val="100"/>
                <w:position w:val="0"/>
                <w:sz w:val="9"/>
                <w:szCs w:val="9"/>
                <w:shd w:val="clear" w:color="auto" w:fill="auto"/>
              </w:rPr>
              <w:t>29W2S25 1&amp;S433</w:t>
            </w: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rPr>
              <w:t>«í» 2S.W322S 19^4:35</w:t>
            </w: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0" w:firstLine="0"/>
              <w:jc w:val="center"/>
              <w:rPr>
                <w:sz w:val="8"/>
                <w:szCs w:val="8"/>
              </w:rPr>
            </w:pPr>
            <w:r>
              <w:rPr>
                <w:rFonts w:ascii="Arial" w:eastAsia="Arial" w:hAnsi="Arial" w:cs="Arial"/>
                <w:b/>
                <w:bCs/>
                <w:color w:val="000000"/>
                <w:spacing w:val="0"/>
                <w:w w:val="100"/>
                <w:position w:val="0"/>
                <w:sz w:val="8"/>
                <w:szCs w:val="8"/>
                <w:shd w:val="clear" w:color="auto" w:fill="auto"/>
              </w:rPr>
              <w:t>Mâo</w:t>
            </w: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a</w:t>
            </w: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i/>
                <w:iCs/>
                <w:color w:val="000000"/>
                <w:spacing w:val="0"/>
                <w:w w:val="100"/>
                <w:position w:val="0"/>
                <w:sz w:val="9"/>
                <w:szCs w:val="9"/>
                <w:shd w:val="clear" w:color="auto" w:fill="auto"/>
              </w:rPr>
              <w:t>&amp;</w:t>
            </w:r>
          </w:p>
        </w:tc>
      </w:tr>
      <w:tr>
        <w:trPr>
          <w:trHeight w:val="163" w:hRule="exact"/>
        </w:trPr>
        <w:tc>
          <w:tcPr>
            <w:tcBorders/>
            <w:shd w:val="clear" w:color="auto" w:fill="C7C8CC"/>
            <w:vAlign w:val="top"/>
          </w:tcPr>
          <w:p>
            <w:pPr>
              <w:pStyle w:val="Style11"/>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i/>
                <w:iCs/>
                <w:color w:val="000000"/>
                <w:spacing w:val="0"/>
                <w:w w:val="100"/>
                <w:position w:val="0"/>
                <w:sz w:val="9"/>
                <w:szCs w:val="9"/>
                <w:shd w:val="clear" w:color="auto" w:fill="auto"/>
              </w:rPr>
              <w:t xml:space="preserve">, </w:t>
            </w:r>
            <w:r>
              <w:rPr>
                <w:rFonts w:ascii="Arial" w:eastAsia="Arial" w:hAnsi="Arial" w:cs="Arial"/>
                <w:b/>
                <w:bCs/>
                <w:i/>
                <w:iCs/>
                <w:color w:val="000000"/>
                <w:spacing w:val="0"/>
                <w:w w:val="100"/>
                <w:position w:val="0"/>
                <w:sz w:val="9"/>
                <w:szCs w:val="9"/>
                <w:shd w:val="clear" w:color="auto" w:fill="auto"/>
                <w:lang w:val="pt-BR" w:eastAsia="pt-BR" w:bidi="pt-BR"/>
              </w:rPr>
              <w:t>lüítea</w:t>
            </w:r>
          </w:p>
        </w:tc>
        <w:tc>
          <w:tcPr>
            <w:tcBorders/>
            <w:shd w:val="clear" w:color="auto" w:fill="C7C8CC"/>
            <w:vAlign w:val="top"/>
          </w:tcPr>
          <w:p>
            <w:pPr>
              <w:widowControl w:val="0"/>
              <w:rPr>
                <w:sz w:val="10"/>
                <w:szCs w:val="10"/>
              </w:rPr>
            </w:pP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2925</w:t>
            </w:r>
          </w:p>
        </w:tc>
        <w:tc>
          <w:tcPr>
            <w:tcBorders/>
            <w:shd w:val="clear" w:color="auto" w:fill="C7C8CC"/>
            <w:vAlign w:val="top"/>
          </w:tcPr>
          <w:p>
            <w:pPr>
              <w:widowControl w:val="0"/>
              <w:rPr>
                <w:sz w:val="10"/>
                <w:szCs w:val="10"/>
              </w:rPr>
            </w:pPr>
          </w:p>
        </w:tc>
        <w:tc>
          <w:tcPr>
            <w:tcBorders/>
            <w:shd w:val="clear" w:color="auto" w:fill="C7C8CC"/>
            <w:vAlign w:val="top"/>
          </w:tcPr>
          <w:p>
            <w:pPr>
              <w:pStyle w:val="Style11"/>
              <w:keepNext w:val="0"/>
              <w:keepLines w:val="0"/>
              <w:widowControl w:val="0"/>
              <w:shd w:val="clear" w:color="auto" w:fill="auto"/>
              <w:tabs>
                <w:tab w:pos="720" w:val="left"/>
              </w:tabs>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rPr>
              <w:t>DAJft -</w:t>
              <w:tab/>
              <w:t>do</w:t>
            </w: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3tf97Z2825</w:t>
            </w:r>
          </w:p>
        </w:tc>
        <w:tc>
          <w:tcPr>
            <w:tcBorders/>
            <w:shd w:val="clear" w:color="auto" w:fill="C7C8CC"/>
            <w:vAlign w:val="top"/>
          </w:tcPr>
          <w:p>
            <w:pPr>
              <w:pStyle w:val="Style11"/>
              <w:keepNext w:val="0"/>
              <w:keepLines w:val="0"/>
              <w:widowControl w:val="0"/>
              <w:shd w:val="clear" w:color="auto" w:fill="auto"/>
              <w:bidi w:val="0"/>
              <w:spacing w:before="0" w:after="0" w:line="240" w:lineRule="auto"/>
              <w:ind w:left="0" w:right="160" w:firstLine="0"/>
              <w:jc w:val="right"/>
              <w:rPr>
                <w:sz w:val="9"/>
                <w:szCs w:val="9"/>
              </w:rPr>
            </w:pPr>
            <w:r>
              <w:rPr>
                <w:rFonts w:ascii="Arial" w:eastAsia="Arial" w:hAnsi="Arial" w:cs="Arial"/>
                <w:b/>
                <w:bCs/>
                <w:color w:val="000000"/>
                <w:spacing w:val="0"/>
                <w:w w:val="100"/>
                <w:position w:val="0"/>
                <w:sz w:val="9"/>
                <w:szCs w:val="9"/>
                <w:shd w:val="clear" w:color="auto" w:fill="auto"/>
              </w:rPr>
              <w:t xml:space="preserve">17 </w:t>
            </w:r>
            <w:r>
              <w:rPr>
                <w:rFonts w:ascii="Arial" w:eastAsia="Arial" w:hAnsi="Arial" w:cs="Arial"/>
                <w:b/>
                <w:bCs/>
                <w:i/>
                <w:iCs/>
                <w:color w:val="000000"/>
                <w:spacing w:val="0"/>
                <w:w w:val="100"/>
                <w:position w:val="0"/>
                <w:sz w:val="9"/>
                <w:szCs w:val="9"/>
                <w:shd w:val="clear" w:color="auto" w:fill="auto"/>
              </w:rPr>
              <w:t>0Q.S2</w:t>
            </w:r>
          </w:p>
        </w:tc>
        <w:tc>
          <w:tcPr>
            <w:tcBorders/>
            <w:shd w:val="clear" w:color="auto" w:fill="FFFFFF"/>
            <w:vAlign w:val="top"/>
          </w:tcPr>
          <w:p>
            <w:pPr>
              <w:pStyle w:val="Style11"/>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rPr>
              <w:t>«r&gt; 18WW28.'* i7t».S4</w:t>
            </w:r>
          </w:p>
        </w:tc>
        <w:tc>
          <w:tcPr>
            <w:tcBorders/>
            <w:shd w:val="clear" w:color="auto" w:fill="C7C8CC"/>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bl>
    <w:p>
      <w:pPr>
        <w:widowControl w:val="0"/>
        <w:spacing w:after="239" w:line="1" w:lineRule="exact"/>
      </w:pPr>
    </w:p>
    <w:p>
      <w:pPr>
        <w:pStyle w:val="Style7"/>
        <w:keepNext w:val="0"/>
        <w:keepLines w:val="0"/>
        <w:widowControl w:val="0"/>
        <w:shd w:val="clear" w:color="auto" w:fill="auto"/>
        <w:bidi w:val="0"/>
        <w:spacing w:before="0" w:after="120" w:line="389"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Imagem 4 - Fonte: DATAPREV</w:t>
      </w:r>
    </w:p>
    <w:p>
      <w:pPr>
        <w:pStyle w:val="Style7"/>
        <w:keepNext w:val="0"/>
        <w:keepLines w:val="0"/>
        <w:widowControl w:val="0"/>
        <w:shd w:val="clear" w:color="auto" w:fill="auto"/>
        <w:bidi w:val="0"/>
        <w:spacing w:before="0" w:after="40" w:line="430" w:lineRule="auto"/>
        <w:ind w:left="0" w:right="0" w:firstLine="0"/>
        <w:jc w:val="both"/>
      </w:pPr>
      <w:r>
        <w:fldChar w:fldCharType="begin"/>
      </w:r>
      <w:r>
        <w:rPr/>
        <w:instrText> HYPERLINK "https://cadprev.previdencia.gov.br/Cadprev/pages/modulos/dair/consultarDemonstrativos.xht" </w:instrText>
      </w:r>
      <w:r>
        <w:fldChar w:fldCharType="separate"/>
      </w:r>
      <w:r>
        <w:rPr>
          <w:rFonts w:ascii="Times New Roman" w:eastAsia="Times New Roman" w:hAnsi="Times New Roman" w:cs="Times New Roman"/>
          <w:color w:val="000000"/>
          <w:spacing w:val="0"/>
          <w:w w:val="100"/>
          <w:position w:val="0"/>
          <w:u w:val="single"/>
          <w:shd w:val="clear" w:color="auto" w:fill="auto"/>
          <w:lang w:val="en-US" w:eastAsia="en-US" w:bidi="en-US"/>
        </w:rPr>
        <w:t>https://cadprev.previdencia.gov.br/Cadprev/pages/modulos/dair/consultarDemonstrativos.xht</w:t>
      </w:r>
      <w:r>
        <w:fldChar w:fldCharType="end"/>
      </w:r>
      <w:r>
        <w:rPr>
          <w:rFonts w:ascii="Times New Roman" w:eastAsia="Times New Roman" w:hAnsi="Times New Roman" w:cs="Times New Roman"/>
          <w:color w:val="000000"/>
          <w:spacing w:val="0"/>
          <w:w w:val="100"/>
          <w:position w:val="0"/>
          <w:u w:val="single"/>
          <w:shd w:val="clear" w:color="auto" w:fill="auto"/>
          <w:lang w:val="en-US" w:eastAsia="en-US" w:bidi="en-US"/>
        </w:rPr>
        <w:t xml:space="preserve"> </w:t>
      </w:r>
      <w:r>
        <w:rPr>
          <w:rFonts w:ascii="Times New Roman" w:eastAsia="Times New Roman" w:hAnsi="Times New Roman" w:cs="Times New Roman"/>
          <w:color w:val="000000"/>
          <w:spacing w:val="0"/>
          <w:w w:val="100"/>
          <w:position w:val="0"/>
          <w:shd w:val="clear" w:color="auto" w:fill="auto"/>
          <w:lang w:val="pt-PT" w:eastAsia="pt-PT" w:bidi="pt-PT"/>
        </w:rPr>
        <w:t>mi</w:t>
      </w:r>
    </w:p>
    <w:p>
      <w:pPr>
        <w:pStyle w:val="Style7"/>
        <w:keepNext w:val="0"/>
        <w:keepLines w:val="0"/>
        <w:widowControl w:val="0"/>
        <w:shd w:val="clear" w:color="auto" w:fill="auto"/>
        <w:bidi w:val="0"/>
        <w:spacing w:before="0" w:after="520" w:line="389" w:lineRule="auto"/>
        <w:ind w:left="0" w:right="0" w:firstLine="1160"/>
        <w:jc w:val="both"/>
      </w:pPr>
      <w:r>
        <w:rPr>
          <w:rFonts w:ascii="Times New Roman" w:eastAsia="Times New Roman" w:hAnsi="Times New Roman" w:cs="Times New Roman"/>
          <w:color w:val="000000"/>
          <w:spacing w:val="0"/>
          <w:w w:val="100"/>
          <w:position w:val="0"/>
          <w:shd w:val="clear" w:color="auto" w:fill="auto"/>
          <w:lang w:val="pt-PT" w:eastAsia="pt-PT" w:bidi="pt-PT"/>
        </w:rPr>
        <w:t>Os dados disponíveis nos portais do município e do Ministério do Trabalho e Previdência comprovam que, ao longo do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semestre, as aplicações do RPPS permaneceram enquadradas, exceto nos meses de julho e agosto, onde o fundo BB PERFIL RESP LIMITADA FIF CIC RENDA FIXA REFERENCIADO Dl PREVIDENCIÁRIO LP ficou acima de 21% do PL do Instituto, onde a resolução permite até 20%.</w:t>
      </w:r>
    </w:p>
    <w:p>
      <w:pPr>
        <w:pStyle w:val="Style16"/>
        <w:keepNext/>
        <w:keepLines/>
        <w:widowControl w:val="0"/>
        <w:shd w:val="clear" w:color="auto" w:fill="auto"/>
        <w:bidi w:val="0"/>
        <w:spacing w:before="0"/>
        <w:ind w:left="0" w:right="0" w:firstLine="0"/>
        <w:jc w:val="center"/>
      </w:pPr>
      <w:bookmarkStart w:id="12" w:name="bookmark12"/>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MONITORAMENTO </w:t>
      </w:r>
      <w:r>
        <w:rPr>
          <w:rFonts w:ascii="Times New Roman" w:eastAsia="Times New Roman" w:hAnsi="Times New Roman" w:cs="Times New Roman"/>
          <w:color w:val="000000"/>
          <w:spacing w:val="0"/>
          <w:w w:val="100"/>
          <w:position w:val="0"/>
          <w:sz w:val="24"/>
          <w:szCs w:val="24"/>
          <w:shd w:val="clear" w:color="auto" w:fill="auto"/>
        </w:rPr>
        <w:t>DA POLÍTICA DE INVESTIMENTOS</w:t>
      </w:r>
      <w:bookmarkEnd w:id="12"/>
    </w:p>
    <w:p>
      <w:pPr>
        <w:pStyle w:val="Style7"/>
        <w:keepNext w:val="0"/>
        <w:keepLines w:val="0"/>
        <w:widowControl w:val="0"/>
        <w:shd w:val="clear" w:color="auto" w:fill="auto"/>
        <w:bidi w:val="0"/>
        <w:spacing w:before="0" w:after="120" w:line="389" w:lineRule="auto"/>
        <w:ind w:left="0" w:right="0" w:firstLine="11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Política de Investimentos estabelece limites de </w:t>
      </w:r>
      <w:r>
        <w:rPr>
          <w:rFonts w:ascii="Times New Roman" w:eastAsia="Times New Roman" w:hAnsi="Times New Roman" w:cs="Times New Roman"/>
          <w:color w:val="000000"/>
          <w:spacing w:val="0"/>
          <w:w w:val="100"/>
          <w:position w:val="0"/>
          <w:shd w:val="clear" w:color="auto" w:fill="auto"/>
          <w:lang w:val="pt-BR" w:eastAsia="pt-BR" w:bidi="pt-BR"/>
        </w:rPr>
        <w:t xml:space="preserve">alocação </w:t>
      </w:r>
      <w:r>
        <w:rPr>
          <w:rFonts w:ascii="Times New Roman" w:eastAsia="Times New Roman" w:hAnsi="Times New Roman" w:cs="Times New Roman"/>
          <w:color w:val="000000"/>
          <w:spacing w:val="0"/>
          <w:w w:val="100"/>
          <w:position w:val="0"/>
          <w:shd w:val="clear" w:color="auto" w:fill="auto"/>
          <w:lang w:val="pt-PT" w:eastAsia="pt-PT" w:bidi="pt-PT"/>
        </w:rPr>
        <w:t>em renda fixa, renda variável, investimentos estruturados e fundos imobiliários, em consonância com a legislação vigente. Além dessas restrições, existem vedações específicas que orientam os gestores quanto à adequação dos recursos ao perfil do RPPS.</w:t>
      </w:r>
    </w:p>
    <w:p>
      <w:pPr>
        <w:pStyle w:val="Style7"/>
        <w:keepNext w:val="0"/>
        <w:keepLines w:val="0"/>
        <w:widowControl w:val="0"/>
        <w:shd w:val="clear" w:color="auto" w:fill="auto"/>
        <w:bidi w:val="0"/>
        <w:spacing w:before="0" w:after="120" w:line="384" w:lineRule="auto"/>
        <w:ind w:left="0" w:right="0" w:firstLine="11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gestão </w:t>
      </w:r>
      <w:r>
        <w:rPr>
          <w:rFonts w:ascii="Times New Roman" w:eastAsia="Times New Roman" w:hAnsi="Times New Roman" w:cs="Times New Roman"/>
          <w:color w:val="000000"/>
          <w:spacing w:val="0"/>
          <w:w w:val="100"/>
          <w:position w:val="0"/>
          <w:shd w:val="clear" w:color="auto" w:fill="auto"/>
          <w:lang w:val="pt-BR" w:eastAsia="pt-BR" w:bidi="pt-BR"/>
        </w:rPr>
        <w:t xml:space="preserve">baseia-se </w:t>
      </w:r>
      <w:r>
        <w:rPr>
          <w:rFonts w:ascii="Times New Roman" w:eastAsia="Times New Roman" w:hAnsi="Times New Roman" w:cs="Times New Roman"/>
          <w:color w:val="000000"/>
          <w:spacing w:val="0"/>
          <w:w w:val="100"/>
          <w:position w:val="0"/>
          <w:shd w:val="clear" w:color="auto" w:fill="auto"/>
          <w:lang w:val="pt-PT" w:eastAsia="pt-PT" w:bidi="pt-PT"/>
        </w:rPr>
        <w:t xml:space="preserve">em cenários projetados pelo mercado, bem como em análises realizadas pela Consultoria Referência em conjunto com o </w:t>
      </w:r>
      <w:r>
        <w:rPr>
          <w:rFonts w:ascii="Times New Roman" w:eastAsia="Times New Roman" w:hAnsi="Times New Roman" w:cs="Times New Roman"/>
          <w:color w:val="000000"/>
          <w:spacing w:val="0"/>
          <w:w w:val="100"/>
          <w:position w:val="0"/>
          <w:shd w:val="clear" w:color="auto" w:fill="auto"/>
          <w:lang w:val="pt-BR" w:eastAsia="pt-BR" w:bidi="pt-BR"/>
        </w:rPr>
        <w:t xml:space="preserve">Comitê </w:t>
      </w:r>
      <w:r>
        <w:rPr>
          <w:rFonts w:ascii="Times New Roman" w:eastAsia="Times New Roman" w:hAnsi="Times New Roman" w:cs="Times New Roman"/>
          <w:color w:val="000000"/>
          <w:spacing w:val="0"/>
          <w:w w:val="100"/>
          <w:position w:val="0"/>
          <w:shd w:val="clear" w:color="auto" w:fill="auto"/>
          <w:lang w:val="pt-PT" w:eastAsia="pt-PT" w:bidi="pt-PT"/>
        </w:rPr>
        <w:t>de Investimentos.</w:t>
      </w:r>
    </w:p>
    <w:p>
      <w:pPr>
        <w:pStyle w:val="Style7"/>
        <w:keepNext w:val="0"/>
        <w:keepLines w:val="0"/>
        <w:widowControl w:val="0"/>
        <w:shd w:val="clear" w:color="auto" w:fill="auto"/>
        <w:bidi w:val="0"/>
        <w:spacing w:before="0" w:after="120" w:line="389" w:lineRule="auto"/>
        <w:ind w:left="0" w:right="0" w:firstLine="1160"/>
        <w:jc w:val="both"/>
      </w:pPr>
      <w:r>
        <w:rPr>
          <w:rFonts w:ascii="Times New Roman" w:eastAsia="Times New Roman" w:hAnsi="Times New Roman" w:cs="Times New Roman"/>
          <w:color w:val="000000"/>
          <w:spacing w:val="0"/>
          <w:w w:val="100"/>
          <w:position w:val="0"/>
          <w:shd w:val="clear" w:color="auto" w:fill="auto"/>
          <w:lang w:val="pt-PT" w:eastAsia="pt-PT" w:bidi="pt-PT"/>
        </w:rPr>
        <w:t>A Política de Investimentos pode ser revisada ou alterada mediante justificativa, seja por adequação ao mercado ou por mudanças legislativas. No entanto, no período analisado, não houve necessidade de alterações em seu texto ou nos limites estabelecidos.</w:t>
      </w:r>
    </w:p>
    <w:p>
      <w:pPr>
        <w:pStyle w:val="Style7"/>
        <w:keepNext w:val="0"/>
        <w:keepLines w:val="0"/>
        <w:widowControl w:val="0"/>
        <w:shd w:val="clear" w:color="auto" w:fill="auto"/>
        <w:bidi w:val="0"/>
        <w:spacing w:before="0" w:after="120" w:line="389" w:lineRule="auto"/>
        <w:ind w:left="0" w:right="0" w:firstLine="1160"/>
        <w:jc w:val="both"/>
      </w:pPr>
      <w:r>
        <w:rPr>
          <w:rFonts w:ascii="Times New Roman" w:eastAsia="Times New Roman" w:hAnsi="Times New Roman" w:cs="Times New Roman"/>
          <w:color w:val="000000"/>
          <w:spacing w:val="0"/>
          <w:w w:val="100"/>
          <w:position w:val="0"/>
          <w:shd w:val="clear" w:color="auto" w:fill="auto"/>
          <w:lang w:val="pt-PT" w:eastAsia="pt-PT" w:bidi="pt-PT"/>
        </w:rPr>
        <w:t>O enquadramento final do segundo semestre demonstramos abaixo:</w:t>
      </w:r>
    </w:p>
    <w:p>
      <w:pPr>
        <w:pStyle w:val="Style29"/>
        <w:keepNext w:val="0"/>
        <w:keepLines w:val="0"/>
        <w:widowControl w:val="0"/>
        <w:shd w:val="clear" w:color="auto" w:fill="auto"/>
        <w:bidi w:val="0"/>
        <w:spacing w:before="0" w:after="0" w:line="240" w:lineRule="auto"/>
        <w:ind w:left="5" w:right="0" w:firstLine="0"/>
        <w:jc w:val="left"/>
      </w:pPr>
      <w:r>
        <w:rPr>
          <w:color w:val="000000"/>
          <w:spacing w:val="0"/>
          <w:w w:val="100"/>
          <w:position w:val="0"/>
          <w:shd w:val="clear" w:color="auto" w:fill="auto"/>
          <w:lang w:val="pt-BR" w:eastAsia="pt-BR" w:bidi="pt-BR"/>
        </w:rPr>
        <w:t>Enquadramento 4.963/2021 e suas alterações - Política de Investimento</w:t>
      </w:r>
    </w:p>
    <w:tbl>
      <w:tblPr>
        <w:tblOverlap w:val="never"/>
        <w:jc w:val="center"/>
        <w:tblLayout w:type="fixed"/>
      </w:tblPr>
      <w:tblGrid>
        <w:gridCol w:w="2347"/>
        <w:gridCol w:w="1430"/>
        <w:gridCol w:w="869"/>
        <w:gridCol w:w="1051"/>
        <w:gridCol w:w="1363"/>
        <w:gridCol w:w="1594"/>
      </w:tblGrid>
      <w:tr>
        <w:trPr>
          <w:trHeight w:val="245" w:hRule="exact"/>
        </w:trPr>
        <w:tc>
          <w:tcPr>
            <w:tcBorders/>
            <w:shd w:val="clear" w:color="auto" w:fill="3B3C3F"/>
            <w:vAlign w:val="bottom"/>
          </w:tcPr>
          <w:p>
            <w:pPr>
              <w:pStyle w:val="Style11"/>
              <w:keepNext w:val="0"/>
              <w:keepLines w:val="0"/>
              <w:widowControl w:val="0"/>
              <w:pBdr>
                <w:top w:val="single" w:sz="0" w:space="0" w:color="363538"/>
                <w:left w:val="single" w:sz="0" w:space="0" w:color="363538"/>
                <w:bottom w:val="single" w:sz="0" w:space="0" w:color="363538"/>
                <w:right w:val="single" w:sz="0" w:space="0" w:color="363538"/>
              </w:pBdr>
              <w:shd w:val="clear" w:color="auto" w:fill="363538"/>
              <w:bidi w:val="0"/>
              <w:spacing w:before="0" w:after="0" w:line="240" w:lineRule="auto"/>
              <w:ind w:left="0" w:right="0" w:firstLine="0"/>
              <w:jc w:val="left"/>
              <w:rPr>
                <w:sz w:val="12"/>
                <w:szCs w:val="12"/>
              </w:rPr>
            </w:pPr>
            <w:r>
              <w:rPr>
                <w:rFonts w:ascii="Times New Roman" w:eastAsia="Times New Roman" w:hAnsi="Times New Roman" w:cs="Times New Roman"/>
                <w:b/>
                <w:bCs/>
                <w:color w:val="FFFFFF"/>
                <w:spacing w:val="0"/>
                <w:w w:val="100"/>
                <w:position w:val="0"/>
                <w:sz w:val="12"/>
                <w:szCs w:val="12"/>
                <w:shd w:val="clear" w:color="auto" w:fill="auto"/>
                <w:lang w:val="pt-BR" w:eastAsia="pt-BR" w:bidi="pt-BR"/>
              </w:rPr>
              <w:t>í Enquadramento</w:t>
            </w:r>
          </w:p>
        </w:tc>
        <w:tc>
          <w:tcPr>
            <w:tcBorders/>
            <w:shd w:val="clear" w:color="auto" w:fill="3B3C3F"/>
            <w:vAlign w:val="bottom"/>
          </w:tcPr>
          <w:p>
            <w:pPr>
              <w:pStyle w:val="Style11"/>
              <w:keepNext w:val="0"/>
              <w:keepLines w:val="0"/>
              <w:widowControl w:val="0"/>
              <w:pBdr>
                <w:top w:val="single" w:sz="0" w:space="0" w:color="353639"/>
                <w:left w:val="single" w:sz="0" w:space="0" w:color="353639"/>
                <w:bottom w:val="single" w:sz="0" w:space="0" w:color="353639"/>
                <w:right w:val="single" w:sz="0" w:space="0" w:color="353639"/>
              </w:pBdr>
              <w:shd w:val="clear" w:color="auto" w:fill="353639"/>
              <w:bidi w:val="0"/>
              <w:spacing w:before="0" w:after="0" w:line="240" w:lineRule="auto"/>
              <w:ind w:left="0" w:right="0" w:firstLine="0"/>
              <w:jc w:val="left"/>
              <w:rPr>
                <w:sz w:val="12"/>
                <w:szCs w:val="12"/>
              </w:rPr>
            </w:pPr>
            <w:r>
              <w:rPr>
                <w:rFonts w:ascii="Times New Roman" w:eastAsia="Times New Roman" w:hAnsi="Times New Roman" w:cs="Times New Roman"/>
                <w:b/>
                <w:bCs/>
                <w:color w:val="FFFFFF"/>
                <w:spacing w:val="0"/>
                <w:w w:val="100"/>
                <w:position w:val="0"/>
                <w:sz w:val="12"/>
                <w:szCs w:val="12"/>
                <w:shd w:val="clear" w:color="auto" w:fill="auto"/>
                <w:lang w:val="pt-BR" w:eastAsia="pt-BR" w:bidi="pt-BR"/>
              </w:rPr>
              <w:t>Valor Áptkade íRS)</w:t>
            </w:r>
          </w:p>
        </w:tc>
        <w:tc>
          <w:tcPr>
            <w:tcBorders/>
            <w:shd w:val="clear" w:color="auto" w:fill="3B3C3F"/>
            <w:vAlign w:val="bottom"/>
          </w:tcPr>
          <w:p>
            <w:pPr>
              <w:pStyle w:val="Style11"/>
              <w:keepNext w:val="0"/>
              <w:keepLines w:val="0"/>
              <w:widowControl w:val="0"/>
              <w:pBdr>
                <w:top w:val="single" w:sz="0" w:space="0" w:color="363639"/>
                <w:left w:val="single" w:sz="0" w:space="0" w:color="363639"/>
                <w:bottom w:val="single" w:sz="0" w:space="0" w:color="363639"/>
                <w:right w:val="single" w:sz="0" w:space="0" w:color="363639"/>
              </w:pBdr>
              <w:shd w:val="clear" w:color="auto" w:fill="363639"/>
              <w:bidi w:val="0"/>
              <w:spacing w:before="0" w:after="0" w:line="240" w:lineRule="auto"/>
              <w:ind w:left="0" w:right="0" w:firstLine="0"/>
              <w:jc w:val="left"/>
              <w:rPr>
                <w:sz w:val="12"/>
                <w:szCs w:val="12"/>
              </w:rPr>
            </w:pPr>
            <w:r>
              <w:rPr>
                <w:rFonts w:ascii="Times New Roman" w:eastAsia="Times New Roman" w:hAnsi="Times New Roman" w:cs="Times New Roman"/>
                <w:b/>
                <w:bCs/>
                <w:color w:val="FFFFFF"/>
                <w:spacing w:val="0"/>
                <w:w w:val="100"/>
                <w:position w:val="0"/>
                <w:sz w:val="12"/>
                <w:szCs w:val="12"/>
                <w:shd w:val="clear" w:color="auto" w:fill="auto"/>
                <w:lang w:val="pt-BR" w:eastAsia="pt-BR" w:bidi="pt-BR"/>
              </w:rPr>
              <w:t xml:space="preserve">% </w:t>
            </w:r>
            <w:r>
              <w:rPr>
                <w:rFonts w:ascii="Times New Roman" w:eastAsia="Times New Roman" w:hAnsi="Times New Roman" w:cs="Times New Roman"/>
                <w:b/>
                <w:bCs/>
                <w:color w:val="FFFFFF"/>
                <w:spacing w:val="0"/>
                <w:w w:val="100"/>
                <w:position w:val="0"/>
                <w:sz w:val="12"/>
                <w:szCs w:val="12"/>
                <w:shd w:val="clear" w:color="auto" w:fill="auto"/>
              </w:rPr>
              <w:t>Aplfcadn</w:t>
            </w:r>
          </w:p>
        </w:tc>
        <w:tc>
          <w:tcPr>
            <w:tcBorders/>
            <w:shd w:val="clear" w:color="auto" w:fill="3B3C3F"/>
            <w:vAlign w:val="bottom"/>
          </w:tcPr>
          <w:p>
            <w:pPr>
              <w:pStyle w:val="Style11"/>
              <w:keepNext w:val="0"/>
              <w:keepLines w:val="0"/>
              <w:widowControl w:val="0"/>
              <w:pBdr>
                <w:top w:val="single" w:sz="0" w:space="0" w:color="353639"/>
                <w:left w:val="single" w:sz="0" w:space="0" w:color="353639"/>
                <w:bottom w:val="single" w:sz="0" w:space="0" w:color="353639"/>
                <w:right w:val="single" w:sz="0" w:space="0" w:color="353639"/>
              </w:pBdr>
              <w:shd w:val="clear" w:color="auto" w:fill="353639"/>
              <w:bidi w:val="0"/>
              <w:spacing w:before="0" w:after="0" w:line="240" w:lineRule="auto"/>
              <w:ind w:left="0" w:right="0" w:firstLine="0"/>
              <w:jc w:val="left"/>
              <w:rPr>
                <w:sz w:val="12"/>
                <w:szCs w:val="12"/>
              </w:rPr>
            </w:pPr>
            <w:r>
              <w:rPr>
                <w:rFonts w:ascii="Times New Roman" w:eastAsia="Times New Roman" w:hAnsi="Times New Roman" w:cs="Times New Roman"/>
                <w:b/>
                <w:bCs/>
                <w:color w:val="FFFFFF"/>
                <w:spacing w:val="0"/>
                <w:w w:val="100"/>
                <w:position w:val="0"/>
                <w:sz w:val="12"/>
                <w:szCs w:val="12"/>
                <w:shd w:val="clear" w:color="auto" w:fill="auto"/>
                <w:lang w:val="pt-BR" w:eastAsia="pt-BR" w:bidi="pt-BR"/>
              </w:rPr>
              <w:t>% Limhv alvo</w:t>
            </w:r>
          </w:p>
        </w:tc>
        <w:tc>
          <w:tcPr>
            <w:tcBorders/>
            <w:shd w:val="clear" w:color="auto" w:fill="3B3C3F"/>
            <w:vAlign w:val="bottom"/>
          </w:tcPr>
          <w:p>
            <w:pPr>
              <w:pStyle w:val="Style11"/>
              <w:keepNext w:val="0"/>
              <w:keepLines w:val="0"/>
              <w:widowControl w:val="0"/>
              <w:pBdr>
                <w:top w:val="single" w:sz="0" w:space="0" w:color="353639"/>
                <w:left w:val="single" w:sz="0" w:space="0" w:color="353639"/>
                <w:bottom w:val="single" w:sz="0" w:space="0" w:color="353639"/>
                <w:right w:val="single" w:sz="0" w:space="0" w:color="353639"/>
              </w:pBdr>
              <w:shd w:val="clear" w:color="auto" w:fill="353639"/>
              <w:bidi w:val="0"/>
              <w:spacing w:before="0" w:after="0" w:line="240" w:lineRule="auto"/>
              <w:ind w:left="0" w:right="0" w:firstLine="0"/>
              <w:jc w:val="left"/>
              <w:rPr>
                <w:sz w:val="12"/>
                <w:szCs w:val="12"/>
              </w:rPr>
            </w:pPr>
            <w:r>
              <w:rPr>
                <w:rFonts w:ascii="Times New Roman" w:eastAsia="Times New Roman" w:hAnsi="Times New Roman" w:cs="Times New Roman"/>
                <w:b/>
                <w:bCs/>
                <w:color w:val="FFFFFF"/>
                <w:spacing w:val="0"/>
                <w:w w:val="100"/>
                <w:position w:val="0"/>
                <w:sz w:val="12"/>
                <w:szCs w:val="12"/>
                <w:shd w:val="clear" w:color="auto" w:fill="auto"/>
                <w:lang w:val="pt-BR" w:eastAsia="pt-BR" w:bidi="pt-BR"/>
              </w:rPr>
              <w:t>% limite Superior</w:t>
            </w:r>
          </w:p>
        </w:tc>
        <w:tc>
          <w:tcPr>
            <w:tcBorders/>
            <w:shd w:val="clear" w:color="auto" w:fill="3B3C3F"/>
            <w:vAlign w:val="bottom"/>
          </w:tcPr>
          <w:p>
            <w:pPr>
              <w:pStyle w:val="Style11"/>
              <w:keepNext w:val="0"/>
              <w:keepLines w:val="0"/>
              <w:widowControl w:val="0"/>
              <w:pBdr>
                <w:top w:val="single" w:sz="0" w:space="0" w:color="363638"/>
                <w:left w:val="single" w:sz="0" w:space="0" w:color="363638"/>
                <w:bottom w:val="single" w:sz="0" w:space="0" w:color="363638"/>
                <w:right w:val="single" w:sz="0" w:space="0" w:color="363638"/>
              </w:pBdr>
              <w:shd w:val="clear" w:color="auto" w:fill="363638"/>
              <w:tabs>
                <w:tab w:pos="1546" w:val="left"/>
              </w:tabs>
              <w:bidi w:val="0"/>
              <w:spacing w:before="0" w:after="0" w:line="240" w:lineRule="auto"/>
              <w:ind w:left="0" w:right="0" w:firstLine="0"/>
              <w:jc w:val="both"/>
              <w:rPr>
                <w:sz w:val="12"/>
                <w:szCs w:val="12"/>
              </w:rPr>
            </w:pPr>
            <w:r>
              <w:rPr>
                <w:rFonts w:ascii="Times New Roman" w:eastAsia="Times New Roman" w:hAnsi="Times New Roman" w:cs="Times New Roman"/>
                <w:b/>
                <w:bCs/>
                <w:color w:val="FFFFFF"/>
                <w:spacing w:val="0"/>
                <w:w w:val="100"/>
                <w:position w:val="0"/>
                <w:sz w:val="12"/>
                <w:szCs w:val="12"/>
                <w:shd w:val="clear" w:color="auto" w:fill="auto"/>
                <w:lang w:val="pt-BR" w:eastAsia="pt-BR" w:bidi="pt-BR"/>
              </w:rPr>
              <w:t>Statm</w:t>
              <w:tab/>
              <w:t>;</w:t>
            </w:r>
          </w:p>
        </w:tc>
      </w:tr>
      <w:tr>
        <w:trPr>
          <w:trHeight w:val="173" w:hRule="exact"/>
        </w:trPr>
        <w:tc>
          <w:tcPr>
            <w:tcBorders>
              <w:left w:val="single" w:sz="4"/>
            </w:tcBorders>
            <w:shd w:val="clear" w:color="auto" w:fill="FFFFFF"/>
            <w:vAlign w:val="top"/>
          </w:tcPr>
          <w:p>
            <w:pPr>
              <w:pStyle w:val="Style11"/>
              <w:keepNext w:val="0"/>
              <w:keepLines w:val="0"/>
              <w:widowControl w:val="0"/>
              <w:shd w:val="clear" w:color="auto" w:fill="auto"/>
              <w:tabs>
                <w:tab w:pos="475" w:val="left"/>
              </w:tabs>
              <w:bidi w:val="0"/>
              <w:spacing w:before="0" w:after="0" w:line="240" w:lineRule="auto"/>
              <w:ind w:left="0" w:right="0" w:firstLine="0"/>
              <w:jc w:val="both"/>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Fí</w:t>
              <w:tab/>
              <w:t xml:space="preserve">tíiüb&amp; </w:t>
            </w:r>
            <w:r>
              <w:rPr>
                <w:rFonts w:ascii="Times New Roman" w:eastAsia="Times New Roman" w:hAnsi="Times New Roman" w:cs="Times New Roman"/>
                <w:b/>
                <w:bCs/>
                <w:color w:val="000000"/>
                <w:spacing w:val="0"/>
                <w:w w:val="100"/>
                <w:position w:val="0"/>
                <w:sz w:val="12"/>
                <w:szCs w:val="12"/>
                <w:shd w:val="clear" w:color="auto" w:fill="auto"/>
              </w:rPr>
              <w:t xml:space="preserve">TN </w:t>
            </w: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 Ást 7% I, V</w:t>
            </w:r>
          </w:p>
        </w:tc>
        <w:tc>
          <w:tcPr>
            <w:tcBorders>
              <w:left w:val="single" w:sz="4"/>
            </w:tcBorders>
            <w:shd w:val="clear" w:color="auto" w:fill="FFFFFF"/>
            <w:vAlign w:val="top"/>
          </w:tcPr>
          <w:p>
            <w:pPr>
              <w:widowControl w:val="0"/>
              <w:rPr>
                <w:sz w:val="10"/>
                <w:szCs w:val="10"/>
              </w:rPr>
            </w:pPr>
          </w:p>
        </w:tc>
        <w:tc>
          <w:tcPr>
            <w:tcBorders/>
            <w:shd w:val="clear" w:color="auto" w:fill="FFFFFF"/>
            <w:vAlign w:val="top"/>
          </w:tcPr>
          <w:p>
            <w:pPr>
              <w:pStyle w:val="Style11"/>
              <w:keepNext w:val="0"/>
              <w:keepLines w:val="0"/>
              <w:widowControl w:val="0"/>
              <w:shd w:val="clear" w:color="auto" w:fill="auto"/>
              <w:bidi w:val="0"/>
              <w:spacing w:before="0" w:after="0" w:line="240" w:lineRule="auto"/>
              <w:ind w:left="0" w:right="0" w:firstLine="0"/>
              <w:jc w:val="center"/>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90.35%</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11"/>
              <w:keepNext w:val="0"/>
              <w:keepLines w:val="0"/>
              <w:widowControl w:val="0"/>
              <w:shd w:val="clear" w:color="auto" w:fill="auto"/>
              <w:bidi w:val="0"/>
              <w:spacing w:before="0" w:after="0" w:line="240" w:lineRule="auto"/>
              <w:ind w:left="0" w:right="0" w:firstLine="0"/>
              <w:jc w:val="center"/>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85.00%</w:t>
            </w:r>
          </w:p>
        </w:tc>
        <w:tc>
          <w:tcPr>
            <w:tcBorders>
              <w:left w:val="single" w:sz="4"/>
              <w:right w:val="single" w:sz="4"/>
            </w:tcBorders>
            <w:shd w:val="clear" w:color="auto" w:fill="FFFFFF"/>
            <w:vAlign w:val="top"/>
          </w:tcPr>
          <w:p>
            <w:pPr>
              <w:pStyle w:val="Style11"/>
              <w:keepNext w:val="0"/>
              <w:keepLines w:val="0"/>
              <w:widowControl w:val="0"/>
              <w:shd w:val="clear" w:color="auto" w:fill="auto"/>
              <w:bidi w:val="0"/>
              <w:spacing w:before="0" w:after="0" w:line="240" w:lineRule="auto"/>
              <w:ind w:left="0" w:right="0" w:firstLine="0"/>
              <w:jc w:val="center"/>
              <w:rPr>
                <w:sz w:val="12"/>
                <w:szCs w:val="12"/>
              </w:rPr>
            </w:pPr>
            <w:r>
              <w:rPr>
                <w:rFonts w:ascii="Times New Roman" w:eastAsia="Times New Roman" w:hAnsi="Times New Roman" w:cs="Times New Roman"/>
                <w:b/>
                <w:bCs/>
                <w:color w:val="000000"/>
                <w:spacing w:val="0"/>
                <w:w w:val="100"/>
                <w:position w:val="0"/>
                <w:sz w:val="12"/>
                <w:szCs w:val="12"/>
                <w:shd w:val="clear" w:color="auto" w:fill="auto"/>
              </w:rPr>
              <w:t>DESENQUADRADO</w:t>
            </w:r>
          </w:p>
        </w:tc>
      </w:tr>
      <w:tr>
        <w:trPr>
          <w:trHeight w:val="206" w:hRule="exact"/>
        </w:trPr>
        <w:tc>
          <w:tcPr>
            <w:tcBorders>
              <w:top w:val="single" w:sz="4"/>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FJ Renda Fixa - Art 7», Ui, V</w:t>
            </w:r>
          </w:p>
        </w:tc>
        <w:tc>
          <w:tcPr>
            <w:tcBorders>
              <w:top w:val="single" w:sz="4"/>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right"/>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214.69</w:t>
            </w:r>
          </w:p>
        </w:tc>
        <w:tc>
          <w:tcPr>
            <w:tcBorders>
              <w:top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145%</w:t>
            </w:r>
          </w:p>
        </w:tc>
        <w:tc>
          <w:tcPr>
            <w:tcBorders>
              <w:top w:val="single" w:sz="4"/>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45.00%</w:t>
            </w:r>
          </w:p>
        </w:tc>
        <w:tc>
          <w:tcPr>
            <w:tcBorders>
              <w:top w:val="single" w:sz="4"/>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&lt;00%</w:t>
            </w:r>
          </w:p>
        </w:tc>
        <w:tc>
          <w:tcPr>
            <w:tcBorders>
              <w:top w:val="single" w:sz="4"/>
              <w:left w:val="single" w:sz="4"/>
              <w:righ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ENQUADRADO</w:t>
            </w:r>
          </w:p>
        </w:tc>
      </w:tr>
      <w:tr>
        <w:trPr>
          <w:trHeight w:val="211" w:hRule="exact"/>
        </w:trPr>
        <w:tc>
          <w:tcPr>
            <w:tcBorders>
              <w:top w:val="single" w:sz="4"/>
              <w:left w:val="single" w:sz="4"/>
              <w:bottom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right"/>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Total:</w:t>
            </w:r>
          </w:p>
        </w:tc>
        <w:tc>
          <w:tcPr>
            <w:tcBorders>
              <w:top w:val="single" w:sz="4"/>
              <w:left w:val="single" w:sz="4"/>
              <w:bottom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right"/>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3.3ÍW.748.49</w:t>
            </w:r>
          </w:p>
        </w:tc>
        <w:tc>
          <w:tcPr>
            <w:tcBorders>
              <w:top w:val="single" w:sz="4"/>
              <w:bottom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100.00%</w:t>
            </w:r>
          </w:p>
        </w:tc>
        <w:tc>
          <w:tcPr>
            <w:tcBorders>
              <w:top w:val="single" w:sz="4"/>
              <w:left w:val="single" w:sz="4"/>
              <w:bottom w:val="single" w:sz="4"/>
            </w:tcBorders>
            <w:shd w:val="clear" w:color="auto" w:fill="FFFFFF"/>
            <w:vAlign w:val="center"/>
          </w:tcPr>
          <w:p>
            <w:pPr>
              <w:pStyle w:val="Style11"/>
              <w:keepNext w:val="0"/>
              <w:keepLines w:val="0"/>
              <w:widowControl w:val="0"/>
              <w:shd w:val="clear" w:color="auto" w:fill="auto"/>
              <w:bidi w:val="0"/>
              <w:spacing w:before="0" w:after="0" w:line="240" w:lineRule="auto"/>
              <w:ind w:left="0" w:right="0" w:firstLine="0"/>
              <w:jc w:val="center"/>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W.OO%</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319" w:line="1" w:lineRule="exact"/>
      </w:pPr>
    </w:p>
    <w:p>
      <w:pPr>
        <w:pStyle w:val="Style7"/>
        <w:keepNext w:val="0"/>
        <w:keepLines w:val="0"/>
        <w:widowControl w:val="0"/>
        <w:shd w:val="clear" w:color="auto" w:fill="auto"/>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Imagem 5- Fonte: RELATÓRIO REFERÊNCIA</w:t>
      </w:r>
    </w:p>
    <w:p>
      <w:pPr>
        <w:pStyle w:val="Style7"/>
        <w:keepNext w:val="0"/>
        <w:keepLines w:val="0"/>
        <w:widowControl w:val="0"/>
        <w:shd w:val="clear" w:color="auto" w:fill="auto"/>
        <w:bidi w:val="0"/>
        <w:spacing w:before="0" w:after="360"/>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 apontamento sobre o art. FI 100% títulos </w:t>
      </w:r>
      <w:r>
        <w:rPr>
          <w:rFonts w:ascii="Times New Roman" w:eastAsia="Times New Roman" w:hAnsi="Times New Roman" w:cs="Times New Roman"/>
          <w:color w:val="000000"/>
          <w:spacing w:val="0"/>
          <w:w w:val="100"/>
          <w:position w:val="0"/>
          <w:shd w:val="clear" w:color="auto" w:fill="auto"/>
          <w:lang w:val="pt-PT" w:eastAsia="pt-PT" w:bidi="pt-PT"/>
        </w:rPr>
        <w:t xml:space="preserve">TN </w:t>
      </w:r>
      <w:r>
        <w:rPr>
          <w:rFonts w:ascii="Times New Roman" w:eastAsia="Times New Roman" w:hAnsi="Times New Roman" w:cs="Times New Roman"/>
          <w:color w:val="000000"/>
          <w:spacing w:val="0"/>
          <w:w w:val="100"/>
          <w:position w:val="0"/>
          <w:shd w:val="clear" w:color="auto" w:fill="auto"/>
          <w:lang w:val="pt-BR" w:eastAsia="pt-BR" w:bidi="pt-BR"/>
        </w:rPr>
        <w:t>- Art. 7</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I, "b" refere-se ao limite superior, o RPPS passou do limite da PI, mas não da resolução, que permite 100%.</w:t>
      </w:r>
    </w:p>
    <w:p>
      <w:pPr>
        <w:pStyle w:val="Style16"/>
        <w:keepNext/>
        <w:keepLines/>
        <w:widowControl w:val="0"/>
        <w:shd w:val="clear" w:color="auto" w:fill="auto"/>
        <w:bidi w:val="0"/>
        <w:spacing w:before="0" w:after="100"/>
        <w:ind w:left="0" w:right="0" w:firstLine="0"/>
        <w:jc w:val="center"/>
      </w:pPr>
      <w:bookmarkStart w:id="13" w:name="bookmark13"/>
      <w:r>
        <w:rPr>
          <w:rFonts w:ascii="Times New Roman" w:eastAsia="Times New Roman" w:hAnsi="Times New Roman" w:cs="Times New Roman"/>
          <w:color w:val="000000"/>
          <w:spacing w:val="0"/>
          <w:w w:val="100"/>
          <w:position w:val="0"/>
          <w:sz w:val="24"/>
          <w:szCs w:val="24"/>
          <w:shd w:val="clear" w:color="auto" w:fill="auto"/>
          <w:lang w:val="pt-BR" w:eastAsia="pt-BR" w:bidi="pt-BR"/>
        </w:rPr>
        <w:t>RESUMO DO MERCADO FINANCEIRO NO SEGUNDO SEMESTRE 2025</w:t>
      </w:r>
      <w:bookmarkEnd w:id="13"/>
    </w:p>
    <w:p>
      <w:pPr>
        <w:pStyle w:val="Style7"/>
        <w:keepNext w:val="0"/>
        <w:keepLines w:val="0"/>
        <w:widowControl w:val="0"/>
        <w:shd w:val="clear" w:color="auto" w:fill="auto"/>
        <w:bidi w:val="0"/>
        <w:spacing w:before="0" w:line="389" w:lineRule="auto"/>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O segundo semestre de 2025 foi marcado por um ambiente econômico ainda desafiador, porém com maior clareza quanto às direções das políticas monetária e fiscal, tanto no cenário internacional quanto no doméstico.</w:t>
      </w:r>
    </w:p>
    <w:p>
      <w:pPr>
        <w:pStyle w:val="Style7"/>
        <w:keepNext w:val="0"/>
        <w:keepLines w:val="0"/>
        <w:widowControl w:val="0"/>
        <w:shd w:val="clear" w:color="auto" w:fill="auto"/>
        <w:bidi w:val="0"/>
        <w:spacing w:before="0"/>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Cenário Internacional</w:t>
      </w:r>
    </w:p>
    <w:p>
      <w:pPr>
        <w:pStyle w:val="Style7"/>
        <w:keepNext w:val="0"/>
        <w:keepLines w:val="0"/>
        <w:widowControl w:val="0"/>
        <w:shd w:val="clear" w:color="auto" w:fill="auto"/>
        <w:bidi w:val="0"/>
        <w:spacing w:before="0" w:line="389" w:lineRule="auto"/>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No segundo semestre, os mercados globais passaram a operar com menor grau de surpresa, embora a volatilidade tenha permanecido elevada. Após o forte estresse observado no início do ano, o ambiente externo entrou em fase de acomodação, sustentado por sinais de maior pragmatismo nas relações comerciais e pela expectativa de ajustes graduais na política monetária das principais economias.</w:t>
      </w:r>
    </w:p>
    <w:p>
      <w:pPr>
        <w:pStyle w:val="Style7"/>
        <w:keepNext w:val="0"/>
        <w:keepLines w:val="0"/>
        <w:widowControl w:val="0"/>
        <w:shd w:val="clear" w:color="auto" w:fill="auto"/>
        <w:bidi w:val="0"/>
        <w:spacing w:before="0" w:line="394" w:lineRule="auto"/>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Nos Estados Unidos, o Federal Reserve manteve postura cautelosa, mas os mercados passaram a precificar de forma mais consistente a possibilidade de cortes graduais de juros nos anos seguintes. Esse movimento trouxe algum alívio para os ativos de risco e para os mercados emergentes.</w:t>
      </w:r>
    </w:p>
    <w:p>
      <w:pPr>
        <w:pStyle w:val="Style7"/>
        <w:keepNext w:val="0"/>
        <w:keepLines w:val="0"/>
        <w:widowControl w:val="0"/>
        <w:shd w:val="clear" w:color="auto" w:fill="auto"/>
        <w:bidi w:val="0"/>
        <w:spacing w:before="0"/>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 dólar permaneceu em patamar mais fraco frente às principais moedas, favorecendo a valorização de ativos fora dos Estados Unidos. Bolsas </w:t>
      </w:r>
      <w:r>
        <w:rPr>
          <w:rFonts w:ascii="Times New Roman" w:eastAsia="Times New Roman" w:hAnsi="Times New Roman" w:cs="Times New Roman"/>
          <w:color w:val="000000"/>
          <w:spacing w:val="0"/>
          <w:w w:val="100"/>
          <w:position w:val="0"/>
          <w:shd w:val="clear" w:color="auto" w:fill="auto"/>
          <w:lang w:val="pt-PT" w:eastAsia="pt-PT" w:bidi="pt-PT"/>
        </w:rPr>
        <w:t xml:space="preserve">europeias </w:t>
      </w:r>
      <w:r>
        <w:rPr>
          <w:rFonts w:ascii="Times New Roman" w:eastAsia="Times New Roman" w:hAnsi="Times New Roman" w:cs="Times New Roman"/>
          <w:color w:val="000000"/>
          <w:spacing w:val="0"/>
          <w:w w:val="100"/>
          <w:position w:val="0"/>
          <w:shd w:val="clear" w:color="auto" w:fill="auto"/>
          <w:lang w:val="pt-BR" w:eastAsia="pt-BR" w:bidi="pt-BR"/>
        </w:rPr>
        <w:t>e asiáticas seguiram atraentes, assim como commodities, com destaque para o ouro, que continuou sendo utilizado como proteção diante das incertezas geopolíticas e fiscais.</w:t>
      </w:r>
    </w:p>
    <w:p>
      <w:pPr>
        <w:pStyle w:val="Style7"/>
        <w:keepNext w:val="0"/>
        <w:keepLines w:val="0"/>
        <w:widowControl w:val="0"/>
        <w:shd w:val="clear" w:color="auto" w:fill="auto"/>
        <w:bidi w:val="0"/>
        <w:spacing w:before="0"/>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A diversificação geográfica ganhou ainda mais força no segundo semestre, com redução da concentração em ativos norte-americanos e maior busca por equilíbrio entre risco e retomo. Esse movimento também sustentou o dinamismo do mercado global de fusões e aquisições.</w:t>
      </w:r>
    </w:p>
    <w:p>
      <w:pPr>
        <w:pStyle w:val="Style7"/>
        <w:keepNext w:val="0"/>
        <w:keepLines w:val="0"/>
        <w:widowControl w:val="0"/>
        <w:shd w:val="clear" w:color="auto" w:fill="auto"/>
        <w:bidi w:val="0"/>
        <w:spacing w:before="0"/>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Na renda fixa internacional, os Treasuries permaneceram com juros elevados, mas </w:t>
      </w:r>
      <w:r>
        <w:rPr>
          <w:rFonts w:ascii="Times New Roman" w:eastAsia="Times New Roman" w:hAnsi="Times New Roman" w:cs="Times New Roman"/>
          <w:color w:val="000000"/>
          <w:spacing w:val="0"/>
          <w:w w:val="100"/>
          <w:position w:val="0"/>
          <w:shd w:val="clear" w:color="auto" w:fill="auto"/>
          <w:lang w:val="pt-BR" w:eastAsia="pt-BR" w:bidi="pt-BR"/>
        </w:rPr>
        <w:t>com tendência de estabilização. A sinalização de possíveis cortes futuros passou a influenciar positivamente os preços dos títulos, sobretudo nos vencimentos mais longos.</w:t>
      </w:r>
    </w:p>
    <w:p>
      <w:pPr>
        <w:pStyle w:val="Style7"/>
        <w:keepNext w:val="0"/>
        <w:keepLines w:val="0"/>
        <w:widowControl w:val="0"/>
        <w:shd w:val="clear" w:color="auto" w:fill="auto"/>
        <w:bidi w:val="0"/>
        <w:spacing w:before="0" w:line="396" w:lineRule="auto"/>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Quanto a China, a expectativa de crescimento do PIB para 2025 foi ajustada para 4,8%, após impactos iniciais de tensões tarifárias</w:t>
      </w:r>
    </w:p>
    <w:p>
      <w:pPr>
        <w:pStyle w:val="Style7"/>
        <w:keepNext w:val="0"/>
        <w:keepLines w:val="0"/>
        <w:widowControl w:val="0"/>
        <w:shd w:val="clear" w:color="auto" w:fill="auto"/>
        <w:bidi w:val="0"/>
        <w:spacing w:before="0" w:line="394" w:lineRule="auto"/>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Cenário Econômico Brasil</w:t>
      </w:r>
    </w:p>
    <w:p>
      <w:pPr>
        <w:pStyle w:val="Style7"/>
        <w:keepNext w:val="0"/>
        <w:keepLines w:val="0"/>
        <w:widowControl w:val="0"/>
        <w:shd w:val="clear" w:color="auto" w:fill="auto"/>
        <w:bidi w:val="0"/>
        <w:spacing w:before="0" w:line="398" w:lineRule="auto"/>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No Brasil, o segundo semestre foi marcado pelo foco quase exclusivo na política fiscal. O mercado acompanhou de perto a capacidade do governo de cumprir as metas do arcabouço fiscal, fator determinante para o comportamento da curva de juros de longo prazo.</w:t>
      </w:r>
    </w:p>
    <w:p>
      <w:pPr>
        <w:pStyle w:val="Style7"/>
        <w:keepNext w:val="0"/>
        <w:keepLines w:val="0"/>
        <w:widowControl w:val="0"/>
        <w:shd w:val="clear" w:color="auto" w:fill="auto"/>
        <w:bidi w:val="0"/>
        <w:spacing w:before="0" w:line="394" w:lineRule="auto"/>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A taxa Selic permaneceu em tomo de 15% ao ano durante grande parte do período, mantendo a política monetária bastante restritiva. Essa postura contribuiu para a continuidade do processo de desaceleração da inflação, ainda que os índices permanecessem acima do centro da meta.</w:t>
      </w:r>
    </w:p>
    <w:p>
      <w:pPr>
        <w:pStyle w:val="Style7"/>
        <w:keepNext w:val="0"/>
        <w:keepLines w:val="0"/>
        <w:widowControl w:val="0"/>
        <w:shd w:val="clear" w:color="auto" w:fill="auto"/>
        <w:bidi w:val="0"/>
        <w:spacing w:before="0" w:line="389" w:lineRule="auto"/>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Em meados de agosto os EUA implementaram EUA implementou o chamado "tarifaço", estabelecendo uma alíquota padrão de 50% sobre uma vasta gama de produtos brasileiros. Inicialmente, o pacote previa atingir quase toda a pauta exportadora, que somou US$ 40,3 bilhões em 2024. Contudo, em novembro, houve uma atenuação das tensões comerciais após novos acordos; a administração norte-americana removeu tarifas adicionais de 40% sobre produtos brasileiros, beneficiando diretamente a agropecuária.</w:t>
      </w:r>
    </w:p>
    <w:p>
      <w:pPr>
        <w:pStyle w:val="Style7"/>
        <w:keepNext w:val="0"/>
        <w:keepLines w:val="0"/>
        <w:widowControl w:val="0"/>
        <w:shd w:val="clear" w:color="auto" w:fill="auto"/>
        <w:bidi w:val="0"/>
        <w:spacing w:before="0" w:line="394" w:lineRule="auto"/>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O real seguiu relativamente valorizado frente ao dólar, apoiado pelo diferencial elevado de juros, pela entrada de capital estrangeiro e pelos termos de troca favoráveis. Esse cenário trouxe maior previsibilidade ao ambiente doméstico, ainda que persistissem riscos associados à dinâmica fiscal.</w:t>
      </w:r>
    </w:p>
    <w:p>
      <w:pPr>
        <w:pStyle w:val="Style7"/>
        <w:keepNext w:val="0"/>
        <w:keepLines w:val="0"/>
        <w:widowControl w:val="0"/>
        <w:shd w:val="clear" w:color="auto" w:fill="auto"/>
        <w:bidi w:val="0"/>
        <w:spacing w:before="0" w:line="389" w:lineRule="auto"/>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As projeções de crescimento do PIB para 2025 se consolidaram na faixa entre 2,1% e 2,3%, refletindo atividade econômica mais </w:t>
      </w:r>
      <w:r>
        <w:rPr>
          <w:rFonts w:ascii="Times New Roman" w:eastAsia="Times New Roman" w:hAnsi="Times New Roman" w:cs="Times New Roman"/>
          <w:color w:val="000000"/>
          <w:spacing w:val="0"/>
          <w:w w:val="100"/>
          <w:position w:val="0"/>
          <w:shd w:val="clear" w:color="auto" w:fill="auto"/>
          <w:lang w:val="pt-PT" w:eastAsia="pt-PT" w:bidi="pt-PT"/>
        </w:rPr>
        <w:t xml:space="preserve">resiliente </w:t>
      </w:r>
      <w:r>
        <w:rPr>
          <w:rFonts w:ascii="Times New Roman" w:eastAsia="Times New Roman" w:hAnsi="Times New Roman" w:cs="Times New Roman"/>
          <w:color w:val="000000"/>
          <w:spacing w:val="0"/>
          <w:w w:val="100"/>
          <w:position w:val="0"/>
          <w:shd w:val="clear" w:color="auto" w:fill="auto"/>
          <w:lang w:val="pt-BR" w:eastAsia="pt-BR" w:bidi="pt-BR"/>
        </w:rPr>
        <w:t>do que se esperava no início do ano. O período foi marcado por um "pouso suave", com desaceleração gradual da atividade devido à política monetária contracionista e perda de tração da demanda interna. O setor de serviços e a agropecuária (com alta de 11,0%) foram os principais pilares de sustentação</w:t>
      </w:r>
    </w:p>
    <w:p>
      <w:pPr>
        <w:pStyle w:val="Style7"/>
        <w:keepNext w:val="0"/>
        <w:keepLines w:val="0"/>
        <w:widowControl w:val="0"/>
        <w:shd w:val="clear" w:color="auto" w:fill="auto"/>
        <w:bidi w:val="0"/>
        <w:spacing w:before="0" w:line="394" w:lineRule="auto"/>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Evolução dos Investimentos no 2</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xml:space="preserve"> Semestre</w:t>
      </w:r>
    </w:p>
    <w:p>
      <w:pPr>
        <w:pStyle w:val="Style7"/>
        <w:keepNext w:val="0"/>
        <w:keepLines w:val="0"/>
        <w:widowControl w:val="0"/>
        <w:shd w:val="clear" w:color="auto" w:fill="auto"/>
        <w:bidi w:val="0"/>
        <w:spacing w:before="0" w:line="394" w:lineRule="auto"/>
        <w:ind w:left="0" w:right="0" w:firstLine="1160"/>
        <w:jc w:val="both"/>
      </w:pPr>
      <w:r>
        <w:rPr>
          <w:rFonts w:ascii="Times New Roman" w:eastAsia="Times New Roman" w:hAnsi="Times New Roman" w:cs="Times New Roman"/>
          <w:color w:val="000000"/>
          <w:spacing w:val="0"/>
          <w:w w:val="100"/>
          <w:position w:val="0"/>
          <w:shd w:val="clear" w:color="auto" w:fill="auto"/>
          <w:lang w:val="pt-BR" w:eastAsia="pt-BR" w:bidi="pt-BR"/>
        </w:rPr>
        <w:t>No segundo semestre, a renda fixa continuou sendo o principal pilar de retomo, especialmente os ativos atrelados ao CDI, que seguiram apresentando desempenho elevado em função da Selic alta.</w:t>
      </w:r>
    </w:p>
    <w:p>
      <w:pPr>
        <w:pStyle w:val="Style7"/>
        <w:keepNext w:val="0"/>
        <w:keepLines w:val="0"/>
        <w:widowControl w:val="0"/>
        <w:shd w:val="clear" w:color="auto" w:fill="auto"/>
        <w:bidi w:val="0"/>
        <w:spacing w:before="0" w:after="120" w:line="389" w:lineRule="auto"/>
        <w:ind w:left="0" w:right="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Os títulos prefixados e indexados à inflação apresentaram comportamento mais sensível às notícias fiscais. Oscilações na percepção de risco levaram a períodos de volatilidade, sobretudo nos vértices mais longos da curva de juros.</w:t>
      </w:r>
    </w:p>
    <w:p>
      <w:pPr>
        <w:pStyle w:val="Style7"/>
        <w:keepNext w:val="0"/>
        <w:keepLines w:val="0"/>
        <w:widowControl w:val="0"/>
        <w:shd w:val="clear" w:color="auto" w:fill="auto"/>
        <w:bidi w:val="0"/>
        <w:spacing w:before="0" w:after="120" w:line="398" w:lineRule="auto"/>
        <w:ind w:left="0" w:right="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O crédito privado manteve prêmios atrativos, mas com episódios pontuais de estresse, reforçando a necessidade de análise criteriosa, diversificação e atenção à liquidez dos ativos.</w:t>
      </w:r>
    </w:p>
    <w:p>
      <w:pPr>
        <w:pStyle w:val="Style7"/>
        <w:keepNext w:val="0"/>
        <w:keepLines w:val="0"/>
        <w:widowControl w:val="0"/>
        <w:shd w:val="clear" w:color="auto" w:fill="auto"/>
        <w:bidi w:val="0"/>
        <w:spacing w:before="0" w:after="40" w:line="425" w:lineRule="auto"/>
        <w:ind w:left="0" w:right="0" w:firstLine="1140"/>
        <w:jc w:val="left"/>
      </w:pPr>
      <w:r>
        <w:rPr>
          <w:rFonts w:ascii="Times New Roman" w:eastAsia="Times New Roman" w:hAnsi="Times New Roman" w:cs="Times New Roman"/>
          <w:color w:val="000000"/>
          <w:spacing w:val="0"/>
          <w:w w:val="100"/>
          <w:position w:val="0"/>
          <w:shd w:val="clear" w:color="auto" w:fill="auto"/>
          <w:lang w:val="pt-BR" w:eastAsia="pt-BR" w:bidi="pt-BR"/>
        </w:rPr>
        <w:t>A renda variável teve desempenho mais equilibrado no segundo semestre, beneficiada pela expectativa de queda futura dos juros e pela melhora gradual do cenário macroeconômico, ainda que com volatilidade persistente. Assim, o Ibovespa fechou o ano com uma expressiva valorização de 34% atingindo recordes nominais próximos a 160 mil pontos. ^Performance dos Ativos</w:t>
      </w:r>
    </w:p>
    <w:tbl>
      <w:tblPr>
        <w:tblOverlap w:val="never"/>
        <w:jc w:val="left"/>
        <w:tblLayout w:type="fixed"/>
      </w:tblPr>
      <w:tblGrid>
        <w:gridCol w:w="1488"/>
        <w:gridCol w:w="1512"/>
        <w:gridCol w:w="946"/>
        <w:gridCol w:w="1493"/>
        <w:gridCol w:w="907"/>
        <w:gridCol w:w="926"/>
      </w:tblGrid>
      <w:tr>
        <w:trPr>
          <w:trHeight w:val="365" w:hRule="exact"/>
        </w:trPr>
        <w:tc>
          <w:tcPr>
            <w:vMerge w:val="restart"/>
            <w:tcBorders/>
            <w:shd w:val="clear" w:color="auto" w:fill="3B3C3F"/>
            <w:vAlign w:val="bottom"/>
          </w:tcPr>
          <w:p>
            <w:pPr>
              <w:pStyle w:val="Style11"/>
              <w:keepNext w:val="0"/>
              <w:keepLines w:val="0"/>
              <w:widowControl w:val="0"/>
              <w:pBdr>
                <w:top w:val="single" w:sz="0" w:space="0" w:color="47474C"/>
                <w:left w:val="single" w:sz="0" w:space="0" w:color="47474C"/>
                <w:bottom w:val="single" w:sz="0" w:space="0" w:color="47474C"/>
                <w:right w:val="single" w:sz="0" w:space="0" w:color="47474C"/>
              </w:pBdr>
              <w:shd w:val="clear" w:color="auto" w:fill="47474C"/>
              <w:bidi w:val="0"/>
              <w:spacing w:before="0" w:after="0" w:line="240" w:lineRule="auto"/>
              <w:ind w:left="0" w:right="0" w:firstLine="0"/>
              <w:jc w:val="center"/>
              <w:rPr>
                <w:sz w:val="14"/>
                <w:szCs w:val="14"/>
              </w:rPr>
            </w:pPr>
            <w:r>
              <w:rPr>
                <w:rFonts w:ascii="Arial" w:eastAsia="Arial" w:hAnsi="Arial" w:cs="Arial"/>
                <w:b/>
                <w:bCs/>
                <w:color w:val="FFFFFF"/>
                <w:spacing w:val="0"/>
                <w:w w:val="100"/>
                <w:position w:val="0"/>
                <w:sz w:val="14"/>
                <w:szCs w:val="14"/>
                <w:shd w:val="clear" w:color="auto" w:fill="auto"/>
                <w:lang w:val="pt-BR" w:eastAsia="pt-BR" w:bidi="pt-BR"/>
              </w:rPr>
              <w:t>Nome</w:t>
            </w:r>
          </w:p>
        </w:tc>
        <w:tc>
          <w:tcPr>
            <w:gridSpan w:val="2"/>
            <w:tcBorders>
              <w:left w:val="single" w:sz="4"/>
            </w:tcBorders>
            <w:shd w:val="clear" w:color="auto" w:fill="3B3C3F"/>
            <w:vAlign w:val="bottom"/>
          </w:tcPr>
          <w:p>
            <w:pPr>
              <w:pStyle w:val="Style11"/>
              <w:keepNext w:val="0"/>
              <w:keepLines w:val="0"/>
              <w:widowControl w:val="0"/>
              <w:pBdr>
                <w:top w:val="single" w:sz="0" w:space="0" w:color="47474C"/>
                <w:left w:val="single" w:sz="0" w:space="0" w:color="47474C"/>
                <w:bottom w:val="single" w:sz="0" w:space="0" w:color="47474C"/>
                <w:right w:val="single" w:sz="0" w:space="0" w:color="47474C"/>
              </w:pBdr>
              <w:shd w:val="clear" w:color="auto" w:fill="47474C"/>
              <w:bidi w:val="0"/>
              <w:spacing w:before="0" w:after="0" w:line="240" w:lineRule="auto"/>
              <w:ind w:left="0" w:right="0" w:firstLine="0"/>
              <w:jc w:val="center"/>
              <w:rPr>
                <w:sz w:val="14"/>
                <w:szCs w:val="14"/>
              </w:rPr>
            </w:pPr>
            <w:r>
              <w:rPr>
                <w:rFonts w:ascii="Arial" w:eastAsia="Arial" w:hAnsi="Arial" w:cs="Arial"/>
                <w:b/>
                <w:bCs/>
                <w:color w:val="FFFFFF"/>
                <w:spacing w:val="0"/>
                <w:w w:val="100"/>
                <w:position w:val="0"/>
                <w:sz w:val="14"/>
                <w:szCs w:val="14"/>
                <w:shd w:val="clear" w:color="auto" w:fill="auto"/>
                <w:lang w:val="pt-BR" w:eastAsia="pt-BR" w:bidi="pt-BR"/>
              </w:rPr>
              <w:t>Retorno</w:t>
            </w:r>
          </w:p>
          <w:p>
            <w:pPr>
              <w:pStyle w:val="Style11"/>
              <w:keepNext w:val="0"/>
              <w:keepLines w:val="0"/>
              <w:widowControl w:val="0"/>
              <w:pBdr>
                <w:top w:val="single" w:sz="0" w:space="0" w:color="47474C"/>
                <w:left w:val="single" w:sz="0" w:space="0" w:color="47474C"/>
                <w:bottom w:val="single" w:sz="0" w:space="0" w:color="47474C"/>
                <w:right w:val="single" w:sz="0" w:space="0" w:color="47474C"/>
              </w:pBdr>
              <w:shd w:val="clear" w:color="auto" w:fill="47474C"/>
              <w:tabs>
                <w:tab w:pos="2214" w:val="left"/>
              </w:tabs>
              <w:bidi w:val="0"/>
              <w:spacing w:before="0" w:after="0" w:line="240" w:lineRule="auto"/>
              <w:ind w:left="1480" w:right="0" w:firstLine="0"/>
              <w:jc w:val="both"/>
              <w:rPr>
                <w:sz w:val="14"/>
                <w:szCs w:val="14"/>
              </w:rPr>
            </w:pPr>
            <w:r>
              <w:rPr>
                <w:rFonts w:ascii="Arial" w:eastAsia="Arial" w:hAnsi="Arial" w:cs="Arial"/>
                <w:b/>
                <w:bCs/>
                <w:color w:val="FFFFFF"/>
                <w:spacing w:val="0"/>
                <w:w w:val="100"/>
                <w:position w:val="0"/>
                <w:sz w:val="14"/>
                <w:szCs w:val="14"/>
                <w:shd w:val="clear" w:color="auto" w:fill="auto"/>
                <w:lang w:val="pt-BR" w:eastAsia="pt-BR" w:bidi="pt-BR"/>
              </w:rPr>
              <w:t>i</w:t>
              <w:tab/>
              <w:t>; i</w:t>
            </w:r>
          </w:p>
        </w:tc>
        <w:tc>
          <w:tcPr>
            <w:vMerge w:val="restart"/>
            <w:tcBorders/>
            <w:shd w:val="clear" w:color="auto" w:fill="3B3C3F"/>
            <w:vAlign w:val="bottom"/>
          </w:tcPr>
          <w:p>
            <w:pPr>
              <w:pStyle w:val="Style11"/>
              <w:keepNext w:val="0"/>
              <w:keepLines w:val="0"/>
              <w:widowControl w:val="0"/>
              <w:pBdr>
                <w:top w:val="single" w:sz="0" w:space="0" w:color="47484D"/>
                <w:left w:val="single" w:sz="0" w:space="0" w:color="47484D"/>
                <w:bottom w:val="single" w:sz="0" w:space="0" w:color="47484D"/>
                <w:right w:val="single" w:sz="0" w:space="0" w:color="47484D"/>
              </w:pBdr>
              <w:shd w:val="clear" w:color="auto" w:fill="47484D"/>
              <w:bidi w:val="0"/>
              <w:spacing w:before="0" w:after="0" w:line="240" w:lineRule="auto"/>
              <w:ind w:left="0" w:right="0" w:firstLine="0"/>
              <w:jc w:val="center"/>
              <w:rPr>
                <w:sz w:val="14"/>
                <w:szCs w:val="14"/>
              </w:rPr>
            </w:pPr>
            <w:r>
              <w:rPr>
                <w:rFonts w:ascii="Arial" w:eastAsia="Arial" w:hAnsi="Arial" w:cs="Arial"/>
                <w:b/>
                <w:bCs/>
                <w:color w:val="FFFFFF"/>
                <w:spacing w:val="0"/>
                <w:w w:val="100"/>
                <w:position w:val="0"/>
                <w:sz w:val="14"/>
                <w:szCs w:val="14"/>
                <w:shd w:val="clear" w:color="auto" w:fill="auto"/>
                <w:lang w:val="pt-BR" w:eastAsia="pt-BR" w:bidi="pt-BR"/>
              </w:rPr>
              <w:t>Nome</w:t>
            </w:r>
          </w:p>
        </w:tc>
        <w:tc>
          <w:tcPr>
            <w:gridSpan w:val="2"/>
            <w:tcBorders>
              <w:left w:val="single" w:sz="4"/>
            </w:tcBorders>
            <w:shd w:val="clear" w:color="auto" w:fill="3B3C3F"/>
            <w:vAlign w:val="bottom"/>
          </w:tcPr>
          <w:p>
            <w:pPr>
              <w:pStyle w:val="Style11"/>
              <w:keepNext w:val="0"/>
              <w:keepLines w:val="0"/>
              <w:widowControl w:val="0"/>
              <w:pBdr>
                <w:top w:val="single" w:sz="0" w:space="0" w:color="47474C"/>
                <w:left w:val="single" w:sz="0" w:space="0" w:color="47474C"/>
                <w:bottom w:val="single" w:sz="0" w:space="0" w:color="47474C"/>
                <w:right w:val="single" w:sz="0" w:space="0" w:color="47474C"/>
              </w:pBdr>
              <w:shd w:val="clear" w:color="auto" w:fill="47474C"/>
              <w:bidi w:val="0"/>
              <w:spacing w:before="0" w:after="0" w:line="240" w:lineRule="auto"/>
              <w:ind w:left="0" w:right="0" w:firstLine="0"/>
              <w:jc w:val="center"/>
              <w:rPr>
                <w:sz w:val="14"/>
                <w:szCs w:val="14"/>
              </w:rPr>
            </w:pPr>
            <w:r>
              <w:rPr>
                <w:rFonts w:ascii="Arial" w:eastAsia="Arial" w:hAnsi="Arial" w:cs="Arial"/>
                <w:b/>
                <w:bCs/>
                <w:color w:val="FFFFFF"/>
                <w:spacing w:val="0"/>
                <w:w w:val="100"/>
                <w:position w:val="0"/>
                <w:sz w:val="14"/>
                <w:szCs w:val="14"/>
                <w:shd w:val="clear" w:color="auto" w:fill="auto"/>
                <w:lang w:val="pt-BR" w:eastAsia="pt-BR" w:bidi="pt-BR"/>
              </w:rPr>
              <w:t>Retorno</w:t>
            </w:r>
          </w:p>
          <w:p>
            <w:pPr>
              <w:pStyle w:val="Style11"/>
              <w:keepNext w:val="0"/>
              <w:keepLines w:val="0"/>
              <w:widowControl w:val="0"/>
              <w:pBdr>
                <w:top w:val="single" w:sz="0" w:space="0" w:color="47474C"/>
                <w:left w:val="single" w:sz="0" w:space="0" w:color="47474C"/>
                <w:bottom w:val="single" w:sz="0" w:space="0" w:color="47474C"/>
                <w:right w:val="single" w:sz="0" w:space="0" w:color="47474C"/>
              </w:pBdr>
              <w:shd w:val="clear" w:color="auto" w:fill="47474C"/>
              <w:bidi w:val="0"/>
              <w:spacing w:before="0" w:after="0" w:line="240" w:lineRule="auto"/>
              <w:ind w:left="0" w:right="0" w:firstLine="0"/>
              <w:jc w:val="center"/>
              <w:rPr>
                <w:sz w:val="14"/>
                <w:szCs w:val="14"/>
              </w:rPr>
            </w:pPr>
            <w:r>
              <w:rPr>
                <w:rFonts w:ascii="Arial" w:eastAsia="Arial" w:hAnsi="Arial" w:cs="Arial"/>
                <w:b/>
                <w:bCs/>
                <w:color w:val="FFFFFF"/>
                <w:spacing w:val="0"/>
                <w:w w:val="100"/>
                <w:position w:val="0"/>
                <w:sz w:val="14"/>
                <w:szCs w:val="14"/>
                <w:shd w:val="clear" w:color="auto" w:fill="auto"/>
                <w:lang w:val="pt-BR" w:eastAsia="pt-BR" w:bidi="pt-BR"/>
              </w:rPr>
              <w:t>1</w:t>
            </w:r>
          </w:p>
        </w:tc>
      </w:tr>
      <w:tr>
        <w:trPr>
          <w:trHeight w:val="322" w:hRule="exact"/>
        </w:trPr>
        <w:tc>
          <w:tcPr>
            <w:vMerge/>
            <w:tcBorders/>
            <w:shd w:val="clear" w:color="auto" w:fill="3B3C3F"/>
            <w:vAlign w:val="bottom"/>
          </w:tcPr>
          <w:p>
            <w:pPr/>
          </w:p>
        </w:tc>
        <w:tc>
          <w:tcPr>
            <w:tcBorders>
              <w:left w:val="single" w:sz="4"/>
            </w:tcBorders>
            <w:shd w:val="clear" w:color="auto" w:fill="3B3C3F"/>
            <w:vAlign w:val="bottom"/>
          </w:tcPr>
          <w:p>
            <w:pPr>
              <w:pStyle w:val="Style11"/>
              <w:keepNext w:val="0"/>
              <w:keepLines w:val="0"/>
              <w:widowControl w:val="0"/>
              <w:pBdr>
                <w:top w:val="single" w:sz="0" w:space="0" w:color="47474C"/>
                <w:left w:val="single" w:sz="0" w:space="0" w:color="47474C"/>
                <w:bottom w:val="single" w:sz="0" w:space="0" w:color="47474C"/>
                <w:right w:val="single" w:sz="0" w:space="0" w:color="47474C"/>
              </w:pBdr>
              <w:shd w:val="clear" w:color="auto" w:fill="47474C"/>
              <w:bidi w:val="0"/>
              <w:spacing w:before="0" w:after="0" w:line="240" w:lineRule="auto"/>
              <w:ind w:left="0" w:right="0" w:firstLine="0"/>
              <w:jc w:val="center"/>
              <w:rPr>
                <w:sz w:val="14"/>
                <w:szCs w:val="14"/>
              </w:rPr>
            </w:pPr>
            <w:r>
              <w:rPr>
                <w:rFonts w:ascii="Arial" w:eastAsia="Arial" w:hAnsi="Arial" w:cs="Arial"/>
                <w:b/>
                <w:bCs/>
                <w:color w:val="FFFFFF"/>
                <w:spacing w:val="0"/>
                <w:w w:val="100"/>
                <w:position w:val="0"/>
                <w:sz w:val="14"/>
                <w:szCs w:val="14"/>
                <w:shd w:val="clear" w:color="auto" w:fill="auto"/>
                <w:lang w:val="pt-BR" w:eastAsia="pt-BR" w:bidi="pt-BR"/>
              </w:rPr>
              <w:t>Semestre</w:t>
            </w:r>
          </w:p>
        </w:tc>
        <w:tc>
          <w:tcPr>
            <w:tcBorders>
              <w:left w:val="single" w:sz="4"/>
            </w:tcBorders>
            <w:shd w:val="clear" w:color="auto" w:fill="3B3C3F"/>
            <w:vAlign w:val="top"/>
          </w:tcPr>
          <w:p>
            <w:pPr>
              <w:pStyle w:val="Style11"/>
              <w:keepNext w:val="0"/>
              <w:keepLines w:val="0"/>
              <w:widowControl w:val="0"/>
              <w:pBdr>
                <w:top w:val="single" w:sz="0" w:space="0" w:color="46474C"/>
                <w:left w:val="single" w:sz="0" w:space="0" w:color="46474C"/>
                <w:bottom w:val="single" w:sz="0" w:space="0" w:color="46474C"/>
                <w:right w:val="single" w:sz="0" w:space="0" w:color="46474C"/>
              </w:pBdr>
              <w:shd w:val="clear" w:color="auto" w:fill="46474C"/>
              <w:bidi w:val="0"/>
              <w:spacing w:before="0" w:after="0" w:line="240" w:lineRule="auto"/>
              <w:ind w:left="160" w:right="0" w:firstLine="20"/>
              <w:jc w:val="left"/>
              <w:rPr>
                <w:sz w:val="14"/>
                <w:szCs w:val="14"/>
              </w:rPr>
            </w:pPr>
            <w:r>
              <w:rPr>
                <w:rFonts w:ascii="Arial" w:eastAsia="Arial" w:hAnsi="Arial" w:cs="Arial"/>
                <w:b/>
                <w:bCs/>
                <w:color w:val="FFFFFF"/>
                <w:spacing w:val="0"/>
                <w:w w:val="100"/>
                <w:position w:val="0"/>
                <w:sz w:val="14"/>
                <w:szCs w:val="14"/>
                <w:shd w:val="clear" w:color="auto" w:fill="auto"/>
                <w:lang w:val="pt-BR" w:eastAsia="pt-BR" w:bidi="pt-BR"/>
              </w:rPr>
              <w:t>No ano I</w:t>
            </w:r>
          </w:p>
        </w:tc>
        <w:tc>
          <w:tcPr>
            <w:vMerge/>
            <w:tcBorders/>
            <w:shd w:val="clear" w:color="auto" w:fill="3B3C3F"/>
            <w:vAlign w:val="bottom"/>
          </w:tcPr>
          <w:p>
            <w:pPr/>
          </w:p>
        </w:tc>
        <w:tc>
          <w:tcPr>
            <w:tcBorders>
              <w:left w:val="single" w:sz="4"/>
            </w:tcBorders>
            <w:shd w:val="clear" w:color="auto" w:fill="3B3C3F"/>
            <w:vAlign w:val="bottom"/>
          </w:tcPr>
          <w:p>
            <w:pPr>
              <w:pStyle w:val="Style11"/>
              <w:keepNext w:val="0"/>
              <w:keepLines w:val="0"/>
              <w:widowControl w:val="0"/>
              <w:pBdr>
                <w:top w:val="single" w:sz="0" w:space="0" w:color="46474B"/>
                <w:left w:val="single" w:sz="0" w:space="0" w:color="46474B"/>
                <w:bottom w:val="single" w:sz="0" w:space="0" w:color="46474B"/>
                <w:right w:val="single" w:sz="0" w:space="0" w:color="46474B"/>
              </w:pBdr>
              <w:shd w:val="clear" w:color="auto" w:fill="46474B"/>
              <w:bidi w:val="0"/>
              <w:spacing w:before="0" w:after="0" w:line="240" w:lineRule="auto"/>
              <w:ind w:left="0" w:right="0" w:firstLine="0"/>
              <w:jc w:val="center"/>
              <w:rPr>
                <w:sz w:val="14"/>
                <w:szCs w:val="14"/>
              </w:rPr>
            </w:pPr>
            <w:r>
              <w:rPr>
                <w:rFonts w:ascii="Arial" w:eastAsia="Arial" w:hAnsi="Arial" w:cs="Arial"/>
                <w:b/>
                <w:bCs/>
                <w:color w:val="FFFFFF"/>
                <w:spacing w:val="0"/>
                <w:w w:val="100"/>
                <w:position w:val="0"/>
                <w:sz w:val="14"/>
                <w:szCs w:val="14"/>
                <w:shd w:val="clear" w:color="auto" w:fill="auto"/>
                <w:lang w:val="pt-BR" w:eastAsia="pt-BR" w:bidi="pt-BR"/>
              </w:rPr>
              <w:t>Semestre</w:t>
            </w:r>
          </w:p>
        </w:tc>
        <w:tc>
          <w:tcPr>
            <w:tcBorders>
              <w:left w:val="single" w:sz="4"/>
            </w:tcBorders>
            <w:shd w:val="clear" w:color="auto" w:fill="3B3C3F"/>
            <w:vAlign w:val="bottom"/>
          </w:tcPr>
          <w:p>
            <w:pPr>
              <w:pStyle w:val="Style11"/>
              <w:keepNext w:val="0"/>
              <w:keepLines w:val="0"/>
              <w:widowControl w:val="0"/>
              <w:pBdr>
                <w:top w:val="single" w:sz="0" w:space="0" w:color="46474B"/>
                <w:left w:val="single" w:sz="0" w:space="0" w:color="46474B"/>
                <w:bottom w:val="single" w:sz="0" w:space="0" w:color="46474B"/>
                <w:right w:val="single" w:sz="0" w:space="0" w:color="46474B"/>
              </w:pBdr>
              <w:shd w:val="clear" w:color="auto" w:fill="46474B"/>
              <w:bidi w:val="0"/>
              <w:spacing w:before="0" w:after="0" w:line="240" w:lineRule="auto"/>
              <w:ind w:left="0" w:right="0" w:firstLine="0"/>
              <w:jc w:val="center"/>
              <w:rPr>
                <w:sz w:val="14"/>
                <w:szCs w:val="14"/>
              </w:rPr>
            </w:pPr>
            <w:r>
              <w:rPr>
                <w:rFonts w:ascii="Arial" w:eastAsia="Arial" w:hAnsi="Arial" w:cs="Arial"/>
                <w:b/>
                <w:bCs/>
                <w:color w:val="FFFFFF"/>
                <w:spacing w:val="0"/>
                <w:w w:val="100"/>
                <w:position w:val="0"/>
                <w:sz w:val="14"/>
                <w:szCs w:val="14"/>
                <w:shd w:val="clear" w:color="auto" w:fill="auto"/>
                <w:lang w:val="pt-BR" w:eastAsia="pt-BR" w:bidi="pt-BR"/>
              </w:rPr>
              <w:t>No ano</w:t>
            </w:r>
          </w:p>
        </w:tc>
      </w:tr>
      <w:tr>
        <w:trPr>
          <w:trHeight w:val="274" w:hRule="exact"/>
        </w:trPr>
        <w:tc>
          <w:tcPr>
            <w:gridSpan w:val="6"/>
            <w:tcBorders>
              <w:lef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t-BR" w:eastAsia="pt-BR" w:bidi="pt-BR"/>
              </w:rPr>
              <w:t>RENDA FIXA</w:t>
            </w:r>
          </w:p>
        </w:tc>
      </w:tr>
      <w:tr>
        <w:trPr>
          <w:trHeight w:val="274" w:hRule="exact"/>
        </w:trPr>
        <w:tc>
          <w:tcPr>
            <w:tcBorders>
              <w:top w:val="single" w:sz="4"/>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Prefixados</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gridSpan w:val="3"/>
            <w:tcBorders>
              <w:top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Formado por TP indexados ao IPCA</w:t>
            </w:r>
          </w:p>
        </w:tc>
      </w:tr>
      <w:tr>
        <w:trPr>
          <w:trHeight w:val="250" w:hRule="exact"/>
        </w:trPr>
        <w:tc>
          <w:tcPr>
            <w:tcBorders>
              <w:top w:val="single" w:sz="4"/>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IRF-M</w:t>
            </w:r>
          </w:p>
        </w:tc>
        <w:tc>
          <w:tcPr>
            <w:tcBorders>
              <w:top w:val="single" w:sz="4"/>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6,72%</w:t>
            </w:r>
          </w:p>
        </w:tc>
        <w:tc>
          <w:tcPr>
            <w:tcBorders>
              <w:top w:val="single" w:sz="4"/>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1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18,22%</w:t>
            </w:r>
          </w:p>
        </w:tc>
        <w:tc>
          <w:tcPr>
            <w:tcBorders>
              <w:top w:val="single" w:sz="4"/>
              <w:lef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IMA-B</w:t>
            </w:r>
          </w:p>
        </w:tc>
        <w:tc>
          <w:tcPr>
            <w:tcBorders>
              <w:top w:val="single" w:sz="4"/>
              <w:lef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4,02%</w:t>
            </w:r>
          </w:p>
        </w:tc>
        <w:tc>
          <w:tcPr>
            <w:tcBorders>
              <w:top w:val="single" w:sz="4"/>
              <w:left w:val="single" w:sz="4"/>
              <w:righ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13,17%</w:t>
            </w:r>
          </w:p>
        </w:tc>
      </w:tr>
      <w:tr>
        <w:trPr>
          <w:trHeight w:val="250" w:hRule="exact"/>
        </w:trPr>
        <w:tc>
          <w:tcPr>
            <w:tcBorders>
              <w:lef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IRF-M 1</w:t>
            </w:r>
          </w:p>
        </w:tc>
        <w:tc>
          <w:tcPr>
            <w:tcBorders>
              <w:lef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7,39%</w:t>
            </w:r>
          </w:p>
        </w:tc>
        <w:tc>
          <w:tcPr>
            <w:tcBorders>
              <w:lef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1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14,76%</w:t>
            </w:r>
          </w:p>
        </w:tc>
        <w:tc>
          <w:tcPr>
            <w:tcBorders>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IMA-B 5</w:t>
            </w:r>
          </w:p>
        </w:tc>
        <w:tc>
          <w:tcPr>
            <w:tcBorders>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5,29%</w:t>
            </w:r>
          </w:p>
        </w:tc>
        <w:tc>
          <w:tcPr>
            <w:tcBorders>
              <w:left w:val="single" w:sz="4"/>
              <w:righ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11,65%</w:t>
            </w:r>
          </w:p>
        </w:tc>
      </w:tr>
      <w:tr>
        <w:trPr>
          <w:trHeight w:val="259" w:hRule="exact"/>
        </w:trPr>
        <w:tc>
          <w:tcPr>
            <w:tcBorders>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IRF-M 1+</w:t>
            </w:r>
          </w:p>
        </w:tc>
        <w:tc>
          <w:tcPr>
            <w:tcBorders>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6,36%</w:t>
            </w:r>
          </w:p>
        </w:tc>
        <w:tc>
          <w:tcPr>
            <w:tcBorders>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1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20,07%</w:t>
            </w:r>
          </w:p>
        </w:tc>
        <w:tc>
          <w:tcPr>
            <w:tcBorders>
              <w:lef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IMA-B 5+</w:t>
            </w:r>
          </w:p>
        </w:tc>
        <w:tc>
          <w:tcPr>
            <w:tcBorders>
              <w:lef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3,12%</w:t>
            </w:r>
          </w:p>
        </w:tc>
        <w:tc>
          <w:tcPr>
            <w:tcBorders>
              <w:left w:val="single" w:sz="4"/>
              <w:righ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14,20%</w:t>
            </w:r>
          </w:p>
        </w:tc>
      </w:tr>
      <w:tr>
        <w:trPr>
          <w:trHeight w:val="278" w:hRule="exact"/>
        </w:trPr>
        <w:tc>
          <w:tcPr>
            <w:gridSpan w:val="3"/>
            <w:tcBorders>
              <w:top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Formado por Títulos da Divida Pública</w:t>
            </w:r>
          </w:p>
        </w:tc>
        <w:tc>
          <w:tcPr>
            <w:gridSpan w:val="3"/>
            <w:tcBorders>
              <w:top w:val="single" w:sz="4"/>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t-BR" w:eastAsia="pt-BR" w:bidi="pt-BR"/>
              </w:rPr>
              <w:t>Dl</w:t>
            </w:r>
          </w:p>
        </w:tc>
      </w:tr>
      <w:tr>
        <w:trPr>
          <w:trHeight w:val="274" w:hRule="exact"/>
        </w:trPr>
        <w:tc>
          <w:tcPr>
            <w:tcBorders>
              <w:top w:val="single" w:sz="4"/>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rPr>
              <w:t xml:space="preserve">IMA </w:t>
            </w:r>
            <w:r>
              <w:rPr>
                <w:rFonts w:ascii="Arial" w:eastAsia="Arial" w:hAnsi="Arial" w:cs="Arial"/>
                <w:color w:val="000000"/>
                <w:spacing w:val="0"/>
                <w:w w:val="100"/>
                <w:position w:val="0"/>
                <w:sz w:val="15"/>
                <w:szCs w:val="15"/>
                <w:shd w:val="clear" w:color="auto" w:fill="auto"/>
                <w:lang w:val="pt-BR" w:eastAsia="pt-BR" w:bidi="pt-BR"/>
              </w:rPr>
              <w:t>Geral</w:t>
            </w:r>
          </w:p>
        </w:tc>
        <w:tc>
          <w:tcPr>
            <w:tcBorders>
              <w:top w:val="single" w:sz="4"/>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6,42%</w:t>
            </w:r>
          </w:p>
        </w:tc>
        <w:tc>
          <w:tcPr>
            <w:tcBorders>
              <w:top w:val="single" w:sz="4"/>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1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14,83%</w:t>
            </w:r>
          </w:p>
        </w:tc>
        <w:tc>
          <w:tcPr>
            <w:tcBorders>
              <w:top w:val="single" w:sz="4"/>
              <w:lef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CDI</w:t>
            </w:r>
          </w:p>
        </w:tc>
        <w:tc>
          <w:tcPr>
            <w:tcBorders>
              <w:top w:val="single" w:sz="4"/>
              <w:lef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7,43%</w:t>
            </w:r>
          </w:p>
        </w:tc>
        <w:tc>
          <w:tcPr>
            <w:tcBorders>
              <w:top w:val="single" w:sz="4"/>
              <w:left w:val="single" w:sz="4"/>
              <w:righ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14,31%</w:t>
            </w:r>
          </w:p>
        </w:tc>
      </w:tr>
      <w:tr>
        <w:trPr>
          <w:trHeight w:val="283" w:hRule="exact"/>
        </w:trPr>
        <w:tc>
          <w:tcPr>
            <w:gridSpan w:val="3"/>
            <w:tcBorders>
              <w:top w:val="single" w:sz="4"/>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Duração Constante</w:t>
            </w:r>
          </w:p>
        </w:tc>
        <w:tc>
          <w:tcPr>
            <w:tcBorders>
              <w:top w:val="single" w:sz="4"/>
            </w:tcBorders>
            <w:shd w:val="clear" w:color="auto" w:fill="C7C8CC"/>
            <w:vAlign w:val="top"/>
          </w:tcPr>
          <w:p>
            <w:pPr>
              <w:widowControl w:val="0"/>
              <w:rPr>
                <w:sz w:val="10"/>
                <w:szCs w:val="10"/>
              </w:rPr>
            </w:pPr>
          </w:p>
        </w:tc>
        <w:tc>
          <w:tcPr>
            <w:tcBorders>
              <w:top w:val="single" w:sz="4"/>
            </w:tcBorders>
            <w:shd w:val="clear" w:color="auto" w:fill="C7C8CC"/>
            <w:vAlign w:val="top"/>
          </w:tcPr>
          <w:p>
            <w:pPr>
              <w:widowControl w:val="0"/>
              <w:rPr>
                <w:sz w:val="10"/>
                <w:szCs w:val="10"/>
              </w:rPr>
            </w:pPr>
          </w:p>
        </w:tc>
        <w:tc>
          <w:tcPr>
            <w:tcBorders>
              <w:top w:val="single" w:sz="4"/>
            </w:tcBorders>
            <w:shd w:val="clear" w:color="auto" w:fill="C7C8CC"/>
            <w:vAlign w:val="top"/>
          </w:tcPr>
          <w:p>
            <w:pPr>
              <w:widowControl w:val="0"/>
              <w:rPr>
                <w:sz w:val="10"/>
                <w:szCs w:val="10"/>
              </w:rPr>
            </w:pPr>
          </w:p>
        </w:tc>
      </w:tr>
      <w:tr>
        <w:trPr>
          <w:trHeight w:val="307" w:hRule="exact"/>
        </w:trPr>
        <w:tc>
          <w:tcPr>
            <w:tcBorders>
              <w:top w:val="single" w:sz="4"/>
              <w:left w:val="single" w:sz="4"/>
              <w:bottom w:val="single" w:sz="4"/>
            </w:tcBorders>
            <w:shd w:val="clear" w:color="auto" w:fill="C7C8CC"/>
            <w:vAlign w:val="center"/>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IDkA IPCA 2 Anos</w:t>
            </w:r>
          </w:p>
        </w:tc>
        <w:tc>
          <w:tcPr>
            <w:tcBorders>
              <w:top w:val="single" w:sz="4"/>
              <w:left w:val="single" w:sz="4"/>
              <w:bottom w:val="single" w:sz="4"/>
            </w:tcBorders>
            <w:shd w:val="clear" w:color="auto" w:fill="C7C8CC"/>
            <w:vAlign w:val="center"/>
          </w:tcPr>
          <w:p>
            <w:pPr>
              <w:pStyle w:val="Style11"/>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t-BR" w:eastAsia="pt-BR" w:bidi="pt-BR"/>
              </w:rPr>
              <w:t>5,80%</w:t>
            </w:r>
          </w:p>
        </w:tc>
        <w:tc>
          <w:tcPr>
            <w:tcBorders>
              <w:top w:val="single" w:sz="4"/>
              <w:left w:val="single" w:sz="4"/>
              <w:bottom w:val="single" w:sz="4"/>
            </w:tcBorders>
            <w:shd w:val="clear" w:color="auto" w:fill="C7C8CC"/>
            <w:vAlign w:val="center"/>
          </w:tcPr>
          <w:p>
            <w:pPr>
              <w:pStyle w:val="Style11"/>
              <w:keepNext w:val="0"/>
              <w:keepLines w:val="0"/>
              <w:widowControl w:val="0"/>
              <w:shd w:val="clear" w:color="auto" w:fill="auto"/>
              <w:bidi w:val="0"/>
              <w:spacing w:before="0" w:after="0" w:line="240" w:lineRule="auto"/>
              <w:ind w:left="1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12,03%</w:t>
            </w:r>
          </w:p>
        </w:tc>
        <w:tc>
          <w:tcPr>
            <w:tcBorders>
              <w:left w:val="single" w:sz="4"/>
              <w:bottom w:val="single" w:sz="4"/>
            </w:tcBorders>
            <w:shd w:val="clear" w:color="auto" w:fill="C7C8CC"/>
            <w:vAlign w:val="top"/>
          </w:tcPr>
          <w:p>
            <w:pPr>
              <w:widowControl w:val="0"/>
              <w:rPr>
                <w:sz w:val="10"/>
                <w:szCs w:val="10"/>
              </w:rPr>
            </w:pPr>
          </w:p>
        </w:tc>
        <w:tc>
          <w:tcPr>
            <w:tcBorders>
              <w:bottom w:val="single" w:sz="4"/>
            </w:tcBorders>
            <w:shd w:val="clear" w:color="auto" w:fill="C7C8CC"/>
            <w:vAlign w:val="top"/>
          </w:tcPr>
          <w:p>
            <w:pPr>
              <w:widowControl w:val="0"/>
              <w:rPr>
                <w:sz w:val="10"/>
                <w:szCs w:val="10"/>
              </w:rPr>
            </w:pPr>
          </w:p>
        </w:tc>
        <w:tc>
          <w:tcPr>
            <w:tcBorders>
              <w:bottom w:val="single" w:sz="4"/>
            </w:tcBorders>
            <w:shd w:val="clear" w:color="auto" w:fill="C7C8CC"/>
            <w:vAlign w:val="top"/>
          </w:tcPr>
          <w:p>
            <w:pPr>
              <w:widowControl w:val="0"/>
              <w:rPr>
                <w:sz w:val="10"/>
                <w:szCs w:val="10"/>
              </w:rPr>
            </w:pPr>
          </w:p>
        </w:tc>
      </w:tr>
    </w:tbl>
    <w:p>
      <w:pPr>
        <w:widowControl w:val="0"/>
        <w:spacing w:after="179" w:line="1" w:lineRule="exact"/>
      </w:pPr>
    </w:p>
    <w:p>
      <w:pPr>
        <w:widowControl w:val="0"/>
        <w:spacing w:line="1" w:lineRule="exact"/>
      </w:pPr>
    </w:p>
    <w:tbl>
      <w:tblPr>
        <w:tblOverlap w:val="never"/>
        <w:jc w:val="left"/>
        <w:tblLayout w:type="fixed"/>
      </w:tblPr>
      <w:tblGrid>
        <w:gridCol w:w="1493"/>
        <w:gridCol w:w="1507"/>
        <w:gridCol w:w="950"/>
        <w:gridCol w:w="1493"/>
        <w:gridCol w:w="902"/>
        <w:gridCol w:w="931"/>
      </w:tblGrid>
      <w:tr>
        <w:trPr>
          <w:trHeight w:val="278" w:hRule="exact"/>
        </w:trPr>
        <w:tc>
          <w:tcPr>
            <w:vMerge w:val="restart"/>
            <w:tcBorders/>
            <w:shd w:val="clear" w:color="auto" w:fill="3B3C3F"/>
            <w:vAlign w:val="bottom"/>
          </w:tcPr>
          <w:p>
            <w:pPr>
              <w:pStyle w:val="Style11"/>
              <w:keepNext w:val="0"/>
              <w:keepLines w:val="0"/>
              <w:widowControl w:val="0"/>
              <w:pBdr>
                <w:top w:val="single" w:sz="0" w:space="0" w:color="47474C"/>
                <w:left w:val="single" w:sz="0" w:space="0" w:color="47474C"/>
                <w:bottom w:val="single" w:sz="0" w:space="0" w:color="47474C"/>
                <w:right w:val="single" w:sz="0" w:space="0" w:color="47474C"/>
              </w:pBdr>
              <w:shd w:val="clear" w:color="auto" w:fill="47474C"/>
              <w:bidi w:val="0"/>
              <w:spacing w:before="0" w:after="0" w:line="240" w:lineRule="auto"/>
              <w:ind w:left="0" w:right="0" w:firstLine="0"/>
              <w:jc w:val="center"/>
              <w:rPr>
                <w:sz w:val="14"/>
                <w:szCs w:val="14"/>
              </w:rPr>
            </w:pPr>
            <w:r>
              <w:rPr>
                <w:rFonts w:ascii="Arial" w:eastAsia="Arial" w:hAnsi="Arial" w:cs="Arial"/>
                <w:b/>
                <w:bCs/>
                <w:color w:val="FFFFFF"/>
                <w:spacing w:val="0"/>
                <w:w w:val="100"/>
                <w:position w:val="0"/>
                <w:sz w:val="14"/>
                <w:szCs w:val="14"/>
                <w:shd w:val="clear" w:color="auto" w:fill="auto"/>
                <w:lang w:val="pt-BR" w:eastAsia="pt-BR" w:bidi="pt-BR"/>
              </w:rPr>
              <w:t>Nome</w:t>
            </w:r>
          </w:p>
        </w:tc>
        <w:tc>
          <w:tcPr>
            <w:vMerge w:val="restart"/>
            <w:tcBorders>
              <w:left w:val="single" w:sz="4"/>
            </w:tcBorders>
            <w:shd w:val="clear" w:color="auto" w:fill="3B3C3F"/>
            <w:vAlign w:val="bottom"/>
          </w:tcPr>
          <w:p>
            <w:pPr>
              <w:pStyle w:val="Style11"/>
              <w:keepNext w:val="0"/>
              <w:keepLines w:val="0"/>
              <w:widowControl w:val="0"/>
              <w:pBdr>
                <w:top w:val="single" w:sz="0" w:space="0" w:color="47484C"/>
                <w:left w:val="single" w:sz="0" w:space="0" w:color="47484C"/>
                <w:bottom w:val="single" w:sz="0" w:space="0" w:color="47484C"/>
                <w:right w:val="single" w:sz="0" w:space="0" w:color="47484C"/>
              </w:pBdr>
              <w:shd w:val="clear" w:color="auto" w:fill="47484C"/>
              <w:bidi w:val="0"/>
              <w:spacing w:before="0" w:after="80" w:line="240" w:lineRule="auto"/>
              <w:ind w:left="0" w:right="0" w:firstLine="0"/>
              <w:jc w:val="center"/>
              <w:rPr>
                <w:sz w:val="14"/>
                <w:szCs w:val="14"/>
              </w:rPr>
            </w:pPr>
            <w:r>
              <w:rPr>
                <w:rFonts w:ascii="Arial" w:eastAsia="Arial" w:hAnsi="Arial" w:cs="Arial"/>
                <w:b/>
                <w:bCs/>
                <w:color w:val="FFFFFF"/>
                <w:spacing w:val="0"/>
                <w:w w:val="100"/>
                <w:position w:val="0"/>
                <w:sz w:val="14"/>
                <w:szCs w:val="14"/>
                <w:shd w:val="clear" w:color="auto" w:fill="auto"/>
                <w:lang w:val="pt-BR" w:eastAsia="pt-BR" w:bidi="pt-BR"/>
              </w:rPr>
              <w:t>Retorno</w:t>
            </w:r>
          </w:p>
          <w:p>
            <w:pPr>
              <w:pStyle w:val="Style11"/>
              <w:keepNext w:val="0"/>
              <w:keepLines w:val="0"/>
              <w:widowControl w:val="0"/>
              <w:pBdr>
                <w:top w:val="single" w:sz="0" w:space="0" w:color="47484C"/>
                <w:left w:val="single" w:sz="0" w:space="0" w:color="47484C"/>
                <w:bottom w:val="single" w:sz="0" w:space="0" w:color="47484C"/>
                <w:right w:val="single" w:sz="0" w:space="0" w:color="47484C"/>
              </w:pBdr>
              <w:shd w:val="clear" w:color="auto" w:fill="47484C"/>
              <w:bidi w:val="0"/>
              <w:spacing w:before="0" w:after="0" w:line="240" w:lineRule="auto"/>
              <w:ind w:left="0" w:right="0" w:firstLine="0"/>
              <w:jc w:val="center"/>
              <w:rPr>
                <w:sz w:val="14"/>
                <w:szCs w:val="14"/>
              </w:rPr>
            </w:pPr>
            <w:r>
              <w:rPr>
                <w:rFonts w:ascii="Arial" w:eastAsia="Arial" w:hAnsi="Arial" w:cs="Arial"/>
                <w:b/>
                <w:bCs/>
                <w:color w:val="FFFFFF"/>
                <w:spacing w:val="0"/>
                <w:w w:val="100"/>
                <w:position w:val="0"/>
                <w:sz w:val="14"/>
                <w:szCs w:val="14"/>
                <w:shd w:val="clear" w:color="auto" w:fill="auto"/>
                <w:lang w:val="pt-BR" w:eastAsia="pt-BR" w:bidi="pt-BR"/>
              </w:rPr>
              <w:t>Semestre</w:t>
            </w:r>
          </w:p>
        </w:tc>
        <w:tc>
          <w:tcPr>
            <w:vMerge w:val="restart"/>
            <w:tcBorders>
              <w:left w:val="single" w:sz="4"/>
            </w:tcBorders>
            <w:shd w:val="clear" w:color="auto" w:fill="3B3C3F"/>
            <w:vAlign w:val="bottom"/>
          </w:tcPr>
          <w:p>
            <w:pPr>
              <w:pStyle w:val="Style11"/>
              <w:keepNext w:val="0"/>
              <w:keepLines w:val="0"/>
              <w:widowControl w:val="0"/>
              <w:pBdr>
                <w:top w:val="single" w:sz="0" w:space="0" w:color="46474C"/>
                <w:left w:val="single" w:sz="0" w:space="0" w:color="46474C"/>
                <w:bottom w:val="single" w:sz="0" w:space="0" w:color="46474C"/>
                <w:right w:val="single" w:sz="0" w:space="0" w:color="46474C"/>
              </w:pBdr>
              <w:shd w:val="clear" w:color="auto" w:fill="46474C"/>
              <w:bidi w:val="0"/>
              <w:spacing w:before="0" w:after="80" w:line="240" w:lineRule="auto"/>
              <w:ind w:left="0" w:right="0" w:firstLine="0"/>
              <w:jc w:val="center"/>
              <w:rPr>
                <w:sz w:val="14"/>
                <w:szCs w:val="14"/>
              </w:rPr>
            </w:pPr>
            <w:r>
              <w:rPr>
                <w:rFonts w:ascii="Arial" w:eastAsia="Arial" w:hAnsi="Arial" w:cs="Arial"/>
                <w:b/>
                <w:bCs/>
                <w:color w:val="FFFFFF"/>
                <w:spacing w:val="0"/>
                <w:w w:val="100"/>
                <w:position w:val="0"/>
                <w:sz w:val="14"/>
                <w:szCs w:val="14"/>
                <w:shd w:val="clear" w:color="auto" w:fill="auto"/>
                <w:lang w:val="pt-BR" w:eastAsia="pt-BR" w:bidi="pt-BR"/>
              </w:rPr>
              <w:t>Retorno</w:t>
            </w:r>
          </w:p>
          <w:p>
            <w:pPr>
              <w:pStyle w:val="Style11"/>
              <w:keepNext w:val="0"/>
              <w:keepLines w:val="0"/>
              <w:widowControl w:val="0"/>
              <w:pBdr>
                <w:top w:val="single" w:sz="0" w:space="0" w:color="46474C"/>
                <w:left w:val="single" w:sz="0" w:space="0" w:color="46474C"/>
                <w:bottom w:val="single" w:sz="0" w:space="0" w:color="46474C"/>
                <w:right w:val="single" w:sz="0" w:space="0" w:color="46474C"/>
              </w:pBdr>
              <w:shd w:val="clear" w:color="auto" w:fill="46474C"/>
              <w:bidi w:val="0"/>
              <w:spacing w:before="0" w:after="0" w:line="240" w:lineRule="auto"/>
              <w:ind w:left="0" w:right="0" w:firstLine="0"/>
              <w:jc w:val="center"/>
              <w:rPr>
                <w:sz w:val="14"/>
                <w:szCs w:val="14"/>
              </w:rPr>
            </w:pPr>
            <w:r>
              <w:rPr>
                <w:rFonts w:ascii="Arial" w:eastAsia="Arial" w:hAnsi="Arial" w:cs="Arial"/>
                <w:b/>
                <w:bCs/>
                <w:color w:val="FFFFFF"/>
                <w:spacing w:val="0"/>
                <w:w w:val="100"/>
                <w:position w:val="0"/>
                <w:sz w:val="14"/>
                <w:szCs w:val="14"/>
                <w:shd w:val="clear" w:color="auto" w:fill="auto"/>
                <w:lang w:val="pt-BR" w:eastAsia="pt-BR" w:bidi="pt-BR"/>
              </w:rPr>
              <w:t>No ano</w:t>
            </w:r>
          </w:p>
        </w:tc>
        <w:tc>
          <w:tcPr>
            <w:vMerge w:val="restart"/>
            <w:tcBorders/>
            <w:shd w:val="clear" w:color="auto" w:fill="3B3C3F"/>
            <w:vAlign w:val="bottom"/>
          </w:tcPr>
          <w:p>
            <w:pPr>
              <w:pStyle w:val="Style11"/>
              <w:keepNext w:val="0"/>
              <w:keepLines w:val="0"/>
              <w:widowControl w:val="0"/>
              <w:pBdr>
                <w:top w:val="single" w:sz="0" w:space="0" w:color="47474C"/>
                <w:left w:val="single" w:sz="0" w:space="0" w:color="47474C"/>
                <w:bottom w:val="single" w:sz="0" w:space="0" w:color="47474C"/>
                <w:right w:val="single" w:sz="0" w:space="0" w:color="47474C"/>
              </w:pBdr>
              <w:shd w:val="clear" w:color="auto" w:fill="47474C"/>
              <w:bidi w:val="0"/>
              <w:spacing w:before="0" w:after="0" w:line="240" w:lineRule="auto"/>
              <w:ind w:left="0" w:right="0" w:firstLine="0"/>
              <w:jc w:val="center"/>
              <w:rPr>
                <w:sz w:val="14"/>
                <w:szCs w:val="14"/>
              </w:rPr>
            </w:pPr>
            <w:r>
              <w:rPr>
                <w:rFonts w:ascii="Arial" w:eastAsia="Arial" w:hAnsi="Arial" w:cs="Arial"/>
                <w:b/>
                <w:bCs/>
                <w:color w:val="FFFFFF"/>
                <w:spacing w:val="0"/>
                <w:w w:val="100"/>
                <w:position w:val="0"/>
                <w:sz w:val="14"/>
                <w:szCs w:val="14"/>
                <w:shd w:val="clear" w:color="auto" w:fill="auto"/>
                <w:lang w:val="pt-BR" w:eastAsia="pt-BR" w:bidi="pt-BR"/>
              </w:rPr>
              <w:t>Nome</w:t>
            </w:r>
          </w:p>
        </w:tc>
        <w:tc>
          <w:tcPr>
            <w:gridSpan w:val="2"/>
            <w:tcBorders>
              <w:left w:val="single" w:sz="4"/>
            </w:tcBorders>
            <w:shd w:val="clear" w:color="auto" w:fill="3B3C3F"/>
            <w:vAlign w:val="bottom"/>
          </w:tcPr>
          <w:p>
            <w:pPr>
              <w:pStyle w:val="Style11"/>
              <w:keepNext w:val="0"/>
              <w:keepLines w:val="0"/>
              <w:widowControl w:val="0"/>
              <w:pBdr>
                <w:top w:val="single" w:sz="0" w:space="0" w:color="47474C"/>
                <w:left w:val="single" w:sz="0" w:space="0" w:color="47474C"/>
                <w:bottom w:val="single" w:sz="0" w:space="0" w:color="47474C"/>
                <w:right w:val="single" w:sz="0" w:space="0" w:color="47474C"/>
              </w:pBdr>
              <w:shd w:val="clear" w:color="auto" w:fill="47474C"/>
              <w:bidi w:val="0"/>
              <w:spacing w:before="0" w:after="0" w:line="240" w:lineRule="auto"/>
              <w:ind w:left="0" w:right="0" w:firstLine="0"/>
              <w:jc w:val="center"/>
              <w:rPr>
                <w:sz w:val="14"/>
                <w:szCs w:val="14"/>
              </w:rPr>
            </w:pPr>
            <w:r>
              <w:rPr>
                <w:rFonts w:ascii="Arial" w:eastAsia="Arial" w:hAnsi="Arial" w:cs="Arial"/>
                <w:b/>
                <w:bCs/>
                <w:color w:val="FFFFFF"/>
                <w:spacing w:val="0"/>
                <w:w w:val="100"/>
                <w:position w:val="0"/>
                <w:sz w:val="14"/>
                <w:szCs w:val="14"/>
                <w:shd w:val="clear" w:color="auto" w:fill="auto"/>
                <w:lang w:val="pt-BR" w:eastAsia="pt-BR" w:bidi="pt-BR"/>
              </w:rPr>
              <w:t>Retorno</w:t>
            </w:r>
          </w:p>
        </w:tc>
      </w:tr>
      <w:tr>
        <w:trPr>
          <w:trHeight w:val="202" w:hRule="exact"/>
        </w:trPr>
        <w:tc>
          <w:tcPr>
            <w:vMerge/>
            <w:tcBorders/>
            <w:shd w:val="clear" w:color="auto" w:fill="3B3C3F"/>
            <w:vAlign w:val="bottom"/>
          </w:tcPr>
          <w:p>
            <w:pPr/>
          </w:p>
        </w:tc>
        <w:tc>
          <w:tcPr>
            <w:vMerge/>
            <w:tcBorders>
              <w:left w:val="single" w:sz="4"/>
            </w:tcBorders>
            <w:shd w:val="clear" w:color="auto" w:fill="3B3C3F"/>
            <w:vAlign w:val="bottom"/>
          </w:tcPr>
          <w:p>
            <w:pPr/>
          </w:p>
        </w:tc>
        <w:tc>
          <w:tcPr>
            <w:vMerge/>
            <w:tcBorders>
              <w:left w:val="single" w:sz="4"/>
            </w:tcBorders>
            <w:shd w:val="clear" w:color="auto" w:fill="3B3C3F"/>
            <w:vAlign w:val="bottom"/>
          </w:tcPr>
          <w:p>
            <w:pPr/>
          </w:p>
        </w:tc>
        <w:tc>
          <w:tcPr>
            <w:vMerge/>
            <w:tcBorders/>
            <w:shd w:val="clear" w:color="auto" w:fill="3B3C3F"/>
            <w:vAlign w:val="bottom"/>
          </w:tcPr>
          <w:p>
            <w:pPr/>
          </w:p>
        </w:tc>
        <w:tc>
          <w:tcPr>
            <w:tcBorders>
              <w:left w:val="single" w:sz="4"/>
            </w:tcBorders>
            <w:shd w:val="clear" w:color="auto" w:fill="3B3C3F"/>
            <w:vAlign w:val="top"/>
          </w:tcPr>
          <w:p>
            <w:pPr>
              <w:pStyle w:val="Style11"/>
              <w:keepNext w:val="0"/>
              <w:keepLines w:val="0"/>
              <w:widowControl w:val="0"/>
              <w:pBdr>
                <w:top w:val="single" w:sz="0" w:space="0" w:color="46474A"/>
                <w:left w:val="single" w:sz="0" w:space="0" w:color="46474A"/>
                <w:bottom w:val="single" w:sz="0" w:space="0" w:color="46474A"/>
                <w:right w:val="single" w:sz="0" w:space="0" w:color="46474A"/>
              </w:pBdr>
              <w:shd w:val="clear" w:color="auto" w:fill="46474A"/>
              <w:bidi w:val="0"/>
              <w:spacing w:before="0" w:after="0" w:line="240" w:lineRule="auto"/>
              <w:ind w:left="0" w:right="0" w:firstLine="0"/>
              <w:jc w:val="center"/>
              <w:rPr>
                <w:sz w:val="15"/>
                <w:szCs w:val="15"/>
              </w:rPr>
            </w:pPr>
            <w:r>
              <w:rPr>
                <w:rFonts w:ascii="Arial" w:eastAsia="Arial" w:hAnsi="Arial" w:cs="Arial"/>
                <w:color w:val="FFFFFF"/>
                <w:spacing w:val="0"/>
                <w:w w:val="100"/>
                <w:position w:val="0"/>
                <w:sz w:val="15"/>
                <w:szCs w:val="15"/>
                <w:shd w:val="clear" w:color="auto" w:fill="auto"/>
                <w:lang w:val="pt-BR" w:eastAsia="pt-BR" w:bidi="pt-BR"/>
              </w:rPr>
              <w:t>Semestre</w:t>
            </w:r>
          </w:p>
        </w:tc>
        <w:tc>
          <w:tcPr>
            <w:tcBorders/>
            <w:shd w:val="clear" w:color="auto" w:fill="3B3C3F"/>
            <w:vAlign w:val="top"/>
          </w:tcPr>
          <w:p>
            <w:pPr>
              <w:pStyle w:val="Style11"/>
              <w:keepNext w:val="0"/>
              <w:keepLines w:val="0"/>
              <w:widowControl w:val="0"/>
              <w:pBdr>
                <w:top w:val="single" w:sz="0" w:space="0" w:color="46474B"/>
                <w:left w:val="single" w:sz="0" w:space="0" w:color="46474B"/>
                <w:bottom w:val="single" w:sz="0" w:space="0" w:color="46474B"/>
                <w:right w:val="single" w:sz="0" w:space="0" w:color="46474B"/>
              </w:pBdr>
              <w:shd w:val="clear" w:color="auto" w:fill="46474B"/>
              <w:bidi w:val="0"/>
              <w:spacing w:before="0" w:after="0" w:line="240" w:lineRule="auto"/>
              <w:ind w:left="0" w:right="0" w:firstLine="0"/>
              <w:jc w:val="right"/>
              <w:rPr>
                <w:sz w:val="14"/>
                <w:szCs w:val="14"/>
              </w:rPr>
            </w:pPr>
            <w:r>
              <w:rPr>
                <w:rFonts w:ascii="Arial" w:eastAsia="Arial" w:hAnsi="Arial" w:cs="Arial"/>
                <w:b/>
                <w:bCs/>
                <w:color w:val="FFFFFF"/>
                <w:spacing w:val="0"/>
                <w:w w:val="100"/>
                <w:position w:val="0"/>
                <w:sz w:val="14"/>
                <w:szCs w:val="14"/>
                <w:shd w:val="clear" w:color="auto" w:fill="auto"/>
                <w:lang w:val="pt-BR" w:eastAsia="pt-BR" w:bidi="pt-BR"/>
              </w:rPr>
              <w:t>No ano 1</w:t>
            </w:r>
          </w:p>
        </w:tc>
      </w:tr>
      <w:tr>
        <w:trPr>
          <w:trHeight w:val="269" w:hRule="exact"/>
        </w:trPr>
        <w:tc>
          <w:tcPr>
            <w:gridSpan w:val="6"/>
            <w:tcBorders>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t-BR" w:eastAsia="pt-BR" w:bidi="pt-BR"/>
              </w:rPr>
              <w:t>RENDA VARIÁVEL</w:t>
            </w:r>
          </w:p>
        </w:tc>
      </w:tr>
      <w:tr>
        <w:trPr>
          <w:trHeight w:val="264" w:hRule="exact"/>
        </w:trPr>
        <w:tc>
          <w:tcPr>
            <w:gridSpan w:val="3"/>
            <w:tcBorders>
              <w:top w:val="single" w:sz="4"/>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Doméstico</w:t>
            </w:r>
          </w:p>
        </w:tc>
        <w:tc>
          <w:tcPr>
            <w:gridSpan w:val="3"/>
            <w:tcBorders>
              <w:top w:val="single" w:sz="4"/>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EXTERIOR</w:t>
            </w:r>
          </w:p>
        </w:tc>
      </w:tr>
      <w:tr>
        <w:trPr>
          <w:trHeight w:val="245" w:hRule="exact"/>
        </w:trPr>
        <w:tc>
          <w:tcPr>
            <w:tcBorders>
              <w:top w:val="single" w:sz="4"/>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Ibovespa</w:t>
            </w:r>
          </w:p>
        </w:tc>
        <w:tc>
          <w:tcPr>
            <w:tcBorders>
              <w:top w:val="single" w:sz="4"/>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16,04%</w:t>
            </w:r>
          </w:p>
        </w:tc>
        <w:tc>
          <w:tcPr>
            <w:tcBorders>
              <w:top w:val="single" w:sz="4"/>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33,95%</w:t>
            </w:r>
          </w:p>
        </w:tc>
        <w:tc>
          <w:tcPr>
            <w:tcBorders>
              <w:top w:val="single" w:sz="4"/>
              <w:lef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rPr>
              <w:t xml:space="preserve">MSCI </w:t>
            </w:r>
            <w:r>
              <w:rPr>
                <w:rFonts w:ascii="Arial" w:eastAsia="Arial" w:hAnsi="Arial" w:cs="Arial"/>
                <w:color w:val="000000"/>
                <w:spacing w:val="0"/>
                <w:w w:val="100"/>
                <w:position w:val="0"/>
                <w:sz w:val="15"/>
                <w:szCs w:val="15"/>
                <w:shd w:val="clear" w:color="auto" w:fill="auto"/>
                <w:lang w:val="pt-BR" w:eastAsia="pt-BR" w:bidi="pt-BR"/>
              </w:rPr>
              <w:t>WORLD</w:t>
            </w:r>
          </w:p>
        </w:tc>
        <w:tc>
          <w:tcPr>
            <w:tcBorders>
              <w:top w:val="single" w:sz="4"/>
              <w:lef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10,99%</w:t>
            </w:r>
          </w:p>
        </w:tc>
        <w:tc>
          <w:tcPr>
            <w:tcBorders>
              <w:top w:val="single" w:sz="4"/>
              <w:left w:val="single" w:sz="4"/>
              <w:righ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6,47%</w:t>
            </w:r>
          </w:p>
        </w:tc>
      </w:tr>
      <w:tr>
        <w:trPr>
          <w:trHeight w:val="254" w:hRule="exact"/>
        </w:trPr>
        <w:tc>
          <w:tcPr>
            <w:tcBorders>
              <w:lef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IBX</w:t>
            </w:r>
          </w:p>
        </w:tc>
        <w:tc>
          <w:tcPr>
            <w:tcBorders>
              <w:lef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15,81%</w:t>
            </w:r>
          </w:p>
        </w:tc>
        <w:tc>
          <w:tcPr>
            <w:tcBorders>
              <w:left w:val="single" w:sz="4"/>
            </w:tcBorders>
            <w:shd w:val="clear" w:color="auto" w:fill="C7C8CC"/>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33,45%</w:t>
            </w:r>
          </w:p>
        </w:tc>
        <w:tc>
          <w:tcPr>
            <w:tcBorders>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S&amp;P 500</w:t>
            </w:r>
          </w:p>
        </w:tc>
        <w:tc>
          <w:tcPr>
            <w:tcBorders>
              <w:lef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11,24%</w:t>
            </w:r>
          </w:p>
        </w:tc>
        <w:tc>
          <w:tcPr>
            <w:tcBorders>
              <w:left w:val="single" w:sz="4"/>
              <w:right w:val="single" w:sz="4"/>
            </w:tcBorders>
            <w:shd w:val="clear" w:color="auto" w:fill="FFFFFF"/>
            <w:vAlign w:val="bottom"/>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3,42%</w:t>
            </w:r>
          </w:p>
        </w:tc>
      </w:tr>
      <w:tr>
        <w:trPr>
          <w:trHeight w:val="274" w:hRule="exact"/>
        </w:trPr>
        <w:tc>
          <w:tcPr>
            <w:tcBorders>
              <w:left w:val="single" w:sz="4"/>
              <w:bottom w:val="single" w:sz="4"/>
            </w:tcBorders>
            <w:shd w:val="clear" w:color="auto" w:fill="C7C8CC"/>
            <w:vAlign w:val="center"/>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IBX-50</w:t>
            </w:r>
          </w:p>
        </w:tc>
        <w:tc>
          <w:tcPr>
            <w:tcBorders>
              <w:left w:val="single" w:sz="4"/>
              <w:bottom w:val="single" w:sz="4"/>
            </w:tcBorders>
            <w:shd w:val="clear" w:color="auto" w:fill="C7C8CC"/>
            <w:vAlign w:val="center"/>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16,12%</w:t>
            </w:r>
          </w:p>
        </w:tc>
        <w:tc>
          <w:tcPr>
            <w:tcBorders>
              <w:left w:val="single" w:sz="4"/>
              <w:bottom w:val="single" w:sz="4"/>
            </w:tcBorders>
            <w:shd w:val="clear" w:color="auto" w:fill="C7C8CC"/>
            <w:vAlign w:val="center"/>
          </w:tcPr>
          <w:p>
            <w:pPr>
              <w:pStyle w:val="Style11"/>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32,11%</w:t>
            </w:r>
          </w:p>
        </w:tc>
        <w:tc>
          <w:tcPr>
            <w:gridSpan w:val="3"/>
            <w:tcBorders>
              <w:top w:val="single" w:sz="4"/>
              <w:left w:val="single" w:sz="4"/>
            </w:tcBorders>
            <w:shd w:val="clear" w:color="auto" w:fill="FFFFFF"/>
            <w:vAlign w:val="top"/>
          </w:tcPr>
          <w:p>
            <w:pPr>
              <w:widowControl w:val="0"/>
              <w:rPr>
                <w:sz w:val="10"/>
                <w:szCs w:val="10"/>
              </w:rPr>
            </w:pPr>
          </w:p>
        </w:tc>
      </w:tr>
    </w:tbl>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Imagem 6- Fonte: REFERÊNCIA</w:t>
      </w:r>
    </w:p>
    <w:p>
      <w:pPr>
        <w:widowControl w:val="0"/>
        <w:spacing w:after="779" w:line="1" w:lineRule="exact"/>
      </w:pPr>
    </w:p>
    <w:p>
      <w:pPr>
        <w:pStyle w:val="Style16"/>
        <w:keepNext/>
        <w:keepLines/>
        <w:widowControl w:val="0"/>
        <w:shd w:val="clear" w:color="auto" w:fill="auto"/>
        <w:bidi w:val="0"/>
        <w:spacing w:before="0"/>
        <w:ind w:left="0" w:right="0" w:firstLine="0"/>
        <w:jc w:val="center"/>
      </w:pPr>
      <w:bookmarkStart w:id="14" w:name="bookmark14"/>
      <w:r>
        <w:rPr>
          <w:rFonts w:ascii="Times New Roman" w:eastAsia="Times New Roman" w:hAnsi="Times New Roman" w:cs="Times New Roman"/>
          <w:color w:val="000000"/>
          <w:spacing w:val="0"/>
          <w:w w:val="100"/>
          <w:position w:val="0"/>
          <w:sz w:val="24"/>
          <w:szCs w:val="24"/>
          <w:shd w:val="clear" w:color="auto" w:fill="auto"/>
          <w:lang w:val="pt-BR" w:eastAsia="pt-BR" w:bidi="pt-BR"/>
        </w:rPr>
        <w:t>CONCLUSÃO E RECOMENDAÇÕES</w:t>
      </w:r>
      <w:bookmarkEnd w:id="14"/>
    </w:p>
    <w:p>
      <w:pPr>
        <w:pStyle w:val="Style7"/>
        <w:keepNext w:val="0"/>
        <w:keepLines w:val="0"/>
        <w:widowControl w:val="0"/>
        <w:shd w:val="clear" w:color="auto" w:fill="auto"/>
        <w:bidi w:val="0"/>
        <w:spacing w:before="0" w:line="389" w:lineRule="auto"/>
        <w:ind w:left="0" w:right="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Com base na análise dos relatórios da Consultoria Referência e no acompanhamento mensal realizado pelo gestor, Comitê de Investimentos e Conselhos, conclui- se que, no segundo semestre de 2025, os investimentos do RPPS atenderam às normas vigentes e à Política de Investimentos. Verificou-se o cumprimento das metas, o enquadramento dos</w:t>
        <w:br w:type="page"/>
      </w:r>
      <w:r>
        <w:rPr>
          <w:rFonts w:ascii="Times New Roman" w:eastAsia="Times New Roman" w:hAnsi="Times New Roman" w:cs="Times New Roman"/>
          <w:color w:val="000000"/>
          <w:spacing w:val="0"/>
          <w:w w:val="100"/>
          <w:position w:val="0"/>
          <w:shd w:val="clear" w:color="auto" w:fill="auto"/>
          <w:lang w:val="pt-PT" w:eastAsia="pt-PT" w:bidi="pt-PT"/>
        </w:rPr>
        <w:t>ativos e a regularidade da gestão, não sendo identificadas deficiências ou irregularidades no período.</w:t>
      </w:r>
    </w:p>
    <w:p>
      <w:pPr>
        <w:pStyle w:val="Style7"/>
        <w:keepNext w:val="0"/>
        <w:keepLines w:val="0"/>
        <w:widowControl w:val="0"/>
        <w:shd w:val="clear" w:color="auto" w:fill="auto"/>
        <w:bidi w:val="0"/>
        <w:spacing w:before="0" w:after="140" w:line="240" w:lineRule="auto"/>
        <w:ind w:left="1140" w:right="0" w:firstLine="0"/>
        <w:jc w:val="left"/>
      </w:pPr>
      <w:r>
        <w:drawing>
          <wp:anchor distT="0" distB="0" distL="0" distR="0" simplePos="0" relativeHeight="62914692" behindDoc="1" locked="0" layoutInCell="1" allowOverlap="1">
            <wp:simplePos x="0" y="0"/>
            <wp:positionH relativeFrom="margin">
              <wp:posOffset>2703195</wp:posOffset>
            </wp:positionH>
            <wp:positionV relativeFrom="margin">
              <wp:posOffset>5822950</wp:posOffset>
            </wp:positionV>
            <wp:extent cx="554990" cy="524510"/>
            <wp:wrapNone/>
            <wp:docPr id="4" name="Shape 4"/>
            <a:graphic xmlns:a="http://schemas.openxmlformats.org/drawingml/2006/main">
              <a:graphicData uri="http://schemas.openxmlformats.org/drawingml/2006/picture">
                <pic:pic xmlns:pic="http://schemas.openxmlformats.org/drawingml/2006/picture">
                  <pic:nvPicPr>
                    <pic:cNvPr id="5" name="Picture box 5"/>
                    <pic:cNvPicPr/>
                  </pic:nvPicPr>
                  <pic:blipFill>
                    <a:blip r:embed="rId8"/>
                    <a:stretch/>
                  </pic:blipFill>
                  <pic:spPr>
                    <a:xfrm>
                      <a:ext cx="554990" cy="52451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O RPPS atingiu 191,95% da meta da Política de Investimentos no exercício,</w:t>
      </w:r>
    </w:p>
    <w:p>
      <w:pPr>
        <w:pStyle w:val="Style7"/>
        <w:keepNext w:val="0"/>
        <w:keepLines w:val="0"/>
        <w:widowControl w:val="0"/>
        <w:shd w:val="clear" w:color="auto" w:fill="auto"/>
        <w:bidi w:val="0"/>
        <w:spacing w:before="0" w:after="400" w:line="394"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mantendo todos os fundos da carteira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lang w:val="pt-PT" w:eastAsia="pt-PT" w:bidi="pt-PT"/>
        </w:rPr>
        <w:t>enquadrados.</w:t>
      </w:r>
    </w:p>
    <w:p>
      <w:pPr>
        <w:pStyle w:val="Style7"/>
        <w:keepNext w:val="0"/>
        <w:keepLines w:val="0"/>
        <w:widowControl w:val="0"/>
        <w:shd w:val="clear" w:color="auto" w:fill="auto"/>
        <w:bidi w:val="0"/>
        <w:spacing w:before="0" w:line="394"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Embora a análise não tenha identificado inconformidades relevantes, </w:t>
      </w:r>
      <w:r>
        <w:rPr>
          <w:rFonts w:ascii="Times New Roman" w:eastAsia="Times New Roman" w:hAnsi="Times New Roman" w:cs="Times New Roman"/>
          <w:color w:val="000000"/>
          <w:spacing w:val="0"/>
          <w:w w:val="100"/>
          <w:position w:val="0"/>
          <w:shd w:val="clear" w:color="auto" w:fill="auto"/>
          <w:lang w:val="pt-BR" w:eastAsia="pt-BR" w:bidi="pt-BR"/>
        </w:rPr>
        <w:t xml:space="preserve">recomenda-se </w:t>
      </w:r>
      <w:r>
        <w:rPr>
          <w:rFonts w:ascii="Times New Roman" w:eastAsia="Times New Roman" w:hAnsi="Times New Roman" w:cs="Times New Roman"/>
          <w:color w:val="000000"/>
          <w:spacing w:val="0"/>
          <w:w w:val="100"/>
          <w:position w:val="0"/>
          <w:shd w:val="clear" w:color="auto" w:fill="auto"/>
          <w:lang w:val="pt-PT" w:eastAsia="pt-PT" w:bidi="pt-PT"/>
        </w:rPr>
        <w:t xml:space="preserve">a adoção das seguintes medidas, com caráter </w:t>
      </w: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 xml:space="preserve">preventivo e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 xml:space="preserve">aprimoramento </w:t>
      </w: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 xml:space="preserve">da gestão, </w:t>
      </w:r>
      <w:r>
        <w:rPr>
          <w:rFonts w:ascii="Times New Roman" w:eastAsia="Times New Roman" w:hAnsi="Times New Roman" w:cs="Times New Roman"/>
          <w:color w:val="000000"/>
          <w:spacing w:val="0"/>
          <w:w w:val="100"/>
          <w:position w:val="0"/>
          <w:shd w:val="clear" w:color="auto" w:fill="auto"/>
          <w:lang w:val="pt-PT" w:eastAsia="pt-PT" w:bidi="pt-PT"/>
        </w:rPr>
        <w:t>visando à sustentabilidade de longo prazo do RPPS:</w:t>
      </w:r>
    </w:p>
    <w:p>
      <w:pPr>
        <w:pStyle w:val="Style7"/>
        <w:keepNext w:val="0"/>
        <w:keepLines w:val="0"/>
        <w:widowControl w:val="0"/>
        <w:numPr>
          <w:ilvl w:val="0"/>
          <w:numId w:val="1"/>
        </w:numPr>
        <w:shd w:val="clear" w:color="auto" w:fill="auto"/>
        <w:tabs>
          <w:tab w:pos="735" w:val="left"/>
        </w:tabs>
        <w:bidi w:val="0"/>
        <w:spacing w:before="0" w:after="140"/>
        <w:ind w:left="740" w:right="0" w:hanging="360"/>
        <w:jc w:val="left"/>
      </w:pPr>
      <w:r>
        <w:rPr>
          <w:rFonts w:ascii="Times New Roman" w:eastAsia="Times New Roman" w:hAnsi="Times New Roman" w:cs="Times New Roman"/>
          <w:color w:val="000000"/>
          <w:spacing w:val="0"/>
          <w:w w:val="100"/>
          <w:position w:val="0"/>
          <w:shd w:val="clear" w:color="auto" w:fill="auto"/>
          <w:lang w:val="pt-PT" w:eastAsia="pt-PT" w:bidi="pt-PT"/>
        </w:rPr>
        <w:t>Avaliar a nova Resolução CMN n° 5.272, mesmo que ela não exigirá que os RPPS façam o desinvestimento imediato dos ativos, o impacto dela na carteira do RPPS;</w:t>
      </w:r>
    </w:p>
    <w:p>
      <w:pPr>
        <w:pStyle w:val="Style7"/>
        <w:keepNext w:val="0"/>
        <w:keepLines w:val="0"/>
        <w:widowControl w:val="0"/>
        <w:numPr>
          <w:ilvl w:val="0"/>
          <w:numId w:val="1"/>
        </w:numPr>
        <w:shd w:val="clear" w:color="auto" w:fill="auto"/>
        <w:tabs>
          <w:tab w:pos="735" w:val="left"/>
        </w:tabs>
        <w:bidi w:val="0"/>
        <w:spacing w:before="0" w:after="0" w:line="396" w:lineRule="auto"/>
        <w:ind w:left="740" w:right="0" w:hanging="36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Dar continuidade à estratégia de diversificação da carteira, </w:t>
      </w: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 xml:space="preserve">respeitados </w:t>
      </w:r>
      <w:r>
        <w:rPr>
          <w:rFonts w:ascii="Times New Roman" w:eastAsia="Times New Roman" w:hAnsi="Times New Roman" w:cs="Times New Roman"/>
          <w:color w:val="000000"/>
          <w:spacing w:val="0"/>
          <w:w w:val="100"/>
          <w:position w:val="0"/>
          <w:shd w:val="clear" w:color="auto" w:fill="auto"/>
          <w:lang w:val="pt-PT" w:eastAsia="pt-PT" w:bidi="pt-PT"/>
        </w:rPr>
        <w:t>os limites legais desta nova resolução;</w:t>
      </w:r>
    </w:p>
    <w:p>
      <w:pPr>
        <w:pStyle w:val="Style7"/>
        <w:keepNext w:val="0"/>
        <w:keepLines w:val="0"/>
        <w:widowControl w:val="0"/>
        <w:numPr>
          <w:ilvl w:val="0"/>
          <w:numId w:val="1"/>
        </w:numPr>
        <w:shd w:val="clear" w:color="auto" w:fill="auto"/>
        <w:tabs>
          <w:tab w:pos="735" w:val="left"/>
        </w:tabs>
        <w:bidi w:val="0"/>
        <w:spacing w:before="0" w:line="396" w:lineRule="auto"/>
        <w:ind w:left="740" w:right="0" w:hanging="36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Fortalecer a </w:t>
      </w:r>
      <w:r>
        <w:rPr>
          <w:rFonts w:ascii="Times New Roman" w:eastAsia="Times New Roman" w:hAnsi="Times New Roman" w:cs="Times New Roman"/>
          <w:color w:val="000000"/>
          <w:spacing w:val="0"/>
          <w:w w:val="100"/>
          <w:position w:val="0"/>
          <w:shd w:val="clear" w:color="auto" w:fill="auto"/>
          <w:lang w:val="pt-BR" w:eastAsia="pt-BR" w:bidi="pt-BR"/>
        </w:rPr>
        <w:t xml:space="preserve">capacitação </w:t>
      </w:r>
      <w:r>
        <w:rPr>
          <w:rFonts w:ascii="Times New Roman" w:eastAsia="Times New Roman" w:hAnsi="Times New Roman" w:cs="Times New Roman"/>
          <w:color w:val="000000"/>
          <w:spacing w:val="0"/>
          <w:w w:val="100"/>
          <w:position w:val="0"/>
          <w:shd w:val="clear" w:color="auto" w:fill="auto"/>
          <w:lang w:val="pt-PT" w:eastAsia="pt-PT" w:bidi="pt-PT"/>
        </w:rPr>
        <w:t xml:space="preserve">contínua dos membros dos Conselhos e do </w:t>
      </w:r>
      <w:r>
        <w:rPr>
          <w:rFonts w:ascii="Times New Roman" w:eastAsia="Times New Roman" w:hAnsi="Times New Roman" w:cs="Times New Roman"/>
          <w:color w:val="000000"/>
          <w:spacing w:val="0"/>
          <w:w w:val="100"/>
          <w:position w:val="0"/>
          <w:shd w:val="clear" w:color="auto" w:fill="auto"/>
          <w:lang w:val="pt-BR" w:eastAsia="pt-BR" w:bidi="pt-BR"/>
        </w:rPr>
        <w:t xml:space="preserve">Comitê </w:t>
      </w:r>
      <w:r>
        <w:rPr>
          <w:rFonts w:ascii="Times New Roman" w:eastAsia="Times New Roman" w:hAnsi="Times New Roman" w:cs="Times New Roman"/>
          <w:color w:val="000000"/>
          <w:spacing w:val="0"/>
          <w:w w:val="100"/>
          <w:position w:val="0"/>
          <w:shd w:val="clear" w:color="auto" w:fill="auto"/>
          <w:lang w:val="pt-PT" w:eastAsia="pt-PT" w:bidi="pt-PT"/>
        </w:rPr>
        <w:t>de Investimentos.</w:t>
      </w:r>
    </w:p>
    <w:p>
      <w:pPr>
        <w:pStyle w:val="Style7"/>
        <w:keepNext w:val="0"/>
        <w:keepLines w:val="0"/>
        <w:widowControl w:val="0"/>
        <w:shd w:val="clear" w:color="auto" w:fill="auto"/>
        <w:bidi w:val="0"/>
        <w:spacing w:before="0" w:after="1160" w:line="389" w:lineRule="auto"/>
        <w:ind w:left="38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 adoção e a manutenção dessas recomendações contribuirão para o fortalecimento da governança, para a mitigação de riscos e assegurando a sustentabilidade do regime e a proteção dos direitos previdenciários dos servidores públicos municipais.</w:t>
      </w:r>
    </w:p>
    <w:p>
      <w:pPr>
        <w:pStyle w:val="Style7"/>
        <w:keepNext w:val="0"/>
        <w:keepLines w:val="0"/>
        <w:widowControl w:val="0"/>
        <w:shd w:val="clear" w:color="auto" w:fill="auto"/>
        <w:bidi w:val="0"/>
        <w:spacing w:before="0" w:after="52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Diretor/Presidente:</w:t>
      </w: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rPr>
        <w:t>Gerciváldó Lima Alves</w:t>
      </w:r>
    </w:p>
    <w:p>
      <w:pPr>
        <w:pStyle w:val="Style14"/>
        <w:keepNext w:val="0"/>
        <w:keepLines w:val="0"/>
        <w:widowControl w:val="0"/>
        <w:shd w:val="clear" w:color="auto" w:fill="auto"/>
        <w:bidi w:val="0"/>
        <w:spacing w:before="0" w:after="560" w:line="240" w:lineRule="auto"/>
        <w:ind w:left="0" w:right="0" w:firstLine="0"/>
        <w:jc w:val="center"/>
      </w:pPr>
      <w:r>
        <w:rPr>
          <w:color w:val="000000"/>
          <w:spacing w:val="0"/>
          <w:w w:val="100"/>
          <w:position w:val="0"/>
          <w:sz w:val="24"/>
          <w:szCs w:val="24"/>
          <w:shd w:val="clear" w:color="auto" w:fill="auto"/>
        </w:rPr>
        <w:t xml:space="preserve">Presidente do </w:t>
      </w:r>
      <w:r>
        <w:rPr>
          <w:color w:val="000000"/>
          <w:spacing w:val="0"/>
          <w:w w:val="100"/>
          <w:position w:val="0"/>
          <w:sz w:val="24"/>
          <w:szCs w:val="24"/>
          <w:shd w:val="clear" w:color="auto" w:fill="auto"/>
          <w:lang w:val="pt-BR" w:eastAsia="pt-BR" w:bidi="pt-BR"/>
        </w:rPr>
        <w:t xml:space="preserve">Comitê </w:t>
      </w:r>
      <w:r>
        <w:rPr>
          <w:color w:val="000000"/>
          <w:spacing w:val="0"/>
          <w:w w:val="100"/>
          <w:position w:val="0"/>
          <w:sz w:val="24"/>
          <w:szCs w:val="24"/>
          <w:shd w:val="clear" w:color="auto" w:fill="auto"/>
        </w:rPr>
        <w:t>de Investimentos</w:t>
      </w:r>
    </w:p>
    <w:p>
      <w:pPr>
        <w:pStyle w:val="Style7"/>
        <w:keepNext w:val="0"/>
        <w:keepLines w:val="0"/>
        <w:widowControl w:val="0"/>
        <w:shd w:val="clear" w:color="auto" w:fill="auto"/>
        <w:bidi w:val="0"/>
        <w:spacing w:before="0" w:after="36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Gestor de Recursos:</w:t>
      </w:r>
    </w:p>
    <w:p>
      <w:pPr>
        <w:widowControl w:val="0"/>
        <w:jc w:val="center"/>
        <w:rPr>
          <w:sz w:val="2"/>
          <w:szCs w:val="2"/>
        </w:rPr>
      </w:pPr>
      <w:r>
        <w:drawing>
          <wp:inline>
            <wp:extent cx="194945" cy="237490"/>
            <wp:docPr id="6" name="Picutre 6"/>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stretch/>
                  </pic:blipFill>
                  <pic:spPr>
                    <a:xfrm>
                      <a:ext cx="194945" cy="237490"/>
                    </a:xfrm>
                    <a:prstGeom prst="rect"/>
                  </pic:spPr>
                </pic:pic>
              </a:graphicData>
            </a:graphic>
          </wp:inline>
        </w:drawing>
      </w:r>
    </w:p>
    <w:p>
      <w:pPr>
        <w:widowControl w:val="0"/>
        <w:spacing w:after="99" w:line="1" w:lineRule="exact"/>
      </w:pPr>
    </w:p>
    <w:p>
      <w:pPr>
        <w:pStyle w:val="Style14"/>
        <w:keepNext w:val="0"/>
        <w:keepLines w:val="0"/>
        <w:widowControl w:val="0"/>
        <w:pBdr>
          <w:top w:val="single" w:sz="4" w:space="0" w:color="auto"/>
        </w:pBdr>
        <w:shd w:val="clear" w:color="auto" w:fill="auto"/>
        <w:bidi w:val="0"/>
        <w:spacing w:before="0" w:after="0" w:line="240" w:lineRule="auto"/>
        <w:ind w:left="0" w:right="0" w:firstLine="0"/>
        <w:jc w:val="center"/>
      </w:pPr>
      <w:r>
        <w:rPr>
          <w:color w:val="000000"/>
          <w:spacing w:val="0"/>
          <w:w w:val="100"/>
          <w:position w:val="0"/>
          <w:sz w:val="24"/>
          <w:szCs w:val="24"/>
          <w:shd w:val="clear" w:color="auto" w:fill="auto"/>
        </w:rPr>
        <w:t>Gerciváldó Lima Alves</w:t>
      </w:r>
    </w:p>
    <w:p>
      <w:pPr>
        <w:pStyle w:val="Style14"/>
        <w:keepNext w:val="0"/>
        <w:keepLines w:val="0"/>
        <w:widowControl w:val="0"/>
        <w:shd w:val="clear" w:color="auto" w:fill="auto"/>
        <w:bidi w:val="0"/>
        <w:spacing w:before="0" w:after="260" w:line="240" w:lineRule="auto"/>
        <w:ind w:left="0" w:right="0" w:firstLine="0"/>
        <w:jc w:val="center"/>
      </w:pPr>
      <w:r>
        <w:rPr>
          <w:color w:val="000000"/>
          <w:spacing w:val="0"/>
          <w:w w:val="100"/>
          <w:position w:val="0"/>
          <w:sz w:val="24"/>
          <w:szCs w:val="24"/>
          <w:shd w:val="clear" w:color="auto" w:fill="auto"/>
        </w:rPr>
        <w:t xml:space="preserve">Presidente do </w:t>
      </w:r>
      <w:r>
        <w:rPr>
          <w:color w:val="000000"/>
          <w:spacing w:val="0"/>
          <w:w w:val="100"/>
          <w:position w:val="0"/>
          <w:sz w:val="24"/>
          <w:szCs w:val="24"/>
          <w:shd w:val="clear" w:color="auto" w:fill="auto"/>
          <w:lang w:val="pt-BR" w:eastAsia="pt-BR" w:bidi="pt-BR"/>
        </w:rPr>
        <w:t xml:space="preserve">Comitê </w:t>
      </w:r>
      <w:r>
        <w:rPr>
          <w:color w:val="000000"/>
          <w:spacing w:val="0"/>
          <w:w w:val="100"/>
          <w:position w:val="0"/>
          <w:sz w:val="24"/>
          <w:szCs w:val="24"/>
          <w:shd w:val="clear" w:color="auto" w:fill="auto"/>
        </w:rPr>
        <w:t>de Investimentos</w:t>
      </w:r>
      <w:r>
        <w:br w:type="page"/>
      </w:r>
    </w:p>
    <w:p>
      <w:pPr>
        <w:pStyle w:val="Style14"/>
        <w:keepNext w:val="0"/>
        <w:keepLines w:val="0"/>
        <w:widowControl w:val="0"/>
        <w:pBdr>
          <w:top w:val="single" w:sz="4" w:space="0" w:color="auto"/>
        </w:pBdr>
        <w:shd w:val="clear" w:color="auto" w:fill="auto"/>
        <w:bidi w:val="0"/>
        <w:spacing w:before="0" w:after="0" w:line="240" w:lineRule="auto"/>
        <w:ind w:left="0" w:right="0" w:firstLine="0"/>
        <w:jc w:val="left"/>
      </w:pPr>
      <w:r>
        <mc:AlternateContent>
          <mc:Choice Requires="wps">
            <w:drawing>
              <wp:anchor distT="0" distB="38100" distL="114300" distR="114300" simplePos="0" relativeHeight="125829378" behindDoc="0" locked="0" layoutInCell="1" allowOverlap="1">
                <wp:simplePos x="0" y="0"/>
                <wp:positionH relativeFrom="page">
                  <wp:posOffset>1117600</wp:posOffset>
                </wp:positionH>
                <wp:positionV relativeFrom="margin">
                  <wp:posOffset>151130</wp:posOffset>
                </wp:positionV>
                <wp:extent cx="1557655" cy="186055"/>
                <wp:wrapTopAndBottom/>
                <wp:docPr id="7" name="Shape 7"/>
                <a:graphic xmlns:a="http://schemas.openxmlformats.org/drawingml/2006/main">
                  <a:graphicData uri="http://schemas.microsoft.com/office/word/2010/wordprocessingShape">
                    <wps:wsp>
                      <wps:cNvSpPr txBox="1"/>
                      <wps:spPr>
                        <a:xfrm>
                          <a:ext cx="1557655" cy="18605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Conselho Administrativo:</w:t>
                            </w:r>
                          </w:p>
                        </w:txbxContent>
                      </wps:txbx>
                      <wps:bodyPr wrap="none" lIns="0" tIns="0" rIns="0" bIns="0">
                        <a:noAutoFit/>
                      </wps:bodyPr>
                    </wps:wsp>
                  </a:graphicData>
                </a:graphic>
              </wp:anchor>
            </w:drawing>
          </mc:Choice>
          <mc:Fallback>
            <w:pict>
              <v:shape id="_x0000_s1033" type="#_x0000_t202" style="position:absolute;margin-left:88.pt;margin-top:11.9pt;width:122.65000000000001pt;height:14.65pt;z-index:-125829375;mso-wrap-distance-left:9.pt;mso-wrap-distance-right:9.pt;mso-wrap-distance-bottom:3.pt;mso-position-horizontal-relative:page;mso-position-vertical-relative:margin"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Conselho Administrativo:</w:t>
                      </w:r>
                    </w:p>
                  </w:txbxContent>
                </v:textbox>
                <w10:wrap type="topAndBottom" anchorx="page" anchory="margin"/>
              </v:shape>
            </w:pict>
          </mc:Fallback>
        </mc:AlternateContent>
      </w:r>
      <w:r>
        <w:drawing>
          <wp:anchor distT="0" distB="0" distL="0" distR="0" simplePos="0" relativeHeight="125829380" behindDoc="0" locked="0" layoutInCell="1" allowOverlap="1">
            <wp:simplePos x="0" y="0"/>
            <wp:positionH relativeFrom="page">
              <wp:posOffset>3571240</wp:posOffset>
            </wp:positionH>
            <wp:positionV relativeFrom="margin">
              <wp:posOffset>312420</wp:posOffset>
            </wp:positionV>
            <wp:extent cx="713105" cy="524510"/>
            <wp:wrapTight wrapText="bothSides">
              <wp:wrapPolygon>
                <wp:start x="0" y="0"/>
                <wp:lineTo x="21600" y="0"/>
                <wp:lineTo x="21600" y="21600"/>
                <wp:lineTo x="0" y="21600"/>
                <wp:lineTo x="0" y="0"/>
              </wp:wrapPolygon>
            </wp:wrapT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2"/>
                    <a:stretch/>
                  </pic:blipFill>
                  <pic:spPr>
                    <a:xfrm>
                      <a:ext cx="713105" cy="524510"/>
                    </a:xfrm>
                    <a:prstGeom prst="rect"/>
                  </pic:spPr>
                </pic:pic>
              </a:graphicData>
            </a:graphic>
          </wp:anchor>
        </w:drawing>
      </w:r>
      <w:r>
        <w:rPr>
          <w:color w:val="000000"/>
          <w:spacing w:val="0"/>
          <w:w w:val="100"/>
          <w:position w:val="0"/>
          <w:sz w:val="24"/>
          <w:szCs w:val="24"/>
          <w:shd w:val="clear" w:color="auto" w:fill="auto"/>
        </w:rPr>
        <w:t>Gercivaldo Lima Alves</w:t>
      </w:r>
    </w:p>
    <w:p>
      <w:pPr>
        <w:pStyle w:val="Style7"/>
        <w:keepNext w:val="0"/>
        <w:keepLines w:val="0"/>
        <w:widowControl w:val="0"/>
        <w:shd w:val="clear" w:color="auto" w:fill="auto"/>
        <w:bidi w:val="0"/>
        <w:spacing w:before="0" w:after="0" w:line="190" w:lineRule="atLeast"/>
        <w:ind w:left="-168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drawing>
          <wp:inline>
            <wp:extent cx="713105" cy="67310"/>
            <wp:docPr id="11" name="Picutre 11"/>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4"/>
                    <a:stretch/>
                  </pic:blipFill>
                  <pic:spPr>
                    <a:xfrm>
                      <a:ext cx="713105" cy="67310"/>
                    </a:xfrm>
                    <a:prstGeom prst="rect"/>
                  </pic:spPr>
                </pic:pic>
              </a:graphicData>
            </a:graphic>
          </wp:inline>
        </w:drawing>
      </w:r>
    </w:p>
    <w:p>
      <w:pPr>
        <w:pStyle w:val="Style14"/>
        <w:keepNext w:val="0"/>
        <w:keepLines w:val="0"/>
        <w:widowControl w:val="0"/>
        <w:shd w:val="clear" w:color="auto" w:fill="auto"/>
        <w:bidi w:val="0"/>
        <w:spacing w:before="0" w:after="920" w:line="180" w:lineRule="auto"/>
        <w:ind w:left="2520" w:right="0" w:firstLine="0"/>
        <w:jc w:val="both"/>
      </w:pPr>
      <w:r>
        <w:rPr>
          <w:color w:val="000000"/>
          <w:spacing w:val="0"/>
          <w:w w:val="100"/>
          <w:position w:val="0"/>
          <w:sz w:val="24"/>
          <w:szCs w:val="24"/>
          <w:shd w:val="clear" w:color="auto" w:fill="auto"/>
        </w:rPr>
        <w:t>Presidente do Conselho Administrativo</w:t>
      </w:r>
    </w:p>
    <w:p>
      <w:pPr>
        <w:pStyle w:val="Style14"/>
        <w:keepNext w:val="0"/>
        <w:keepLines w:val="0"/>
        <w:widowControl w:val="0"/>
        <w:pBdr>
          <w:top w:val="single" w:sz="4" w:space="0" w:color="auto"/>
        </w:pBdr>
        <w:shd w:val="clear" w:color="auto" w:fill="auto"/>
        <w:tabs>
          <w:tab w:pos="2603" w:val="left"/>
          <w:tab w:leader="underscore" w:pos="4816" w:val="left"/>
        </w:tabs>
        <w:bidi w:val="0"/>
        <w:spacing w:before="0" w:after="0" w:line="259" w:lineRule="auto"/>
        <w:ind w:left="1240" w:right="0" w:firstLine="0"/>
        <w:jc w:val="both"/>
        <w:rPr>
          <w:sz w:val="22"/>
          <w:szCs w:val="22"/>
        </w:rPr>
      </w:pPr>
      <w:r>
        <w:drawing>
          <wp:anchor distT="0" distB="0" distL="0" distR="0" simplePos="0" relativeHeight="125829381" behindDoc="0" locked="0" layoutInCell="1" allowOverlap="1">
            <wp:simplePos x="0" y="0"/>
            <wp:positionH relativeFrom="page">
              <wp:posOffset>1858645</wp:posOffset>
            </wp:positionH>
            <wp:positionV relativeFrom="margin">
              <wp:posOffset>1370330</wp:posOffset>
            </wp:positionV>
            <wp:extent cx="640080" cy="847090"/>
            <wp:wrapTight wrapText="right">
              <wp:wrapPolygon>
                <wp:start x="0" y="0"/>
                <wp:lineTo x="21600" y="0"/>
                <wp:lineTo x="21600" y="18325"/>
                <wp:lineTo x="20674" y="18325"/>
                <wp:lineTo x="20674" y="21600"/>
                <wp:lineTo x="0" y="21600"/>
                <wp:lineTo x="0" y="0"/>
              </wp:wrapPolygon>
            </wp:wrapTight>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6"/>
                    <a:stretch/>
                  </pic:blipFill>
                  <pic:spPr>
                    <a:xfrm>
                      <a:ext cx="640080" cy="847090"/>
                    </a:xfrm>
                    <a:prstGeom prst="rect"/>
                  </pic:spPr>
                </pic:pic>
              </a:graphicData>
            </a:graphic>
          </wp:anchor>
        </w:drawing>
      </w:r>
      <w:r>
        <w:rPr>
          <w:i/>
          <w:iCs/>
          <w:color w:val="6874B0"/>
          <w:spacing w:val="0"/>
          <w:w w:val="100"/>
          <w:position w:val="0"/>
          <w:sz w:val="22"/>
          <w:szCs w:val="22"/>
          <w:u w:val="single"/>
          <w:shd w:val="clear" w:color="auto" w:fill="auto"/>
        </w:rPr>
        <w:t>/\K ff tUe/'!</w:t>
        <w:tab/>
      </w:r>
      <w:r>
        <w:rPr>
          <w:i/>
          <w:iCs/>
          <w:color w:val="5A5C72"/>
          <w:spacing w:val="0"/>
          <w:w w:val="100"/>
          <w:position w:val="0"/>
          <w:sz w:val="22"/>
          <w:szCs w:val="22"/>
          <w:u w:val="single"/>
          <w:shd w:val="clear" w:color="auto" w:fill="auto"/>
          <w:vertAlign w:val="subscript"/>
        </w:rPr>
        <w:t>e</w:t>
      </w:r>
      <w:r>
        <w:rPr>
          <w:i/>
          <w:iCs/>
          <w:color w:val="5A5C72"/>
          <w:spacing w:val="0"/>
          <w:w w:val="100"/>
          <w:position w:val="0"/>
          <w:sz w:val="22"/>
          <w:szCs w:val="22"/>
          <w:shd w:val="clear" w:color="auto" w:fill="auto"/>
        </w:rPr>
        <w:t xml:space="preserve"> </w:t>
        <w:tab/>
      </w:r>
    </w:p>
    <w:p>
      <w:pPr>
        <w:pStyle w:val="Style14"/>
        <w:keepNext w:val="0"/>
        <w:keepLines w:val="0"/>
        <w:widowControl w:val="0"/>
        <w:shd w:val="clear" w:color="auto" w:fill="auto"/>
        <w:bidi w:val="0"/>
        <w:spacing w:before="0" w:after="920" w:line="240" w:lineRule="auto"/>
        <w:ind w:left="0" w:right="0" w:firstLine="0"/>
        <w:jc w:val="center"/>
      </w:pPr>
      <w:r>
        <w:rPr>
          <w:color w:val="000000"/>
          <w:spacing w:val="0"/>
          <w:w w:val="100"/>
          <w:position w:val="0"/>
          <w:sz w:val="24"/>
          <w:szCs w:val="24"/>
          <w:shd w:val="clear" w:color="auto" w:fill="auto"/>
        </w:rPr>
        <w:t>José Raimundo Àguiar tle Souza</w:t>
        <w:br/>
        <w:t>Diretor Financeiro do Conselho Administrativo</w:t>
      </w:r>
    </w:p>
    <w:p>
      <w:pPr>
        <w:pStyle w:val="Style11"/>
        <w:keepNext w:val="0"/>
        <w:keepLines w:val="0"/>
        <w:widowControl w:val="0"/>
        <w:pBdr>
          <w:bottom w:val="single" w:sz="4" w:space="0" w:color="auto"/>
        </w:pBdr>
        <w:shd w:val="clear" w:color="auto" w:fill="auto"/>
        <w:tabs>
          <w:tab w:leader="hyphen" w:pos="3768" w:val="left"/>
          <w:tab w:leader="hyphen" w:pos="6624" w:val="left"/>
        </w:tabs>
        <w:bidi w:val="0"/>
        <w:spacing w:before="0" w:after="0" w:line="240" w:lineRule="auto"/>
        <w:ind w:left="2520" w:right="0" w:firstLine="0"/>
        <w:jc w:val="both"/>
        <w:rPr>
          <w:sz w:val="20"/>
          <w:szCs w:val="20"/>
        </w:rPr>
      </w:pPr>
      <w:r>
        <w:rPr>
          <w:rFonts w:ascii="Arial" w:eastAsia="Arial" w:hAnsi="Arial" w:cs="Arial"/>
          <w:color w:val="000000"/>
          <w:spacing w:val="0"/>
          <w:w w:val="100"/>
          <w:position w:val="0"/>
          <w:sz w:val="20"/>
          <w:szCs w:val="20"/>
          <w:shd w:val="clear" w:color="auto" w:fill="auto"/>
        </w:rPr>
        <w:tab/>
        <w:tab/>
      </w:r>
    </w:p>
    <w:p>
      <w:pPr>
        <w:pStyle w:val="Style14"/>
        <w:keepNext w:val="0"/>
        <w:keepLines w:val="0"/>
        <w:widowControl w:val="0"/>
        <w:shd w:val="clear" w:color="auto" w:fill="auto"/>
        <w:bidi w:val="0"/>
        <w:spacing w:before="0" w:after="0" w:line="204" w:lineRule="auto"/>
        <w:ind w:left="0" w:right="0" w:firstLine="0"/>
        <w:jc w:val="center"/>
      </w:pPr>
      <w:r>
        <w:rPr>
          <w:color w:val="000000"/>
          <w:spacing w:val="0"/>
          <w:w w:val="100"/>
          <w:position w:val="0"/>
          <w:sz w:val="24"/>
          <w:szCs w:val="24"/>
          <w:shd w:val="clear" w:color="auto" w:fill="auto"/>
        </w:rPr>
        <w:t>Iracema Maia de Souza</w:t>
      </w:r>
    </w:p>
    <w:p>
      <w:pPr>
        <w:pStyle w:val="Style14"/>
        <w:keepNext w:val="0"/>
        <w:keepLines w:val="0"/>
        <w:widowControl w:val="0"/>
        <w:shd w:val="clear" w:color="auto" w:fill="auto"/>
        <w:bidi w:val="0"/>
        <w:spacing w:before="0" w:after="0" w:line="240" w:lineRule="auto"/>
        <w:ind w:left="2520" w:right="0" w:firstLine="0"/>
        <w:jc w:val="both"/>
        <w:sectPr>
          <w:footnotePr>
            <w:pos w:val="pageBottom"/>
            <w:numFmt w:val="decimal"/>
            <w:numRestart w:val="continuous"/>
          </w:footnotePr>
          <w:pgSz w:w="11900" w:h="16840"/>
          <w:pgMar w:top="1479" w:left="1722" w:right="1044" w:bottom="1362" w:header="1051" w:footer="3" w:gutter="0"/>
          <w:cols w:space="720"/>
          <w:noEndnote/>
          <w:rtlGutter w:val="0"/>
          <w:docGrid w:linePitch="360"/>
        </w:sectPr>
      </w:pPr>
      <w:r>
        <w:drawing>
          <wp:anchor distT="254000" distB="0" distL="114300" distR="114300" simplePos="0" relativeHeight="125829382" behindDoc="0" locked="0" layoutInCell="1" allowOverlap="1">
            <wp:simplePos x="0" y="0"/>
            <wp:positionH relativeFrom="page">
              <wp:posOffset>2035175</wp:posOffset>
            </wp:positionH>
            <wp:positionV relativeFrom="margin">
              <wp:posOffset>3637915</wp:posOffset>
            </wp:positionV>
            <wp:extent cx="3712210" cy="707390"/>
            <wp:wrapTopAndBottom/>
            <wp:docPr id="14" name="Shape 14"/>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8"/>
                    <a:stretch/>
                  </pic:blipFill>
                  <pic:spPr>
                    <a:xfrm>
                      <a:ext cx="3712210" cy="707390"/>
                    </a:xfrm>
                    <a:prstGeom prst="rect"/>
                  </pic:spPr>
                </pic:pic>
              </a:graphicData>
            </a:graphic>
          </wp:anchor>
        </w:drawing>
      </w:r>
      <w:r>
        <mc:AlternateContent>
          <mc:Choice Requires="wps">
            <w:drawing>
              <wp:anchor distT="482600" distB="426720" distL="559435" distR="1076960" simplePos="0" relativeHeight="125829383" behindDoc="0" locked="0" layoutInCell="1" allowOverlap="1">
                <wp:simplePos x="0" y="0"/>
                <wp:positionH relativeFrom="page">
                  <wp:posOffset>3443605</wp:posOffset>
                </wp:positionH>
                <wp:positionV relativeFrom="margin">
                  <wp:posOffset>4771390</wp:posOffset>
                </wp:positionV>
                <wp:extent cx="612775" cy="252730"/>
                <wp:wrapTopAndBottom/>
                <wp:docPr id="16" name="Shape 16"/>
                <a:graphic xmlns:a="http://schemas.openxmlformats.org/drawingml/2006/main">
                  <a:graphicData uri="http://schemas.microsoft.com/office/word/2010/wordprocessingShape">
                    <wps:wsp>
                      <wps:cNvSpPr txBox="1"/>
                      <wps:spPr>
                        <a:xfrm>
                          <a:ext cx="612775" cy="252730"/>
                        </a:xfrm>
                        <a:prstGeom prst="rect"/>
                        <a:noFill/>
                      </wps:spPr>
                      <wps:txbx>
                        <w:txbxContent>
                          <w:p>
                            <w:pPr>
                              <w:pStyle w:val="Style11"/>
                              <w:keepNext w:val="0"/>
                              <w:keepLines w:val="0"/>
                              <w:widowControl w:val="0"/>
                              <w:pBdr>
                                <w:bottom w:val="single" w:sz="4" w:space="0" w:color="auto"/>
                              </w:pBdr>
                              <w:shd w:val="clear" w:color="auto" w:fill="auto"/>
                              <w:bidi w:val="0"/>
                              <w:spacing w:before="0" w:after="0" w:line="240" w:lineRule="auto"/>
                              <w:ind w:left="0" w:right="0" w:firstLine="0"/>
                              <w:jc w:val="left"/>
                              <w:rPr>
                                <w:sz w:val="28"/>
                                <w:szCs w:val="28"/>
                              </w:rPr>
                            </w:pPr>
                            <w:r>
                              <w:rPr>
                                <w:rFonts w:ascii="Arial" w:eastAsia="Arial" w:hAnsi="Arial" w:cs="Arial"/>
                                <w:i/>
                                <w:iCs/>
                                <w:color w:val="6874B0"/>
                                <w:spacing w:val="0"/>
                                <w:w w:val="100"/>
                                <w:position w:val="0"/>
                                <w:sz w:val="28"/>
                                <w:szCs w:val="28"/>
                                <w:shd w:val="clear" w:color="auto" w:fill="auto"/>
                              </w:rPr>
                              <w:t xml:space="preserve">(2. </w:t>
                            </w:r>
                            <w:r>
                              <w:rPr>
                                <w:rFonts w:ascii="Arial" w:eastAsia="Arial" w:hAnsi="Arial" w:cs="Arial"/>
                                <w:i/>
                                <w:iCs/>
                                <w:color w:val="6874B0"/>
                                <w:spacing w:val="0"/>
                                <w:w w:val="100"/>
                                <w:position w:val="0"/>
                                <w:sz w:val="28"/>
                                <w:szCs w:val="28"/>
                                <w:shd w:val="clear" w:color="auto" w:fill="auto"/>
                                <w:vertAlign w:val="superscript"/>
                              </w:rPr>
                              <w:t>c</w:t>
                            </w:r>
                            <w:r>
                              <w:rPr>
                                <w:rFonts w:ascii="Arial" w:eastAsia="Arial" w:hAnsi="Arial" w:cs="Arial"/>
                                <w:i/>
                                <w:iCs/>
                                <w:color w:val="6874B0"/>
                                <w:spacing w:val="0"/>
                                <w:w w:val="100"/>
                                <w:position w:val="0"/>
                                <w:sz w:val="28"/>
                                <w:szCs w:val="28"/>
                                <w:shd w:val="clear" w:color="auto" w:fill="auto"/>
                              </w:rPr>
                              <w:t>^-</w:t>
                            </w:r>
                          </w:p>
                        </w:txbxContent>
                      </wps:txbx>
                      <wps:bodyPr wrap="none" lIns="0" tIns="0" rIns="0" bIns="0">
                        <a:noAutoFit/>
                      </wps:bodyPr>
                    </wps:wsp>
                  </a:graphicData>
                </a:graphic>
              </wp:anchor>
            </w:drawing>
          </mc:Choice>
          <mc:Fallback>
            <w:pict>
              <v:shape id="_x0000_s1042" type="#_x0000_t202" style="position:absolute;margin-left:271.14999999999998pt;margin-top:375.69999999999999pt;width:48.25pt;height:19.899999999999999pt;z-index:-125829370;mso-wrap-distance-left:44.049999999999997pt;mso-wrap-distance-top:38.pt;mso-wrap-distance-right:84.799999999999997pt;mso-wrap-distance-bottom:33.600000000000001pt;mso-position-horizontal-relative:page;mso-position-vertical-relative:margin" filled="f" stroked="f">
                <v:textbox inset="0,0,0,0">
                  <w:txbxContent>
                    <w:p>
                      <w:pPr>
                        <w:pStyle w:val="Style11"/>
                        <w:keepNext w:val="0"/>
                        <w:keepLines w:val="0"/>
                        <w:widowControl w:val="0"/>
                        <w:pBdr>
                          <w:bottom w:val="single" w:sz="4" w:space="0" w:color="auto"/>
                        </w:pBdr>
                        <w:shd w:val="clear" w:color="auto" w:fill="auto"/>
                        <w:bidi w:val="0"/>
                        <w:spacing w:before="0" w:after="0" w:line="240" w:lineRule="auto"/>
                        <w:ind w:left="0" w:right="0" w:firstLine="0"/>
                        <w:jc w:val="left"/>
                        <w:rPr>
                          <w:sz w:val="28"/>
                          <w:szCs w:val="28"/>
                        </w:rPr>
                      </w:pPr>
                      <w:r>
                        <w:rPr>
                          <w:rFonts w:ascii="Arial" w:eastAsia="Arial" w:hAnsi="Arial" w:cs="Arial"/>
                          <w:i/>
                          <w:iCs/>
                          <w:color w:val="6874B0"/>
                          <w:spacing w:val="0"/>
                          <w:w w:val="100"/>
                          <w:position w:val="0"/>
                          <w:sz w:val="28"/>
                          <w:szCs w:val="28"/>
                          <w:shd w:val="clear" w:color="auto" w:fill="auto"/>
                        </w:rPr>
                        <w:t xml:space="preserve">(2. </w:t>
                      </w:r>
                      <w:r>
                        <w:rPr>
                          <w:rFonts w:ascii="Arial" w:eastAsia="Arial" w:hAnsi="Arial" w:cs="Arial"/>
                          <w:i/>
                          <w:iCs/>
                          <w:color w:val="6874B0"/>
                          <w:spacing w:val="0"/>
                          <w:w w:val="100"/>
                          <w:position w:val="0"/>
                          <w:sz w:val="28"/>
                          <w:szCs w:val="28"/>
                          <w:shd w:val="clear" w:color="auto" w:fill="auto"/>
                          <w:vertAlign w:val="superscript"/>
                        </w:rPr>
                        <w:t>c</w:t>
                      </w:r>
                      <w:r>
                        <w:rPr>
                          <w:rFonts w:ascii="Arial" w:eastAsia="Arial" w:hAnsi="Arial" w:cs="Arial"/>
                          <w:i/>
                          <w:iCs/>
                          <w:color w:val="6874B0"/>
                          <w:spacing w:val="0"/>
                          <w:w w:val="100"/>
                          <w:position w:val="0"/>
                          <w:sz w:val="28"/>
                          <w:szCs w:val="28"/>
                          <w:shd w:val="clear" w:color="auto" w:fill="auto"/>
                        </w:rPr>
                        <w:t>^-</w:t>
                      </w:r>
                    </w:p>
                  </w:txbxContent>
                </v:textbox>
                <w10:wrap type="topAndBottom" anchorx="page" anchory="margin"/>
              </v:shape>
            </w:pict>
          </mc:Fallback>
        </mc:AlternateContent>
      </w:r>
      <w:r>
        <mc:AlternateContent>
          <mc:Choice Requires="wps">
            <w:drawing>
              <wp:anchor distT="787400" distB="0" distL="114300" distR="114300" simplePos="0" relativeHeight="125829385" behindDoc="0" locked="0" layoutInCell="1" allowOverlap="1">
                <wp:simplePos x="0" y="0"/>
                <wp:positionH relativeFrom="page">
                  <wp:posOffset>2998470</wp:posOffset>
                </wp:positionH>
                <wp:positionV relativeFrom="margin">
                  <wp:posOffset>5076190</wp:posOffset>
                </wp:positionV>
                <wp:extent cx="2020570" cy="374650"/>
                <wp:wrapTopAndBottom/>
                <wp:docPr id="18" name="Shape 18"/>
                <a:graphic xmlns:a="http://schemas.openxmlformats.org/drawingml/2006/main">
                  <a:graphicData uri="http://schemas.microsoft.com/office/word/2010/wordprocessingShape">
                    <wps:wsp>
                      <wps:cNvSpPr txBox="1"/>
                      <wps:spPr>
                        <a:xfrm>
                          <a:ext cx="2020570" cy="3746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rPr>
                              <w:t>Regieglison Costa de Oliveira</w:t>
                              <w:br/>
                              <w:t>Membro do Conselho</w:t>
                            </w:r>
                          </w:p>
                        </w:txbxContent>
                      </wps:txbx>
                      <wps:bodyPr lIns="0" tIns="0" rIns="0" bIns="0">
                        <a:noAutoFit/>
                      </wps:bodyPr>
                    </wps:wsp>
                  </a:graphicData>
                </a:graphic>
              </wp:anchor>
            </w:drawing>
          </mc:Choice>
          <mc:Fallback>
            <w:pict>
              <v:shape id="_x0000_s1044" type="#_x0000_t202" style="position:absolute;margin-left:236.09999999999999pt;margin-top:399.69999999999999pt;width:159.09999999999999pt;height:29.5pt;z-index:-125829368;mso-wrap-distance-left:9.pt;mso-wrap-distance-top:62.pt;mso-wrap-distance-right:9.pt;mso-position-horizontal-relative:page;mso-position-vertical-relative:margin" filled="f" stroked="f">
                <v:textbox inset="0,0,0,0">
                  <w:txbxContent>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rPr>
                        <w:t>Regieglison Costa de Oliveira</w:t>
                        <w:br/>
                        <w:t>Membro do Conselho</w:t>
                      </w:r>
                    </w:p>
                  </w:txbxContent>
                </v:textbox>
                <w10:wrap type="topAndBottom" anchorx="page" anchory="margin"/>
              </v:shape>
            </w:pict>
          </mc:Fallback>
        </mc:AlternateContent>
      </w:r>
      <w:r>
        <w:drawing>
          <wp:anchor distT="491490" distB="286385" distL="114300" distR="2787015" simplePos="0" relativeHeight="125829387" behindDoc="0" locked="0" layoutInCell="1" allowOverlap="1">
            <wp:simplePos x="0" y="0"/>
            <wp:positionH relativeFrom="page">
              <wp:posOffset>2105025</wp:posOffset>
            </wp:positionH>
            <wp:positionV relativeFrom="margin">
              <wp:posOffset>5890260</wp:posOffset>
            </wp:positionV>
            <wp:extent cx="694690" cy="347345"/>
            <wp:wrapTopAndBottom/>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20"/>
                    <a:stretch/>
                  </pic:blipFill>
                  <pic:spPr>
                    <a:xfrm>
                      <a:ext cx="694690" cy="347345"/>
                    </a:xfrm>
                    <a:prstGeom prst="rect"/>
                  </pic:spPr>
                </pic:pic>
              </a:graphicData>
            </a:graphic>
          </wp:anchor>
        </w:drawing>
      </w:r>
      <w:r>
        <w:drawing>
          <wp:anchor distT="402590" distB="341630" distL="913130" distR="1884680" simplePos="0" relativeHeight="125829388" behindDoc="0" locked="0" layoutInCell="1" allowOverlap="1">
            <wp:simplePos x="0" y="0"/>
            <wp:positionH relativeFrom="page">
              <wp:posOffset>2903855</wp:posOffset>
            </wp:positionH>
            <wp:positionV relativeFrom="margin">
              <wp:posOffset>5801360</wp:posOffset>
            </wp:positionV>
            <wp:extent cx="798830" cy="377825"/>
            <wp:wrapTopAndBottom/>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22"/>
                    <a:stretch/>
                  </pic:blipFill>
                  <pic:spPr>
                    <a:xfrm>
                      <a:ext cx="798830" cy="377825"/>
                    </a:xfrm>
                    <a:prstGeom prst="rect"/>
                  </pic:spPr>
                </pic:pic>
              </a:graphicData>
            </a:graphic>
          </wp:anchor>
        </w:drawing>
      </w:r>
      <w:r>
        <w:drawing>
          <wp:anchor distT="393700" distB="405130" distL="2089150" distR="1001395" simplePos="0" relativeHeight="125829389" behindDoc="0" locked="0" layoutInCell="1" allowOverlap="1">
            <wp:simplePos x="0" y="0"/>
            <wp:positionH relativeFrom="page">
              <wp:posOffset>4079875</wp:posOffset>
            </wp:positionH>
            <wp:positionV relativeFrom="margin">
              <wp:posOffset>5792470</wp:posOffset>
            </wp:positionV>
            <wp:extent cx="506095" cy="323215"/>
            <wp:wrapTopAndBottom/>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24"/>
                    <a:stretch/>
                  </pic:blipFill>
                  <pic:spPr>
                    <a:xfrm>
                      <a:ext cx="506095" cy="323215"/>
                    </a:xfrm>
                    <a:prstGeom prst="rect"/>
                  </pic:spPr>
                </pic:pic>
              </a:graphicData>
            </a:graphic>
          </wp:anchor>
        </w:drawing>
      </w:r>
      <w:r>
        <mc:AlternateContent>
          <mc:Choice Requires="wps">
            <w:drawing>
              <wp:anchor distT="774700" distB="0" distL="998220" distR="553085" simplePos="0" relativeHeight="125829390" behindDoc="0" locked="0" layoutInCell="1" allowOverlap="1">
                <wp:simplePos x="0" y="0"/>
                <wp:positionH relativeFrom="page">
                  <wp:posOffset>2988945</wp:posOffset>
                </wp:positionH>
                <wp:positionV relativeFrom="margin">
                  <wp:posOffset>6173470</wp:posOffset>
                </wp:positionV>
                <wp:extent cx="2042160" cy="347345"/>
                <wp:wrapTopAndBottom/>
                <wp:docPr id="26" name="Shape 26"/>
                <a:graphic xmlns:a="http://schemas.openxmlformats.org/drawingml/2006/main">
                  <a:graphicData uri="http://schemas.microsoft.com/office/word/2010/wordprocessingShape">
                    <wps:wsp>
                      <wps:cNvSpPr txBox="1"/>
                      <wps:spPr>
                        <a:xfrm>
                          <a:ext cx="2042160" cy="347345"/>
                        </a:xfrm>
                        <a:prstGeom prst="rect"/>
                        <a:noFill/>
                      </wps:spPr>
                      <wps:txbx>
                        <w:txbxContent>
                          <w:p>
                            <w:pPr>
                              <w:pStyle w:val="Style14"/>
                              <w:keepNext w:val="0"/>
                              <w:keepLines w:val="0"/>
                              <w:widowControl w:val="0"/>
                              <w:pBdr>
                                <w:top w:val="single" w:sz="4" w:space="0" w:color="auto"/>
                              </w:pBdr>
                              <w:shd w:val="clear" w:color="auto" w:fill="auto"/>
                              <w:bidi w:val="0"/>
                              <w:spacing w:before="0" w:after="0" w:line="221" w:lineRule="auto"/>
                              <w:ind w:left="0" w:right="0" w:firstLine="0"/>
                              <w:jc w:val="center"/>
                            </w:pPr>
                            <w:r>
                              <w:rPr>
                                <w:color w:val="000000"/>
                                <w:spacing w:val="0"/>
                                <w:w w:val="100"/>
                                <w:position w:val="0"/>
                                <w:sz w:val="24"/>
                                <w:szCs w:val="24"/>
                                <w:shd w:val="clear" w:color="auto" w:fill="auto"/>
                              </w:rPr>
                              <w:t>Maria Augusta‘Galvão Santos</w:t>
                              <w:br/>
                              <w:t>Membro do Conselho</w:t>
                            </w:r>
                          </w:p>
                        </w:txbxContent>
                      </wps:txbx>
                      <wps:bodyPr lIns="0" tIns="0" rIns="0" bIns="0">
                        <a:noAutoFit/>
                      </wps:bodyPr>
                    </wps:wsp>
                  </a:graphicData>
                </a:graphic>
              </wp:anchor>
            </w:drawing>
          </mc:Choice>
          <mc:Fallback>
            <w:pict>
              <v:shape id="_x0000_s1052" type="#_x0000_t202" style="position:absolute;margin-left:235.34999999999999pt;margin-top:486.10000000000002pt;width:160.80000000000001pt;height:27.350000000000001pt;z-index:-125829363;mso-wrap-distance-left:78.599999999999994pt;mso-wrap-distance-top:61.pt;mso-wrap-distance-right:43.549999999999997pt;mso-position-horizontal-relative:page;mso-position-vertical-relative:margin" filled="f" stroked="f">
                <v:textbox inset="0,0,0,0">
                  <w:txbxContent>
                    <w:p>
                      <w:pPr>
                        <w:pStyle w:val="Style14"/>
                        <w:keepNext w:val="0"/>
                        <w:keepLines w:val="0"/>
                        <w:widowControl w:val="0"/>
                        <w:pBdr>
                          <w:top w:val="single" w:sz="4" w:space="0" w:color="auto"/>
                        </w:pBdr>
                        <w:shd w:val="clear" w:color="auto" w:fill="auto"/>
                        <w:bidi w:val="0"/>
                        <w:spacing w:before="0" w:after="0" w:line="221" w:lineRule="auto"/>
                        <w:ind w:left="0" w:right="0" w:firstLine="0"/>
                        <w:jc w:val="center"/>
                      </w:pPr>
                      <w:r>
                        <w:rPr>
                          <w:color w:val="000000"/>
                          <w:spacing w:val="0"/>
                          <w:w w:val="100"/>
                          <w:position w:val="0"/>
                          <w:sz w:val="24"/>
                          <w:szCs w:val="24"/>
                          <w:shd w:val="clear" w:color="auto" w:fill="auto"/>
                        </w:rPr>
                        <w:t>Maria Augusta‘Galvão Santos</w:t>
                        <w:br/>
                        <w:t>Membro do Conselho</w:t>
                      </w:r>
                    </w:p>
                  </w:txbxContent>
                </v:textbox>
                <w10:wrap type="topAndBottom" anchorx="page" anchory="margin"/>
              </v:shape>
            </w:pict>
          </mc:Fallback>
        </mc:AlternateContent>
      </w:r>
      <w:r>
        <w:drawing>
          <wp:anchor distT="427355" distB="347345" distL="2732405" distR="114300" simplePos="0" relativeHeight="125829392" behindDoc="0" locked="0" layoutInCell="1" allowOverlap="1">
            <wp:simplePos x="0" y="0"/>
            <wp:positionH relativeFrom="page">
              <wp:posOffset>4723130</wp:posOffset>
            </wp:positionH>
            <wp:positionV relativeFrom="margin">
              <wp:posOffset>5826125</wp:posOffset>
            </wp:positionV>
            <wp:extent cx="749935" cy="347345"/>
            <wp:wrapTopAndBottom/>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26"/>
                    <a:stretch/>
                  </pic:blipFill>
                  <pic:spPr>
                    <a:xfrm>
                      <a:ext cx="749935" cy="347345"/>
                    </a:xfrm>
                    <a:prstGeom prst="rect"/>
                  </pic:spPr>
                </pic:pic>
              </a:graphicData>
            </a:graphic>
          </wp:anchor>
        </w:drawing>
      </w:r>
      <w:r>
        <w:rPr>
          <w:color w:val="000000"/>
          <w:spacing w:val="0"/>
          <w:w w:val="100"/>
          <w:position w:val="0"/>
          <w:sz w:val="24"/>
          <w:szCs w:val="24"/>
          <w:shd w:val="clear" w:color="auto" w:fill="auto"/>
          <w:lang w:val="pt-BR" w:eastAsia="pt-BR" w:bidi="pt-BR"/>
        </w:rPr>
        <w:t xml:space="preserve">Secretária </w:t>
      </w:r>
      <w:r>
        <w:rPr>
          <w:color w:val="000000"/>
          <w:spacing w:val="0"/>
          <w:w w:val="100"/>
          <w:position w:val="0"/>
          <w:sz w:val="24"/>
          <w:szCs w:val="24"/>
          <w:shd w:val="clear" w:color="auto" w:fill="auto"/>
        </w:rPr>
        <w:t>do Conselho Administrativo</w:t>
      </w:r>
    </w:p>
    <w:p>
      <w:pPr>
        <w:widowControl w:val="0"/>
        <w:spacing w:line="240" w:lineRule="exact"/>
        <w:rPr>
          <w:sz w:val="19"/>
          <w:szCs w:val="19"/>
        </w:rPr>
      </w:pPr>
    </w:p>
    <w:p>
      <w:pPr>
        <w:widowControl w:val="0"/>
        <w:spacing w:before="16" w:after="1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682" w:left="0" w:right="0" w:bottom="2597" w:header="0" w:footer="3" w:gutter="0"/>
          <w:cols w:space="720"/>
          <w:noEndnote/>
          <w:rtlGutter w:val="0"/>
          <w:docGrid w:linePitch="360"/>
        </w:sectPr>
      </w:pPr>
    </w:p>
    <w:p>
      <w:pPr>
        <w:pStyle w:val="Style14"/>
        <w:keepNext w:val="0"/>
        <w:keepLines w:val="0"/>
        <w:widowControl w:val="0"/>
        <w:pBdr>
          <w:bottom w:val="single" w:sz="4" w:space="0" w:color="auto"/>
        </w:pBdr>
        <w:shd w:val="clear" w:color="auto" w:fill="auto"/>
        <w:tabs>
          <w:tab w:pos="2444" w:val="left"/>
        </w:tabs>
        <w:bidi w:val="0"/>
        <w:spacing w:before="0" w:after="60" w:line="240" w:lineRule="auto"/>
        <w:ind w:left="500" w:right="0" w:firstLine="0"/>
        <w:jc w:val="both"/>
      </w:pPr>
      <w:r>
        <w:drawing>
          <wp:anchor distT="0" distB="0" distL="114300" distR="114300" simplePos="0" relativeHeight="125829393" behindDoc="0" locked="0" layoutInCell="1" allowOverlap="1">
            <wp:simplePos x="0" y="0"/>
            <wp:positionH relativeFrom="page">
              <wp:posOffset>2023110</wp:posOffset>
            </wp:positionH>
            <wp:positionV relativeFrom="paragraph">
              <wp:posOffset>12700</wp:posOffset>
            </wp:positionV>
            <wp:extent cx="194945" cy="335280"/>
            <wp:wrapSquare wrapText="right"/>
            <wp:docPr id="30" name="Shape 30"/>
            <a:graphic xmlns:a="http://schemas.openxmlformats.org/drawingml/2006/main">
              <a:graphicData uri="http://schemas.openxmlformats.org/drawingml/2006/picture">
                <pic:pic xmlns:pic="http://schemas.openxmlformats.org/drawingml/2006/picture">
                  <pic:nvPicPr>
                    <pic:cNvPr id="31" name="Picture box 31"/>
                    <pic:cNvPicPr/>
                  </pic:nvPicPr>
                  <pic:blipFill>
                    <a:blip r:embed="rId28"/>
                    <a:stretch/>
                  </pic:blipFill>
                  <pic:spPr>
                    <a:xfrm>
                      <a:ext cx="194945" cy="335280"/>
                    </a:xfrm>
                    <a:prstGeom prst="rect"/>
                  </pic:spPr>
                </pic:pic>
              </a:graphicData>
            </a:graphic>
          </wp:anchor>
        </w:drawing>
      </w:r>
      <w:r>
        <w:rPr>
          <w:color w:val="6874B0"/>
          <w:spacing w:val="0"/>
          <w:w w:val="100"/>
          <w:position w:val="0"/>
          <w:sz w:val="24"/>
          <w:szCs w:val="24"/>
          <w:shd w:val="clear" w:color="auto" w:fill="auto"/>
        </w:rPr>
        <w:t xml:space="preserve">ç) q Cc YS </w:t>
      </w:r>
      <w:r>
        <w:rPr>
          <w:color w:val="6874B0"/>
          <w:spacing w:val="0"/>
          <w:w w:val="100"/>
          <w:position w:val="0"/>
          <w:sz w:val="24"/>
          <w:szCs w:val="24"/>
          <w:shd w:val="clear" w:color="auto" w:fill="auto"/>
          <w:lang w:val="pt-BR" w:eastAsia="pt-BR" w:bidi="pt-BR"/>
        </w:rPr>
        <w:t>CÒC</w:t>
        <w:tab/>
      </w:r>
      <w:r>
        <w:rPr>
          <w:color w:val="6874B0"/>
          <w:spacing w:val="0"/>
          <w:w w:val="100"/>
          <w:position w:val="0"/>
          <w:sz w:val="24"/>
          <w:szCs w:val="24"/>
          <w:shd w:val="clear" w:color="auto" w:fill="auto"/>
        </w:rPr>
        <w:t>W</w:t>
      </w:r>
    </w:p>
    <w:p>
      <w:pPr>
        <w:pStyle w:val="Style14"/>
        <w:keepNext w:val="0"/>
        <w:keepLines w:val="0"/>
        <w:widowControl w:val="0"/>
        <w:shd w:val="clear" w:color="auto" w:fill="auto"/>
        <w:bidi w:val="0"/>
        <w:spacing w:before="0" w:after="0" w:line="240" w:lineRule="auto"/>
        <w:ind w:left="680" w:right="0" w:firstLine="0"/>
        <w:jc w:val="left"/>
      </w:pPr>
      <w:r>
        <w:rPr>
          <w:color w:val="000000"/>
          <w:spacing w:val="0"/>
          <w:w w:val="100"/>
          <w:position w:val="0"/>
          <w:sz w:val="24"/>
          <w:szCs w:val="24"/>
          <w:shd w:val="clear" w:color="auto" w:fill="auto"/>
        </w:rPr>
        <w:t>Maria da Conceição Lima de Oliveira</w:t>
      </w:r>
    </w:p>
    <w:p>
      <w:pPr>
        <w:pStyle w:val="Style14"/>
        <w:keepNext w:val="0"/>
        <w:keepLines w:val="0"/>
        <w:widowControl w:val="0"/>
        <w:shd w:val="clear" w:color="auto" w:fill="auto"/>
        <w:bidi w:val="0"/>
        <w:spacing w:before="0" w:after="0" w:line="221" w:lineRule="auto"/>
        <w:ind w:left="3700" w:right="0" w:firstLine="0"/>
        <w:jc w:val="left"/>
      </w:pPr>
      <w:r>
        <w:rPr>
          <w:color w:val="000000"/>
          <w:spacing w:val="0"/>
          <w:w w:val="100"/>
          <w:position w:val="0"/>
          <w:sz w:val="24"/>
          <w:szCs w:val="24"/>
          <w:shd w:val="clear" w:color="auto" w:fill="auto"/>
        </w:rPr>
        <w:t>Membro do Conselho</w:t>
      </w:r>
      <w:r>
        <w:br w:type="page"/>
      </w:r>
    </w:p>
    <w:p>
      <w:pPr>
        <w:pStyle w:val="Style16"/>
        <w:keepNext/>
        <w:keepLines/>
        <w:widowControl w:val="0"/>
        <w:shd w:val="clear" w:color="auto" w:fill="auto"/>
        <w:bidi w:val="0"/>
        <w:spacing w:before="0" w:after="800" w:line="240" w:lineRule="auto"/>
        <w:ind w:left="0" w:right="0" w:firstLine="0"/>
        <w:jc w:val="left"/>
      </w:pPr>
      <w:r>
        <w:drawing>
          <wp:anchor distT="0" distB="0" distL="0" distR="0" simplePos="0" relativeHeight="125829394" behindDoc="0" locked="0" layoutInCell="1" allowOverlap="1">
            <wp:simplePos x="0" y="0"/>
            <wp:positionH relativeFrom="page">
              <wp:posOffset>3721100</wp:posOffset>
            </wp:positionH>
            <wp:positionV relativeFrom="paragraph">
              <wp:posOffset>330200</wp:posOffset>
            </wp:positionV>
            <wp:extent cx="481330" cy="628015"/>
            <wp:wrapTight wrapText="bothSides">
              <wp:wrapPolygon>
                <wp:start x="0" y="0"/>
                <wp:lineTo x="21600" y="0"/>
                <wp:lineTo x="21600" y="13698"/>
                <wp:lineTo x="9768" y="13698"/>
                <wp:lineTo x="9768" y="14119"/>
                <wp:lineTo x="7429" y="14119"/>
                <wp:lineTo x="7429" y="21600"/>
                <wp:lineTo x="0" y="21600"/>
                <wp:lineTo x="0" y="0"/>
              </wp:wrapPolygon>
            </wp:wrapTight>
            <wp:docPr id="32" name="Shape 32"/>
            <a:graphic xmlns:a="http://schemas.openxmlformats.org/drawingml/2006/main">
              <a:graphicData uri="http://schemas.openxmlformats.org/drawingml/2006/picture">
                <pic:pic xmlns:pic="http://schemas.openxmlformats.org/drawingml/2006/picture">
                  <pic:nvPicPr>
                    <pic:cNvPr id="33" name="Picture box 33"/>
                    <pic:cNvPicPr/>
                  </pic:nvPicPr>
                  <pic:blipFill>
                    <a:blip r:embed="rId30"/>
                    <a:stretch/>
                  </pic:blipFill>
                  <pic:spPr>
                    <a:xfrm>
                      <a:ext cx="481330" cy="628015"/>
                    </a:xfrm>
                    <a:prstGeom prst="rect"/>
                  </pic:spPr>
                </pic:pic>
              </a:graphicData>
            </a:graphic>
          </wp:anchor>
        </w:drawing>
      </w:r>
      <w:bookmarkStart w:id="15" w:name="bookmark15"/>
      <w:r>
        <w:rPr>
          <w:rFonts w:ascii="Arial" w:eastAsia="Arial" w:hAnsi="Arial" w:cs="Arial"/>
          <w:color w:val="000000"/>
          <w:spacing w:val="0"/>
          <w:w w:val="100"/>
          <w:position w:val="0"/>
          <w:sz w:val="24"/>
          <w:szCs w:val="24"/>
          <w:shd w:val="clear" w:color="auto" w:fill="auto"/>
          <w:lang w:val="pt-BR" w:eastAsia="pt-BR" w:bidi="pt-BR"/>
        </w:rPr>
        <w:t>Comitê de Investimentos:</w:t>
      </w:r>
      <w:bookmarkEnd w:id="15"/>
    </w:p>
    <w:p>
      <w:pPr>
        <w:pStyle w:val="Style14"/>
        <w:keepNext w:val="0"/>
        <w:keepLines w:val="0"/>
        <w:widowControl w:val="0"/>
        <w:shd w:val="clear" w:color="auto" w:fill="auto"/>
        <w:tabs>
          <w:tab w:leader="hyphen" w:pos="3962" w:val="left"/>
        </w:tabs>
        <w:bidi w:val="0"/>
        <w:spacing w:before="0" w:after="0" w:line="240" w:lineRule="auto"/>
        <w:ind w:left="2440" w:right="0" w:firstLine="0"/>
        <w:jc w:val="both"/>
      </w:pPr>
      <w:r>
        <w:rPr>
          <w:color w:val="000000"/>
          <w:spacing w:val="0"/>
          <w:w w:val="100"/>
          <w:position w:val="0"/>
          <w:sz w:val="24"/>
          <w:szCs w:val="24"/>
          <w:shd w:val="clear" w:color="auto" w:fill="auto"/>
          <w:lang w:val="pt-BR" w:eastAsia="pt-BR" w:bidi="pt-BR"/>
        </w:rPr>
        <w:tab/>
        <w:t>7*</w:t>
      </w:r>
    </w:p>
    <w:p>
      <w:pPr>
        <w:pStyle w:val="Style14"/>
        <w:keepNext w:val="0"/>
        <w:keepLines w:val="0"/>
        <w:widowControl w:val="0"/>
        <w:shd w:val="clear" w:color="auto" w:fill="auto"/>
        <w:bidi w:val="0"/>
        <w:spacing w:before="0" w:after="0" w:line="180" w:lineRule="auto"/>
        <w:ind w:left="0" w:right="0" w:firstLine="0"/>
        <w:jc w:val="left"/>
      </w:pPr>
      <w:r>
        <w:rPr>
          <w:color w:val="000000"/>
          <w:spacing w:val="0"/>
          <w:w w:val="100"/>
          <w:position w:val="0"/>
          <w:sz w:val="24"/>
          <w:szCs w:val="24"/>
          <w:shd w:val="clear" w:color="auto" w:fill="auto"/>
          <w:lang w:val="pt-BR" w:eastAsia="pt-BR" w:bidi="pt-BR"/>
        </w:rPr>
        <w:t>Gercival Lima Alves</w:t>
      </w:r>
    </w:p>
    <w:p>
      <w:pPr>
        <w:pStyle w:val="Style14"/>
        <w:keepNext w:val="0"/>
        <w:keepLines w:val="0"/>
        <w:widowControl w:val="0"/>
        <w:shd w:val="clear" w:color="auto" w:fill="auto"/>
        <w:bidi w:val="0"/>
        <w:spacing w:before="0" w:after="120" w:line="240" w:lineRule="auto"/>
        <w:ind w:left="2440" w:right="0" w:firstLine="0"/>
        <w:jc w:val="both"/>
      </w:pPr>
      <w:r>
        <w:drawing>
          <wp:anchor distT="215900" distB="0" distL="0" distR="0" simplePos="0" relativeHeight="125829395" behindDoc="0" locked="0" layoutInCell="1" allowOverlap="1">
            <wp:simplePos x="0" y="0"/>
            <wp:positionH relativeFrom="page">
              <wp:posOffset>2331085</wp:posOffset>
            </wp:positionH>
            <wp:positionV relativeFrom="paragraph">
              <wp:posOffset>482600</wp:posOffset>
            </wp:positionV>
            <wp:extent cx="2828290" cy="585470"/>
            <wp:wrapTopAndBottom/>
            <wp:docPr id="34" name="Shape 34"/>
            <a:graphic xmlns:a="http://schemas.openxmlformats.org/drawingml/2006/main">
              <a:graphicData uri="http://schemas.openxmlformats.org/drawingml/2006/picture">
                <pic:pic xmlns:pic="http://schemas.openxmlformats.org/drawingml/2006/picture">
                  <pic:nvPicPr>
                    <pic:cNvPr id="35" name="Picture box 35"/>
                    <pic:cNvPicPr/>
                  </pic:nvPicPr>
                  <pic:blipFill>
                    <a:blip r:embed="rId32"/>
                    <a:stretch/>
                  </pic:blipFill>
                  <pic:spPr>
                    <a:xfrm>
                      <a:ext cx="2828290" cy="585470"/>
                    </a:xfrm>
                    <a:prstGeom prst="rect"/>
                  </pic:spPr>
                </pic:pic>
              </a:graphicData>
            </a:graphic>
          </wp:anchor>
        </w:drawing>
      </w:r>
      <w:r>
        <w:rPr>
          <w:color w:val="000000"/>
          <w:spacing w:val="0"/>
          <w:w w:val="100"/>
          <w:position w:val="0"/>
          <w:sz w:val="24"/>
          <w:szCs w:val="24"/>
          <w:shd w:val="clear" w:color="auto" w:fill="auto"/>
          <w:lang w:val="pt-BR" w:eastAsia="pt-BR" w:bidi="pt-BR"/>
        </w:rPr>
        <w:t>Presidente do Comitê de Investimentos</w:t>
      </w:r>
    </w:p>
    <w:p>
      <w:pPr>
        <w:pStyle w:val="Style14"/>
        <w:keepNext w:val="0"/>
        <w:keepLines w:val="0"/>
        <w:widowControl w:val="0"/>
        <w:shd w:val="clear" w:color="auto" w:fill="auto"/>
        <w:bidi w:val="0"/>
        <w:spacing w:before="0" w:after="0" w:line="240" w:lineRule="auto"/>
        <w:ind w:left="5620" w:right="0" w:firstLine="0"/>
        <w:jc w:val="left"/>
      </w:pPr>
      <w:r>
        <w:rPr>
          <w:color w:val="000000"/>
          <w:spacing w:val="0"/>
          <w:w w:val="100"/>
          <w:position w:val="0"/>
          <w:sz w:val="24"/>
          <w:szCs w:val="24"/>
          <w:shd w:val="clear" w:color="auto" w:fill="auto"/>
          <w:lang w:val="pt-BR" w:eastAsia="pt-BR" w:bidi="pt-BR"/>
        </w:rPr>
        <w:t>Souza</w:t>
      </w: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pt-BR" w:eastAsia="pt-BR" w:bidi="pt-BR"/>
        </w:rPr>
        <w:t>Diretor Financeiro do Comitê de Investimento</w:t>
      </w:r>
    </w:p>
    <w:p>
      <w:pPr>
        <w:widowControl w:val="0"/>
        <w:spacing w:line="1" w:lineRule="exact"/>
      </w:pPr>
      <w:r>
        <w:drawing>
          <wp:anchor distT="0" distB="2389505" distL="0" distR="0" simplePos="0" relativeHeight="125829396" behindDoc="0" locked="0" layoutInCell="1" allowOverlap="1">
            <wp:simplePos x="0" y="0"/>
            <wp:positionH relativeFrom="page">
              <wp:posOffset>2102485</wp:posOffset>
            </wp:positionH>
            <wp:positionV relativeFrom="paragraph">
              <wp:posOffset>0</wp:posOffset>
            </wp:positionV>
            <wp:extent cx="3163570" cy="725170"/>
            <wp:wrapTopAndBottom/>
            <wp:docPr id="36" name="Shape 36"/>
            <a:graphic xmlns:a="http://schemas.openxmlformats.org/drawingml/2006/main">
              <a:graphicData uri="http://schemas.openxmlformats.org/drawingml/2006/picture">
                <pic:pic xmlns:pic="http://schemas.openxmlformats.org/drawingml/2006/picture">
                  <pic:nvPicPr>
                    <pic:cNvPr id="37" name="Picture box 37"/>
                    <pic:cNvPicPr/>
                  </pic:nvPicPr>
                  <pic:blipFill>
                    <a:blip r:embed="rId34"/>
                    <a:stretch/>
                  </pic:blipFill>
                  <pic:spPr>
                    <a:xfrm>
                      <a:ext cx="3163570" cy="7251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2901315</wp:posOffset>
                </wp:positionH>
                <wp:positionV relativeFrom="paragraph">
                  <wp:posOffset>648970</wp:posOffset>
                </wp:positionV>
                <wp:extent cx="2057400" cy="377825"/>
                <wp:wrapNone/>
                <wp:docPr id="38" name="Shape 38"/>
                <a:graphic xmlns:a="http://schemas.openxmlformats.org/drawingml/2006/main">
                  <a:graphicData uri="http://schemas.microsoft.com/office/word/2010/wordprocessingShape">
                    <wps:wsp>
                      <wps:cNvSpPr txBox="1"/>
                      <wps:spPr>
                        <a:xfrm>
                          <a:ext cx="2057400" cy="377825"/>
                        </a:xfrm>
                        <a:prstGeom prst="rect"/>
                        <a:noFill/>
                      </wps:spPr>
                      <wps:txbx>
                        <w:txbxContent>
                          <w:p>
                            <w:pPr>
                              <w:pStyle w:val="Style3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pt-BR" w:eastAsia="pt-BR" w:bidi="pt-BR"/>
                              </w:rPr>
                              <w:t>Francisco Albuquerque Neves Membro do Comitê</w:t>
                            </w:r>
                          </w:p>
                        </w:txbxContent>
                      </wps:txbx>
                      <wps:bodyPr lIns="0" tIns="0" rIns="0" bIns="0">
                        <a:noAutoFit/>
                      </wps:bodyPr>
                    </wps:wsp>
                  </a:graphicData>
                </a:graphic>
              </wp:anchor>
            </w:drawing>
          </mc:Choice>
          <mc:Fallback>
            <w:pict>
              <v:shape id="_x0000_s1064" type="#_x0000_t202" style="position:absolute;margin-left:228.44999999999999pt;margin-top:51.100000000000001pt;width:162.pt;height:29.75pt;z-index:251657729;mso-wrap-distance-left:0;mso-wrap-distance-right:0;mso-position-horizontal-relative:page" filled="f" stroked="f">
                <v:textbox inset="0,0,0,0">
                  <w:txbxContent>
                    <w:p>
                      <w:pPr>
                        <w:pStyle w:val="Style3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pt-BR" w:eastAsia="pt-BR" w:bidi="pt-BR"/>
                        </w:rPr>
                        <w:t>Francisco Albuquerque Neves Membro do Comitê</w:t>
                      </w:r>
                    </w:p>
                  </w:txbxContent>
                </v:textbox>
                <w10:wrap anchorx="page"/>
              </v:shape>
            </w:pict>
          </mc:Fallback>
        </mc:AlternateContent>
      </w:r>
      <w:r>
        <w:drawing>
          <wp:anchor distT="1386840" distB="1377950" distL="0" distR="0" simplePos="0" relativeHeight="125829397" behindDoc="0" locked="0" layoutInCell="1" allowOverlap="1">
            <wp:simplePos x="0" y="0"/>
            <wp:positionH relativeFrom="page">
              <wp:posOffset>1913255</wp:posOffset>
            </wp:positionH>
            <wp:positionV relativeFrom="paragraph">
              <wp:posOffset>1386840</wp:posOffset>
            </wp:positionV>
            <wp:extent cx="3706495" cy="353695"/>
            <wp:wrapTopAndBottom/>
            <wp:docPr id="40" name="Shape 40"/>
            <a:graphic xmlns:a="http://schemas.openxmlformats.org/drawingml/2006/main">
              <a:graphicData uri="http://schemas.openxmlformats.org/drawingml/2006/picture">
                <pic:pic xmlns:pic="http://schemas.openxmlformats.org/drawingml/2006/picture">
                  <pic:nvPicPr>
                    <pic:cNvPr id="41" name="Picture box 41"/>
                    <pic:cNvPicPr/>
                  </pic:nvPicPr>
                  <pic:blipFill>
                    <a:blip r:embed="rId36"/>
                    <a:stretch/>
                  </pic:blipFill>
                  <pic:spPr>
                    <a:xfrm>
                      <a:ext cx="3706495" cy="35369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2699385</wp:posOffset>
                </wp:positionH>
                <wp:positionV relativeFrom="paragraph">
                  <wp:posOffset>1737360</wp:posOffset>
                </wp:positionV>
                <wp:extent cx="2450465" cy="374650"/>
                <wp:wrapNone/>
                <wp:docPr id="42" name="Shape 42"/>
                <a:graphic xmlns:a="http://schemas.openxmlformats.org/drawingml/2006/main">
                  <a:graphicData uri="http://schemas.microsoft.com/office/word/2010/wordprocessingShape">
                    <wps:wsp>
                      <wps:cNvSpPr txBox="1"/>
                      <wps:spPr>
                        <a:xfrm>
                          <a:ext cx="2450465" cy="374650"/>
                        </a:xfrm>
                        <a:prstGeom prst="rect"/>
                        <a:noFill/>
                      </wps:spPr>
                      <wps:txbx>
                        <w:txbxContent>
                          <w:p>
                            <w:pPr>
                              <w:pStyle w:val="Style3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pt-BR" w:eastAsia="pt-BR" w:bidi="pt-BR"/>
                              </w:rPr>
                              <w:t>Herton Carlos Nascimento da Costa Membro do Comitê</w:t>
                            </w:r>
                          </w:p>
                        </w:txbxContent>
                      </wps:txbx>
                      <wps:bodyPr lIns="0" tIns="0" rIns="0" bIns="0">
                        <a:noAutoFit/>
                      </wps:bodyPr>
                    </wps:wsp>
                  </a:graphicData>
                </a:graphic>
              </wp:anchor>
            </w:drawing>
          </mc:Choice>
          <mc:Fallback>
            <w:pict>
              <v:shape id="_x0000_s1068" type="#_x0000_t202" style="position:absolute;margin-left:212.55000000000001pt;margin-top:136.80000000000001pt;width:192.94999999999999pt;height:29.5pt;z-index:251657731;mso-wrap-distance-left:0;mso-wrap-distance-right:0;mso-position-horizontal-relative:page" filled="f" stroked="f">
                <v:textbox inset="0,0,0,0">
                  <w:txbxContent>
                    <w:p>
                      <w:pPr>
                        <w:pStyle w:val="Style3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pt-BR" w:eastAsia="pt-BR" w:bidi="pt-BR"/>
                        </w:rPr>
                        <w:t>Herton Carlos Nascimento da Costa Membro do Comitê</w:t>
                      </w:r>
                    </w:p>
                  </w:txbxContent>
                </v:textbox>
                <w10:wrap anchorx="page"/>
              </v:shape>
            </w:pict>
          </mc:Fallback>
        </mc:AlternateContent>
      </w:r>
      <w:r>
        <w:drawing>
          <wp:anchor distT="2200910" distB="0" distL="0" distR="0" simplePos="0" relativeHeight="125829398" behindDoc="0" locked="0" layoutInCell="1" allowOverlap="1">
            <wp:simplePos x="0" y="0"/>
            <wp:positionH relativeFrom="page">
              <wp:posOffset>1934845</wp:posOffset>
            </wp:positionH>
            <wp:positionV relativeFrom="paragraph">
              <wp:posOffset>2200910</wp:posOffset>
            </wp:positionV>
            <wp:extent cx="3663950" cy="914400"/>
            <wp:wrapTopAndBottom/>
            <wp:docPr id="44" name="Shape 44"/>
            <a:graphic xmlns:a="http://schemas.openxmlformats.org/drawingml/2006/main">
              <a:graphicData uri="http://schemas.openxmlformats.org/drawingml/2006/picture">
                <pic:pic xmlns:pic="http://schemas.openxmlformats.org/drawingml/2006/picture">
                  <pic:nvPicPr>
                    <pic:cNvPr id="45" name="Picture box 45"/>
                    <pic:cNvPicPr/>
                  </pic:nvPicPr>
                  <pic:blipFill>
                    <a:blip r:embed="rId38"/>
                    <a:stretch/>
                  </pic:blipFill>
                  <pic:spPr>
                    <a:xfrm>
                      <a:ext cx="3663950" cy="914400"/>
                    </a:xfrm>
                    <a:prstGeom prst="rect"/>
                  </pic:spPr>
                </pic:pic>
              </a:graphicData>
            </a:graphic>
          </wp:anchor>
        </w:drawing>
      </w:r>
    </w:p>
    <w:p>
      <w:pPr>
        <w:pStyle w:val="Style16"/>
        <w:keepNext/>
        <w:keepLines/>
        <w:widowControl w:val="0"/>
        <w:shd w:val="clear" w:color="auto" w:fill="auto"/>
        <w:bidi w:val="0"/>
        <w:spacing w:before="0" w:after="400" w:line="240" w:lineRule="auto"/>
        <w:ind w:left="0" w:right="0" w:firstLine="0"/>
        <w:jc w:val="left"/>
      </w:pPr>
      <w:bookmarkStart w:id="16" w:name="bookmark16"/>
      <w:r>
        <w:rPr>
          <w:rFonts w:ascii="Times New Roman" w:eastAsia="Times New Roman" w:hAnsi="Times New Roman" w:cs="Times New Roman"/>
          <w:color w:val="000000"/>
          <w:spacing w:val="0"/>
          <w:w w:val="100"/>
          <w:position w:val="0"/>
          <w:sz w:val="24"/>
          <w:szCs w:val="24"/>
          <w:shd w:val="clear" w:color="auto" w:fill="auto"/>
          <w:lang w:val="pt-BR" w:eastAsia="pt-BR" w:bidi="pt-BR"/>
        </w:rPr>
        <w:t>REFERÊNCIAS</w:t>
      </w:r>
      <w:bookmarkEnd w:id="16"/>
    </w:p>
    <w:p>
      <w:pPr>
        <w:pStyle w:val="Style7"/>
        <w:keepNext w:val="0"/>
        <w:keepLines w:val="0"/>
        <w:widowControl w:val="0"/>
        <w:numPr>
          <w:ilvl w:val="0"/>
          <w:numId w:val="3"/>
        </w:numPr>
        <w:shd w:val="clear" w:color="auto" w:fill="auto"/>
        <w:tabs>
          <w:tab w:pos="757" w:val="left"/>
        </w:tabs>
        <w:bidi w:val="0"/>
        <w:spacing w:before="0" w:after="280" w:line="254" w:lineRule="auto"/>
        <w:ind w:left="740" w:right="0" w:hanging="34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PORTAL DA PREVIDÊNCIA SOCIAL. Sistema de Informação dos Regimes Públicos de Previdência Social (CADPREV). Disponível em: </w:t>
      </w:r>
      <w:r>
        <w:fldChar w:fldCharType="begin"/>
      </w:r>
      <w:r>
        <w:rPr/>
        <w:instrText> HYPERLINK "http://cadprev.previdencia.gov.br/" </w:instrText>
      </w:r>
      <w:r>
        <w:fldChar w:fldCharType="separate"/>
      </w:r>
      <w:r>
        <w:rPr>
          <w:rFonts w:ascii="Times New Roman" w:eastAsia="Times New Roman" w:hAnsi="Times New Roman" w:cs="Times New Roman"/>
          <w:color w:val="000000"/>
          <w:spacing w:val="0"/>
          <w:w w:val="100"/>
          <w:position w:val="0"/>
          <w:u w:val="single"/>
          <w:shd w:val="clear" w:color="auto" w:fill="auto"/>
          <w:lang w:val="en-US" w:eastAsia="en-US" w:bidi="en-US"/>
        </w:rPr>
        <w:t>http://cadprev.previdencia.gov.br/</w:t>
      </w:r>
      <w:r>
        <w:fldChar w:fldCharType="end"/>
      </w:r>
    </w:p>
    <w:p>
      <w:pPr>
        <w:pStyle w:val="Style7"/>
        <w:keepNext w:val="0"/>
        <w:keepLines w:val="0"/>
        <w:widowControl w:val="0"/>
        <w:numPr>
          <w:ilvl w:val="0"/>
          <w:numId w:val="3"/>
        </w:numPr>
        <w:shd w:val="clear" w:color="auto" w:fill="auto"/>
        <w:tabs>
          <w:tab w:pos="758" w:val="left"/>
        </w:tabs>
        <w:bidi w:val="0"/>
        <w:spacing w:before="0" w:after="520" w:line="254" w:lineRule="auto"/>
        <w:ind w:left="740" w:right="0" w:hanging="34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SISTEMA SGI: </w:t>
      </w:r>
      <w:r>
        <w:fldChar w:fldCharType="begin"/>
      </w:r>
      <w:r>
        <w:rPr/>
        <w:instrText> HYPERLINK "http://sgi.referenciagr.net.br/home"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http://sgi.referenciagr.net.br/home</w:t>
      </w:r>
      <w:r>
        <w:fldChar w:fldCharType="end"/>
      </w:r>
    </w:p>
    <w:p>
      <w:pPr>
        <w:pStyle w:val="Style7"/>
        <w:keepNext w:val="0"/>
        <w:keepLines w:val="0"/>
        <w:widowControl w:val="0"/>
        <w:numPr>
          <w:ilvl w:val="0"/>
          <w:numId w:val="3"/>
        </w:numPr>
        <w:shd w:val="clear" w:color="auto" w:fill="auto"/>
        <w:tabs>
          <w:tab w:pos="758" w:val="left"/>
        </w:tabs>
        <w:bidi w:val="0"/>
        <w:spacing w:before="0" w:after="400" w:line="254" w:lineRule="auto"/>
        <w:ind w:left="740" w:right="0" w:hanging="340"/>
        <w:jc w:val="left"/>
      </w:pPr>
      <w:r>
        <w:rPr>
          <w:rFonts w:ascii="Times New Roman" w:eastAsia="Times New Roman" w:hAnsi="Times New Roman" w:cs="Times New Roman"/>
          <w:color w:val="000000"/>
          <w:spacing w:val="0"/>
          <w:w w:val="100"/>
          <w:position w:val="0"/>
          <w:shd w:val="clear" w:color="auto" w:fill="auto"/>
          <w:lang w:val="pt-BR" w:eastAsia="pt-BR" w:bidi="pt-BR"/>
        </w:rPr>
        <w:t>CONSULTORIA REFERÊNCIA GESTÃO E RISCO</w:t>
      </w:r>
    </w:p>
    <w:sectPr>
      <w:footnotePr>
        <w:pos w:val="pageBottom"/>
        <w:numFmt w:val="decimal"/>
        <w:numRestart w:val="continuous"/>
      </w:footnotePr>
      <w:type w:val="continuous"/>
      <w:pgSz w:w="11900" w:h="16840"/>
      <w:pgMar w:top="1682" w:left="1621" w:right="1168" w:bottom="2597" w:header="1254"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6737985</wp:posOffset>
              </wp:positionH>
              <wp:positionV relativeFrom="page">
                <wp:posOffset>9898380</wp:posOffset>
              </wp:positionV>
              <wp:extent cx="130810" cy="109855"/>
              <wp:wrapNone/>
              <wp:docPr id="1" name="Shape 1"/>
              <a:graphic xmlns:a="http://schemas.openxmlformats.org/drawingml/2006/main">
                <a:graphicData uri="http://schemas.microsoft.com/office/word/2010/wordprocessingShape">
                  <wps:wsp>
                    <wps:cNvSpPr txBox="1"/>
                    <wps:spPr>
                      <a:xfrm>
                        <a:ext cx="130810" cy="1098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Fonts w:ascii="Times New Roman" w:eastAsia="Times New Roman" w:hAnsi="Times New Roman" w:cs="Times New Roman"/>
                                <w:color w:val="000000"/>
                                <w:spacing w:val="0"/>
                                <w:w w:val="100"/>
                                <w:position w:val="0"/>
                                <w:sz w:val="22"/>
                                <w:szCs w:val="22"/>
                                <w:shd w:val="clear" w:color="auto" w:fill="auto"/>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30.54999999999995pt;margin-top:779.39999999999998pt;width:10.300000000000001pt;height:8.65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Fonts w:ascii="Times New Roman" w:eastAsia="Times New Roman" w:hAnsi="Times New Roman" w:cs="Times New Roman"/>
                          <w:color w:val="000000"/>
                          <w:spacing w:val="0"/>
                          <w:w w:val="100"/>
                          <w:position w:val="0"/>
                          <w:sz w:val="22"/>
                          <w:szCs w:val="22"/>
                          <w:shd w:val="clear" w:color="auto" w:fill="auto"/>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Heading #1|1_"/>
    <w:basedOn w:val="DefaultParagraphFont"/>
    <w:link w:val="Style2"/>
    <w:rPr>
      <w:b/>
      <w:bCs/>
      <w:i w:val="0"/>
      <w:iCs w:val="0"/>
      <w:smallCaps w:val="0"/>
      <w:strike w:val="0"/>
      <w:sz w:val="40"/>
      <w:szCs w:val="40"/>
      <w:u w:val="none"/>
      <w:lang w:val="pt-PT" w:eastAsia="pt-PT" w:bidi="pt-PT"/>
    </w:rPr>
  </w:style>
  <w:style w:type="character" w:customStyle="1" w:styleId="CharStyle5">
    <w:name w:val="Header or footer|2_"/>
    <w:basedOn w:val="DefaultParagraphFont"/>
    <w:link w:val="Style4"/>
    <w:rPr>
      <w:b w:val="0"/>
      <w:bCs w:val="0"/>
      <w:i w:val="0"/>
      <w:iCs w:val="0"/>
      <w:smallCaps w:val="0"/>
      <w:strike w:val="0"/>
      <w:sz w:val="20"/>
      <w:szCs w:val="20"/>
      <w:u w:val="none"/>
      <w:lang w:val="pt-PT" w:eastAsia="pt-PT" w:bidi="pt-PT"/>
    </w:rPr>
  </w:style>
  <w:style w:type="character" w:customStyle="1" w:styleId="CharStyle8">
    <w:name w:val="Body text|1_"/>
    <w:basedOn w:val="DefaultParagraphFont"/>
    <w:link w:val="Style7"/>
    <w:rPr>
      <w:b w:val="0"/>
      <w:bCs w:val="0"/>
      <w:i w:val="0"/>
      <w:iCs w:val="0"/>
      <w:smallCaps w:val="0"/>
      <w:strike w:val="0"/>
      <w:sz w:val="22"/>
      <w:szCs w:val="22"/>
      <w:u w:val="none"/>
    </w:rPr>
  </w:style>
  <w:style w:type="character" w:customStyle="1" w:styleId="CharStyle12">
    <w:name w:val="Other|1_"/>
    <w:basedOn w:val="DefaultParagraphFont"/>
    <w:link w:val="Style11"/>
    <w:rPr>
      <w:b w:val="0"/>
      <w:bCs w:val="0"/>
      <w:i w:val="0"/>
      <w:iCs w:val="0"/>
      <w:smallCaps w:val="0"/>
      <w:strike w:val="0"/>
      <w:sz w:val="22"/>
      <w:szCs w:val="22"/>
      <w:u w:val="none"/>
      <w:lang w:val="pt-PT" w:eastAsia="pt-PT" w:bidi="pt-PT"/>
    </w:rPr>
  </w:style>
  <w:style w:type="character" w:customStyle="1" w:styleId="CharStyle15">
    <w:name w:val="Body text|2_"/>
    <w:basedOn w:val="DefaultParagraphFont"/>
    <w:link w:val="Style14"/>
    <w:rPr>
      <w:rFonts w:ascii="Arial" w:eastAsia="Arial" w:hAnsi="Arial" w:cs="Arial"/>
      <w:b w:val="0"/>
      <w:bCs w:val="0"/>
      <w:i w:val="0"/>
      <w:iCs w:val="0"/>
      <w:smallCaps w:val="0"/>
      <w:strike w:val="0"/>
      <w:u w:val="none"/>
      <w:lang w:val="pt-PT" w:eastAsia="pt-PT" w:bidi="pt-PT"/>
    </w:rPr>
  </w:style>
  <w:style w:type="character" w:customStyle="1" w:styleId="CharStyle17">
    <w:name w:val="Heading #2|1_"/>
    <w:basedOn w:val="DefaultParagraphFont"/>
    <w:link w:val="Style16"/>
    <w:rPr>
      <w:b/>
      <w:bCs/>
      <w:i w:val="0"/>
      <w:iCs w:val="0"/>
      <w:smallCaps w:val="0"/>
      <w:strike w:val="0"/>
      <w:u w:val="none"/>
      <w:lang w:val="pt-PT" w:eastAsia="pt-PT" w:bidi="pt-PT"/>
    </w:rPr>
  </w:style>
  <w:style w:type="character" w:customStyle="1" w:styleId="CharStyle30">
    <w:name w:val="Table caption|1_"/>
    <w:basedOn w:val="DefaultParagraphFont"/>
    <w:link w:val="Style29"/>
    <w:rPr>
      <w:rFonts w:ascii="Arial" w:eastAsia="Arial" w:hAnsi="Arial" w:cs="Arial"/>
      <w:b w:val="0"/>
      <w:bCs w:val="0"/>
      <w:i w:val="0"/>
      <w:iCs w:val="0"/>
      <w:smallCaps w:val="0"/>
      <w:strike w:val="0"/>
      <w:sz w:val="15"/>
      <w:szCs w:val="15"/>
      <w:u w:val="none"/>
    </w:rPr>
  </w:style>
  <w:style w:type="character" w:customStyle="1" w:styleId="CharStyle34">
    <w:name w:val="Picture caption|1_"/>
    <w:basedOn w:val="DefaultParagraphFont"/>
    <w:link w:val="Style33"/>
    <w:rPr>
      <w:rFonts w:ascii="Arial" w:eastAsia="Arial" w:hAnsi="Arial" w:cs="Arial"/>
      <w:b w:val="0"/>
      <w:bCs w:val="0"/>
      <w:i w:val="0"/>
      <w:iCs w:val="0"/>
      <w:smallCaps w:val="0"/>
      <w:strike w:val="0"/>
      <w:u w:val="none"/>
    </w:rPr>
  </w:style>
  <w:style w:type="paragraph" w:customStyle="1" w:styleId="Style2">
    <w:name w:val="Heading #1|1"/>
    <w:basedOn w:val="Normal"/>
    <w:link w:val="CharStyle3"/>
    <w:pPr>
      <w:widowControl w:val="0"/>
      <w:shd w:val="clear" w:color="auto" w:fill="FFFFFF"/>
      <w:spacing w:after="460"/>
      <w:jc w:val="center"/>
      <w:outlineLvl w:val="0"/>
    </w:pPr>
    <w:rPr>
      <w:b/>
      <w:bCs/>
      <w:i w:val="0"/>
      <w:iCs w:val="0"/>
      <w:smallCaps w:val="0"/>
      <w:strike w:val="0"/>
      <w:sz w:val="40"/>
      <w:szCs w:val="40"/>
      <w:u w:val="none"/>
      <w:lang w:val="pt-PT" w:eastAsia="pt-PT" w:bidi="pt-PT"/>
    </w:rPr>
  </w:style>
  <w:style w:type="paragraph" w:customStyle="1" w:styleId="Style4">
    <w:name w:val="Header or footer|2"/>
    <w:basedOn w:val="Normal"/>
    <w:link w:val="CharStyle5"/>
    <w:pPr>
      <w:widowControl w:val="0"/>
      <w:shd w:val="clear" w:color="auto" w:fill="FFFFFF"/>
    </w:pPr>
    <w:rPr>
      <w:b w:val="0"/>
      <w:bCs w:val="0"/>
      <w:i w:val="0"/>
      <w:iCs w:val="0"/>
      <w:smallCaps w:val="0"/>
      <w:strike w:val="0"/>
      <w:sz w:val="20"/>
      <w:szCs w:val="20"/>
      <w:u w:val="none"/>
      <w:lang w:val="pt-PT" w:eastAsia="pt-PT" w:bidi="pt-PT"/>
    </w:rPr>
  </w:style>
  <w:style w:type="paragraph" w:customStyle="1" w:styleId="Style7">
    <w:name w:val="Body text|1"/>
    <w:basedOn w:val="Normal"/>
    <w:link w:val="CharStyle8"/>
    <w:pPr>
      <w:widowControl w:val="0"/>
      <w:shd w:val="clear" w:color="auto" w:fill="FFFFFF"/>
      <w:spacing w:after="100" w:line="391" w:lineRule="auto"/>
      <w:ind w:firstLine="400"/>
    </w:pPr>
    <w:rPr>
      <w:b w:val="0"/>
      <w:bCs w:val="0"/>
      <w:i w:val="0"/>
      <w:iCs w:val="0"/>
      <w:smallCaps w:val="0"/>
      <w:strike w:val="0"/>
      <w:sz w:val="22"/>
      <w:szCs w:val="22"/>
      <w:u w:val="none"/>
    </w:rPr>
  </w:style>
  <w:style w:type="paragraph" w:customStyle="1" w:styleId="Style11">
    <w:name w:val="Other|1"/>
    <w:basedOn w:val="Normal"/>
    <w:link w:val="CharStyle12"/>
    <w:pPr>
      <w:widowControl w:val="0"/>
      <w:shd w:val="clear" w:color="auto" w:fill="FFFFFF"/>
      <w:spacing w:after="100" w:line="391" w:lineRule="auto"/>
      <w:ind w:firstLine="400"/>
    </w:pPr>
    <w:rPr>
      <w:b w:val="0"/>
      <w:bCs w:val="0"/>
      <w:i w:val="0"/>
      <w:iCs w:val="0"/>
      <w:smallCaps w:val="0"/>
      <w:strike w:val="0"/>
      <w:sz w:val="22"/>
      <w:szCs w:val="22"/>
      <w:u w:val="none"/>
      <w:lang w:val="pt-PT" w:eastAsia="pt-PT" w:bidi="pt-PT"/>
    </w:rPr>
  </w:style>
  <w:style w:type="paragraph" w:customStyle="1" w:styleId="Style14">
    <w:name w:val="Body text|2"/>
    <w:basedOn w:val="Normal"/>
    <w:link w:val="CharStyle15"/>
    <w:pPr>
      <w:widowControl w:val="0"/>
      <w:shd w:val="clear" w:color="auto" w:fill="FFFFFF"/>
      <w:jc w:val="center"/>
    </w:pPr>
    <w:rPr>
      <w:rFonts w:ascii="Arial" w:eastAsia="Arial" w:hAnsi="Arial" w:cs="Arial"/>
      <w:b w:val="0"/>
      <w:bCs w:val="0"/>
      <w:i w:val="0"/>
      <w:iCs w:val="0"/>
      <w:smallCaps w:val="0"/>
      <w:strike w:val="0"/>
      <w:u w:val="none"/>
      <w:lang w:val="pt-PT" w:eastAsia="pt-PT" w:bidi="pt-PT"/>
    </w:rPr>
  </w:style>
  <w:style w:type="paragraph" w:customStyle="1" w:styleId="Style16">
    <w:name w:val="Heading #2|1"/>
    <w:basedOn w:val="Normal"/>
    <w:link w:val="CharStyle17"/>
    <w:pPr>
      <w:widowControl w:val="0"/>
      <w:shd w:val="clear" w:color="auto" w:fill="FFFFFF"/>
      <w:spacing w:after="120" w:line="360" w:lineRule="auto"/>
      <w:jc w:val="center"/>
      <w:outlineLvl w:val="1"/>
    </w:pPr>
    <w:rPr>
      <w:b/>
      <w:bCs/>
      <w:i w:val="0"/>
      <w:iCs w:val="0"/>
      <w:smallCaps w:val="0"/>
      <w:strike w:val="0"/>
      <w:u w:val="none"/>
      <w:lang w:val="pt-PT" w:eastAsia="pt-PT" w:bidi="pt-PT"/>
    </w:rPr>
  </w:style>
  <w:style w:type="paragraph" w:customStyle="1" w:styleId="Style29">
    <w:name w:val="Table caption|1"/>
    <w:basedOn w:val="Normal"/>
    <w:link w:val="CharStyle30"/>
    <w:pPr>
      <w:widowControl w:val="0"/>
      <w:shd w:val="clear" w:color="auto" w:fill="FFFFFF"/>
    </w:pPr>
    <w:rPr>
      <w:rFonts w:ascii="Arial" w:eastAsia="Arial" w:hAnsi="Arial" w:cs="Arial"/>
      <w:b w:val="0"/>
      <w:bCs w:val="0"/>
      <w:i w:val="0"/>
      <w:iCs w:val="0"/>
      <w:smallCaps w:val="0"/>
      <w:strike w:val="0"/>
      <w:sz w:val="15"/>
      <w:szCs w:val="15"/>
      <w:u w:val="none"/>
    </w:rPr>
  </w:style>
  <w:style w:type="paragraph" w:customStyle="1" w:styleId="Style33">
    <w:name w:val="Picture caption|1"/>
    <w:basedOn w:val="Normal"/>
    <w:link w:val="CharStyle34"/>
    <w:pPr>
      <w:widowControl w:val="0"/>
      <w:shd w:val="clear" w:color="auto" w:fill="FFFFFF"/>
      <w:jc w:val="center"/>
    </w:pPr>
    <w:rPr>
      <w:rFonts w:ascii="Arial" w:eastAsia="Arial" w:hAnsi="Arial" w:cs="Arial"/>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1.jpeg" TargetMode="Externa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image" Target="media/image3.jpeg"/><Relationship Id="rId11" Type="http://schemas.openxmlformats.org/officeDocument/2006/relationships/image" Target="media/image3.jpeg" TargetMode="External"/><Relationship Id="rId12" Type="http://schemas.openxmlformats.org/officeDocument/2006/relationships/image" Target="media/image4.png"/><Relationship Id="rId13" Type="http://schemas.openxmlformats.org/officeDocument/2006/relationships/image" Target="media/image4.png" TargetMode="External"/><Relationship Id="rId14" Type="http://schemas.openxmlformats.org/officeDocument/2006/relationships/image" Target="media/image5.jpeg"/><Relationship Id="rId15" Type="http://schemas.openxmlformats.org/officeDocument/2006/relationships/image" Target="media/image5.jpeg" TargetMode="External"/><Relationship Id="rId16" Type="http://schemas.openxmlformats.org/officeDocument/2006/relationships/image" Target="media/image6.png"/><Relationship Id="rId17" Type="http://schemas.openxmlformats.org/officeDocument/2006/relationships/image" Target="media/image6.png" TargetMode="External"/><Relationship Id="rId18" Type="http://schemas.openxmlformats.org/officeDocument/2006/relationships/image" Target="media/image7.jpeg"/><Relationship Id="rId19" Type="http://schemas.openxmlformats.org/officeDocument/2006/relationships/image" Target="media/image7.jpeg" TargetMode="External"/><Relationship Id="rId20" Type="http://schemas.openxmlformats.org/officeDocument/2006/relationships/image" Target="media/image8.jpeg"/><Relationship Id="rId21" Type="http://schemas.openxmlformats.org/officeDocument/2006/relationships/image" Target="media/image8.jpeg" TargetMode="External"/><Relationship Id="rId22" Type="http://schemas.openxmlformats.org/officeDocument/2006/relationships/image" Target="media/image9.jpeg"/><Relationship Id="rId23" Type="http://schemas.openxmlformats.org/officeDocument/2006/relationships/image" Target="media/image9.jpeg" TargetMode="External"/><Relationship Id="rId24" Type="http://schemas.openxmlformats.org/officeDocument/2006/relationships/image" Target="media/image10.jpeg"/><Relationship Id="rId25" Type="http://schemas.openxmlformats.org/officeDocument/2006/relationships/image" Target="media/image10.jpeg" TargetMode="External"/><Relationship Id="rId26" Type="http://schemas.openxmlformats.org/officeDocument/2006/relationships/image" Target="media/image11.jpeg"/><Relationship Id="rId27" Type="http://schemas.openxmlformats.org/officeDocument/2006/relationships/image" Target="media/image11.jpeg" TargetMode="External"/><Relationship Id="rId28" Type="http://schemas.openxmlformats.org/officeDocument/2006/relationships/image" Target="media/image12.jpeg"/><Relationship Id="rId29" Type="http://schemas.openxmlformats.org/officeDocument/2006/relationships/image" Target="media/image12.jpeg" TargetMode="External"/><Relationship Id="rId30" Type="http://schemas.openxmlformats.org/officeDocument/2006/relationships/image" Target="media/image13.png"/><Relationship Id="rId31" Type="http://schemas.openxmlformats.org/officeDocument/2006/relationships/image" Target="media/image13.png" TargetMode="External"/><Relationship Id="rId32" Type="http://schemas.openxmlformats.org/officeDocument/2006/relationships/image" Target="media/image14.jpeg"/><Relationship Id="rId33" Type="http://schemas.openxmlformats.org/officeDocument/2006/relationships/image" Target="media/image14.jpeg" TargetMode="External"/><Relationship Id="rId34" Type="http://schemas.openxmlformats.org/officeDocument/2006/relationships/image" Target="media/image15.jpeg"/><Relationship Id="rId35" Type="http://schemas.openxmlformats.org/officeDocument/2006/relationships/image" Target="media/image15.jpeg" TargetMode="External"/><Relationship Id="rId36" Type="http://schemas.openxmlformats.org/officeDocument/2006/relationships/image" Target="media/image16.jpeg"/><Relationship Id="rId37" Type="http://schemas.openxmlformats.org/officeDocument/2006/relationships/image" Target="media/image16.jpeg" TargetMode="External"/><Relationship Id="rId38" Type="http://schemas.openxmlformats.org/officeDocument/2006/relationships/image" Target="media/image17.jpeg"/><Relationship Id="rId39" Type="http://schemas.openxmlformats.org/officeDocument/2006/relationships/image" Target="media/image17.jpeg" TargetMode="External"/></Relationships>
</file>