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4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drawing>
          <wp:anchor distT="0" distB="0" distL="114300" distR="114300" simplePos="0" relativeHeight="125829378" behindDoc="0" locked="0" layoutInCell="1" allowOverlap="1">
            <wp:simplePos x="0" y="0"/>
            <wp:positionH relativeFrom="page">
              <wp:posOffset>1356360</wp:posOffset>
            </wp:positionH>
            <wp:positionV relativeFrom="paragraph">
              <wp:posOffset>38100</wp:posOffset>
            </wp:positionV>
            <wp:extent cx="591185" cy="60960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91185" cy="60960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125829379" behindDoc="0" locked="0" layoutInCell="1" allowOverlap="1">
            <wp:simplePos x="0" y="0"/>
            <wp:positionH relativeFrom="page">
              <wp:posOffset>5770245</wp:posOffset>
            </wp:positionH>
            <wp:positionV relativeFrom="paragraph">
              <wp:posOffset>12700</wp:posOffset>
            </wp:positionV>
            <wp:extent cx="713105" cy="658495"/>
            <wp:wrapSquare wrapText="left"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713105" cy="658495"/>
                    </a:xfrm>
                    <a:prstGeom prst="rect"/>
                  </pic:spPr>
                </pic:pic>
              </a:graphicData>
            </a:graphic>
          </wp:anchor>
        </w:drawing>
      </w: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ESTADO DO AMAZONAS</w:t>
      </w:r>
      <w:bookmarkEnd w:id="0"/>
    </w:p>
    <w:p>
      <w:pPr>
        <w:pStyle w:val="Style6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380" w:line="266" w:lineRule="auto"/>
        <w:ind w:left="0" w:right="0" w:firstLine="0"/>
        <w:jc w:val="center"/>
        <w:rPr>
          <w:sz w:val="20"/>
          <w:szCs w:val="20"/>
        </w:rPr>
      </w:pPr>
      <w:r>
        <w:rPr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Instituto de Previdência dos Servidores Públicos</w:t>
        <w:br/>
        <w:t>de Lábrea</w:t>
        <w:br/>
        <w:t>CNPJ: 05.995.768/0001-66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60" w:line="302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LÁBREA PREV - LÁBREA/AM</w:t>
        <w:br/>
        <w:t xml:space="preserve">ATA DE REUNIÃO ORDINÁRIA DO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COMITÊ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 INVESTIMENTOS</w:t>
        <w:br/>
        <w:t>N° 012/2025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Aos doze (10) dias do mês de dezembro do ano de dois mil e vinte e cinco (2025),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às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quinze horas (15h00),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reuniu-se,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na sede do Instituto de Previdência dos Servidores Públicos de Lábrea - LÁBREA PREV, localizada na Rua 24 de Agosto, n° 194, Centro, 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Comitê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 Investimentos desta Autarquia.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60" w:line="391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Estiveram presentes os membros nomeados pela Portaria n° 002/2025 - LÁBREA PREV: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766" w:val="left"/>
        </w:tabs>
        <w:bidi w:val="0"/>
        <w:spacing w:before="0" w:after="0" w:line="394" w:lineRule="auto"/>
        <w:ind w:left="780" w:right="0" w:hanging="3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Gercivaldo Lima Alves, Presidente do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Comitê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 Investimentos;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766" w:val="left"/>
        </w:tabs>
        <w:bidi w:val="0"/>
        <w:spacing w:before="0" w:after="0" w:line="394" w:lineRule="auto"/>
        <w:ind w:left="780" w:right="0" w:hanging="3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José Raimundo Aguiar de Souza, Diretor Financeiro;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766" w:val="left"/>
        </w:tabs>
        <w:bidi w:val="0"/>
        <w:spacing w:before="0" w:after="0" w:line="394" w:lineRule="auto"/>
        <w:ind w:left="780" w:right="0" w:hanging="3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Elizangela Neves de Albuquerque, professora efetiva e contribuinte do RPPS;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766" w:val="left"/>
        </w:tabs>
        <w:bidi w:val="0"/>
        <w:spacing w:before="0" w:after="0" w:line="394" w:lineRule="auto"/>
        <w:ind w:left="780" w:right="0" w:hanging="3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Francisco Albuquerque Neves, servidor efetivo e contribuinte do RPPS;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766" w:val="left"/>
        </w:tabs>
        <w:bidi w:val="0"/>
        <w:spacing w:before="0" w:after="260" w:line="394" w:lineRule="auto"/>
        <w:ind w:left="780" w:right="0" w:hanging="3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Herton Carlos Nascimento da Costa, professor efetivo e contribuinte do RPPS.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Em seguida, o(a) Presidente apresentou a pauta do dia, que versou sobre Renda Fixa e Variável, bem como a avaliação das carteiras de investimentos do Instituto.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Na última semana, os mercados globais e domésticos foram influenciados por fatores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econômicos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e políticos. Nos Estados Unidos, dados do mercado de trabalho reforçaram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expectativas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de continuidade da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flexibilização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monetária pelo Federal Reserve. No Brasil, 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PIB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registrou leve alta de 0,1% no terceiro trimestre, com desempenho moderado nos principais setores. Pela ótica da despesa, a Despesa de Consumo das Famílias teve variação positiva de 0,1%, a Despesa de Consumo do Governo cresceu 1,3% e a Formação Bruta de Capital Fixo obteve alta de 0,9% em relação ao trimestre imediatamente anterior.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60"/>
        <w:ind w:left="0" w:right="0" w:firstLine="7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 Ibovespa encerrou a semana em queda de 1,1%, aos 157.369 pontos. De segunda a quinta-feira, o índice manteve 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rali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recente, acumulando alta de 3,4%, impulsionado pelos dados de produção industrial e do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PIB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do 3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trimestre, embora abaixo das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expectativas.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Na sexta-feira, porém, recuou 4,3%, refletindo</w:t>
      </w:r>
      <w:r>
        <w:br w:type="page"/>
      </w:r>
    </w:p>
    <w:p>
      <w:pPr>
        <w:pStyle w:val="Style4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drawing>
          <wp:anchor distT="0" distB="0" distL="114300" distR="114300" simplePos="0" relativeHeight="125829380" behindDoc="0" locked="0" layoutInCell="1" allowOverlap="1">
            <wp:simplePos x="0" y="0"/>
            <wp:positionH relativeFrom="page">
              <wp:posOffset>1386840</wp:posOffset>
            </wp:positionH>
            <wp:positionV relativeFrom="paragraph">
              <wp:posOffset>76200</wp:posOffset>
            </wp:positionV>
            <wp:extent cx="542290" cy="560705"/>
            <wp:wrapSquare wrapText="right"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542290" cy="56070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304800" distL="306070" distR="309880" simplePos="0" relativeHeight="125829381" behindDoc="0" locked="0" layoutInCell="1" allowOverlap="1">
            <wp:simplePos x="0" y="0"/>
            <wp:positionH relativeFrom="page">
              <wp:posOffset>5937250</wp:posOffset>
            </wp:positionH>
            <wp:positionV relativeFrom="paragraph">
              <wp:posOffset>12700</wp:posOffset>
            </wp:positionV>
            <wp:extent cx="359410" cy="359410"/>
            <wp:wrapSquare wrapText="left"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59410" cy="35941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359410" distB="635" distL="114300" distR="114300" simplePos="0" relativeHeight="125829382" behindDoc="0" locked="0" layoutInCell="1" allowOverlap="1">
            <wp:simplePos x="0" y="0"/>
            <wp:positionH relativeFrom="page">
              <wp:posOffset>5745480</wp:posOffset>
            </wp:positionH>
            <wp:positionV relativeFrom="paragraph">
              <wp:posOffset>372110</wp:posOffset>
            </wp:positionV>
            <wp:extent cx="749935" cy="304800"/>
            <wp:wrapSquare wrapText="left"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749935" cy="304800"/>
                    </a:xfrm>
                    <a:prstGeom prst="rect"/>
                  </pic:spPr>
                </pic:pic>
              </a:graphicData>
            </a:graphic>
          </wp:anchor>
        </w:drawing>
      </w:r>
      <w:bookmarkStart w:id="1" w:name="bookmark1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ESTADO DO AMAZONAS</w:t>
      </w:r>
      <w:bookmarkEnd w:id="1"/>
    </w:p>
    <w:p>
      <w:pPr>
        <w:pStyle w:val="Style6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400" w:line="266" w:lineRule="auto"/>
        <w:ind w:left="0" w:right="0" w:firstLine="0"/>
        <w:jc w:val="center"/>
        <w:rPr>
          <w:sz w:val="20"/>
          <w:szCs w:val="20"/>
        </w:rPr>
      </w:pPr>
      <w:r>
        <w:rPr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Instituto de Previdência dos Servidores Públicos</w:t>
        <w:br/>
        <w:t>de Lábrea</w:t>
        <w:br/>
        <w:t>CNPJ: 05.995.768/0001-66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391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volatilidade gerada pelo anúncio da candidatura de Flávio Bolsonaro à Presidência em 2026.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391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No mercado de Renda Fixa, os juros futuros encerraram com forte abertura ao longo da curva, refletindo a reação do mercado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às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notícias políticas relacionadas à pré-candidatura de Flávio Bolsonaro, que provocou um forte movimento de venda de ativos domésticos.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391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As taxas de juro real apresentaram leve fechamento, com os rendimentos das NTN-Bs com vencimento em 2030 terminando em 7,56% a.a. (vs.7,69% na semana anterior). Neste contexto, seguimos com a recomendação de uma postura conservadora,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priorizando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ativos de proteção que permitam capturar ganhos de forma estratégica. Reforçamos, ainda, a relevância da diversificação das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alocações,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sempre em conformidade com as diretrizes da política de investimentos.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391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Feita essa análise, passamos à verificação das carteiras aderidas.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Carteira de Investimento: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BB Previd RF Perfil - CNPJ: 13.077.418/0001-49 Valor Investido: R$ 317.550,67 (trezentos 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dezessete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mil e quinhentos e cinquenta reais e sessenta e sete centavos);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Carteira de Investimento: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BB Previd RF IRF-M1 - CNPJ: 11.238.882/0001-35. Valor Investido: R$ 2.210.808,58 (dois milhões e duzentos e dez mil e oitocentos e oito reais e cinquenta e oito centavos);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Carteira de Investimento: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RF LP Tesouro Selic - CNPJ: 04.857.834/0001-79. Valor Investido: R$ 371.601,21 (trezentos e setenta e um mil e seiscentos e um reais e vinte e um centavos). Total de recursos investidos: R$ 2.899.960,46 (dois milhões e oitocentos e noventa e nove mil e novecentos e sessenta reais e quarenta e seis centavos).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60" w:line="391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Nada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mais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havendo a tratar, o(a) Presidente agradeceu a presença de todos e encerrou a reunião, da qual foi lavrada a presente ata que, após lida e aprovada, será assinada por todos os membros presentes.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10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Lábrea/AM, 10 de dezembro de 2025.</w:t>
      </w:r>
    </w:p>
    <w:p>
      <w:pPr>
        <w:pStyle w:val="Style6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Gerciváídd Lima Alves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Presidente do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Comitê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 Investimentos</w:t>
      </w:r>
      <w:r>
        <w:br w:type="page"/>
      </w:r>
    </w:p>
    <w:p>
      <w:pPr>
        <w:pStyle w:val="Style4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drawing>
          <wp:anchor distT="0" distB="0" distL="114300" distR="114300" simplePos="0" relativeHeight="125829383" behindDoc="0" locked="0" layoutInCell="1" allowOverlap="1">
            <wp:simplePos x="0" y="0"/>
            <wp:positionH relativeFrom="page">
              <wp:posOffset>1304925</wp:posOffset>
            </wp:positionH>
            <wp:positionV relativeFrom="margin">
              <wp:posOffset>-18415</wp:posOffset>
            </wp:positionV>
            <wp:extent cx="646430" cy="670560"/>
            <wp:wrapSquare wrapText="right"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646430" cy="670560"/>
                    </a:xfrm>
                    <a:prstGeom prst="rect"/>
                  </pic:spPr>
                </pic:pic>
              </a:graphicData>
            </a:graphic>
          </wp:anchor>
        </w:drawing>
      </w: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ESTADO DO AMAZONAS</w:t>
      </w:r>
      <w:bookmarkEnd w:id="2"/>
    </w:p>
    <w:p>
      <w:pPr>
        <w:pStyle w:val="Style6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800" w:line="266" w:lineRule="auto"/>
        <w:ind w:left="0" w:right="0" w:firstLine="0"/>
        <w:jc w:val="center"/>
        <w:rPr>
          <w:sz w:val="20"/>
          <w:szCs w:val="20"/>
        </w:rPr>
      </w:pPr>
      <w:r>
        <w:rPr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Instituto de Previdência dos Servidores Públicos</w:t>
        <w:br/>
        <w:t>de Lábrea</w:t>
        <w:br/>
        <w:t>CNPJ: 05.995.768/0001-66</w:t>
      </w:r>
    </w:p>
    <w:p>
      <w:pPr>
        <w:pStyle w:val="Style6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bidi w:val="0"/>
        <w:spacing w:before="0" w:after="0" w:line="259" w:lineRule="auto"/>
        <w:ind w:left="0" w:right="1860" w:firstLine="0"/>
        <w:jc w:val="left"/>
        <w:sectPr>
          <w:footnotePr>
            <w:pos w:val="pageBottom"/>
            <w:numFmt w:val="decimal"/>
            <w:numRestart w:val="continuous"/>
          </w:footnotePr>
          <w:pgSz w:w="11900" w:h="16840"/>
          <w:pgMar w:top="275" w:left="1656" w:right="1651" w:bottom="1240" w:header="0" w:footer="812" w:gutter="0"/>
          <w:pgNumType w:start="1"/>
          <w:cols w:space="720"/>
          <w:noEndnote/>
          <w:rtlGutter w:val="0"/>
          <w:docGrid w:linePitch="360"/>
        </w:sectPr>
      </w:pPr>
      <w:r>
        <w:drawing>
          <wp:anchor distT="0" distB="301625" distL="303530" distR="309245" simplePos="0" relativeHeight="125829384" behindDoc="0" locked="0" layoutInCell="1" allowOverlap="1">
            <wp:simplePos x="0" y="0"/>
            <wp:positionH relativeFrom="page">
              <wp:posOffset>5937885</wp:posOffset>
            </wp:positionH>
            <wp:positionV relativeFrom="margin">
              <wp:posOffset>24130</wp:posOffset>
            </wp:positionV>
            <wp:extent cx="365760" cy="365760"/>
            <wp:wrapSquare wrapText="left"/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65760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365760" distB="0" distL="114300" distR="114300" simplePos="0" relativeHeight="125829385" behindDoc="0" locked="0" layoutInCell="1" allowOverlap="1">
            <wp:simplePos x="0" y="0"/>
            <wp:positionH relativeFrom="page">
              <wp:posOffset>5748655</wp:posOffset>
            </wp:positionH>
            <wp:positionV relativeFrom="margin">
              <wp:posOffset>389890</wp:posOffset>
            </wp:positionV>
            <wp:extent cx="749935" cy="304800"/>
            <wp:wrapSquare wrapText="left"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ext cx="749935" cy="30480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12065" distL="972185" distR="0" simplePos="0" relativeHeight="125829386" behindDoc="0" locked="0" layoutInCell="1" allowOverlap="1">
            <wp:simplePos x="0" y="0"/>
            <wp:positionH relativeFrom="page">
              <wp:posOffset>3608705</wp:posOffset>
            </wp:positionH>
            <wp:positionV relativeFrom="margin">
              <wp:posOffset>978535</wp:posOffset>
            </wp:positionV>
            <wp:extent cx="433070" cy="597535"/>
            <wp:wrapTight wrapText="right">
              <wp:wrapPolygon>
                <wp:start x="7200" y="0"/>
                <wp:lineTo x="21600" y="0"/>
                <wp:lineTo x="21600" y="9305"/>
                <wp:lineTo x="15166" y="9305"/>
                <wp:lineTo x="15166" y="13846"/>
                <wp:lineTo x="12409" y="13846"/>
                <wp:lineTo x="12409" y="21600"/>
                <wp:lineTo x="0" y="21600"/>
                <wp:lineTo x="0" y="21157"/>
                <wp:lineTo x="613" y="21157"/>
                <wp:lineTo x="613" y="16283"/>
                <wp:lineTo x="7200" y="16283"/>
                <wp:lineTo x="7200" y="0"/>
              </wp:wrapPolygon>
            </wp:wrapTight>
            <wp:docPr id="17" name="Shap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box 18"/>
                    <pic:cNvPicPr/>
                  </pic:nvPicPr>
                  <pic:blipFill>
                    <a:blip r:embed="rId21"/>
                    <a:stretch/>
                  </pic:blipFill>
                  <pic:spPr>
                    <a:xfrm>
                      <a:ext cx="433070" cy="59753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2636520</wp:posOffset>
                </wp:positionH>
                <wp:positionV relativeFrom="margin">
                  <wp:posOffset>1398905</wp:posOffset>
                </wp:positionV>
                <wp:extent cx="826135" cy="186055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26135" cy="1860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José Raimu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45" type="#_x0000_t202" style="position:absolute;margin-left:207.59999999999999pt;margin-top:110.15000000000001pt;width:65.049999999999997pt;height:14.65pt;z-index:251657729;mso-wrap-distance-left:0;mso-wrap-distance-right:0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José Raimu</w:t>
                      </w:r>
                    </w:p>
                  </w:txbxContent>
                </v:textbox>
                <w10:wrap anchorx="page" anchory="margin"/>
              </v:shape>
            </w:pict>
          </mc:Fallback>
        </mc:AlternateContent>
      </w:r>
      <w:r>
        <w:rPr>
          <w:color w:val="6D7CBD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.^7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guiar de Souza Diretor Financeirtído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Comitê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 Investimento</w:t>
      </w:r>
    </w:p>
    <w:p>
      <w:pPr>
        <w:pStyle w:val="Style2"/>
        <w:keepNext w:val="0"/>
        <w:keepLines w:val="0"/>
        <w:framePr w:w="3245" w:h="586" w:wrap="none" w:vAnchor="text" w:hAnchor="page" w:x="4311" w:y="113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Francisco Albuquerque Neves Membro do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Comitê</w:t>
      </w:r>
    </w:p>
    <w:p>
      <w:pPr>
        <w:pStyle w:val="Style2"/>
        <w:keepNext w:val="0"/>
        <w:keepLines w:val="0"/>
        <w:framePr w:w="3864" w:h="586" w:wrap="none" w:vAnchor="text" w:hAnchor="page" w:x="4009" w:y="2502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Herton Carlos Nascimento da Costa Membro do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Comitê</w:t>
      </w:r>
    </w:p>
    <w:p>
      <w:pPr>
        <w:pStyle w:val="Style2"/>
        <w:keepNext w:val="0"/>
        <w:keepLines w:val="0"/>
        <w:framePr w:w="2069" w:h="293" w:wrap="none" w:vAnchor="text" w:hAnchor="page" w:x="4917" w:y="415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Membro do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Comitê</w:t>
      </w:r>
    </w:p>
    <w:p>
      <w:pPr>
        <w:widowControl w:val="0"/>
        <w:spacing w:line="360" w:lineRule="exact"/>
      </w:pPr>
      <w:r>
        <w:drawing>
          <wp:anchor distT="0" distB="313690" distL="0" distR="704215" simplePos="0" relativeHeight="62914690" behindDoc="1" locked="0" layoutInCell="1" allowOverlap="1">
            <wp:simplePos x="0" y="0"/>
            <wp:positionH relativeFrom="page">
              <wp:posOffset>1920240</wp:posOffset>
            </wp:positionH>
            <wp:positionV relativeFrom="paragraph">
              <wp:posOffset>12700</wp:posOffset>
            </wp:positionV>
            <wp:extent cx="2176145" cy="762000"/>
            <wp:wrapNone/>
            <wp:docPr id="21" name="Shap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box 22"/>
                    <pic:cNvPicPr/>
                  </pic:nvPicPr>
                  <pic:blipFill>
                    <a:blip r:embed="rId23"/>
                    <a:stretch/>
                  </pic:blipFill>
                  <pic:spPr>
                    <a:xfrm>
                      <a:ext cx="2176145" cy="76200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356870" distL="0" distR="0" simplePos="0" relativeHeight="62914691" behindDoc="1" locked="0" layoutInCell="1" allowOverlap="1">
            <wp:simplePos x="0" y="0"/>
            <wp:positionH relativeFrom="page">
              <wp:posOffset>1892935</wp:posOffset>
            </wp:positionH>
            <wp:positionV relativeFrom="paragraph">
              <wp:posOffset>1252855</wp:posOffset>
            </wp:positionV>
            <wp:extent cx="3706495" cy="353695"/>
            <wp:wrapNone/>
            <wp:docPr id="23" name="Shap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box 24"/>
                    <pic:cNvPicPr/>
                  </pic:nvPicPr>
                  <pic:blipFill>
                    <a:blip r:embed="rId25"/>
                    <a:stretch/>
                  </pic:blipFill>
                  <pic:spPr>
                    <a:xfrm>
                      <a:ext cx="3706495" cy="35369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186055" distL="0" distR="0" simplePos="0" relativeHeight="62914692" behindDoc="1" locked="0" layoutInCell="1" allowOverlap="1">
            <wp:simplePos x="0" y="0"/>
            <wp:positionH relativeFrom="page">
              <wp:posOffset>1871980</wp:posOffset>
            </wp:positionH>
            <wp:positionV relativeFrom="paragraph">
              <wp:posOffset>2112010</wp:posOffset>
            </wp:positionV>
            <wp:extent cx="3669665" cy="530225"/>
            <wp:wrapNone/>
            <wp:docPr id="25" name="Shape 2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box 26"/>
                    <pic:cNvPicPr/>
                  </pic:nvPicPr>
                  <pic:blipFill>
                    <a:blip r:embed="rId27"/>
                    <a:stretch/>
                  </pic:blipFill>
                  <pic:spPr>
                    <a:xfrm>
                      <a:ext cx="3669665" cy="53022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489" w:line="1" w:lineRule="exact"/>
      </w:pPr>
    </w:p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229" w:left="1661" w:right="1647" w:bottom="229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•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PT" w:eastAsia="pt-PT" w:bidi="pt-PT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Picture caption|1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5">
    <w:name w:val="Heading #1|1_"/>
    <w:basedOn w:val="DefaultParagraphFont"/>
    <w:link w:val="Style4"/>
    <w:rPr>
      <w:rFonts w:ascii="Courier New" w:eastAsia="Courier New" w:hAnsi="Courier New" w:cs="Courier New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7">
    <w:name w:val="Body text|1_"/>
    <w:basedOn w:val="DefaultParagraphFont"/>
    <w:link w:val="Style6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Picture caption|1"/>
    <w:basedOn w:val="Normal"/>
    <w:link w:val="CharStyle3"/>
    <w:pPr>
      <w:widowControl w:val="0"/>
      <w:shd w:val="clear" w:color="auto" w:fill="FFFFFF"/>
      <w:spacing w:line="259" w:lineRule="auto"/>
      <w:jc w:val="center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4">
    <w:name w:val="Heading #1|1"/>
    <w:basedOn w:val="Normal"/>
    <w:link w:val="CharStyle5"/>
    <w:pPr>
      <w:widowControl w:val="0"/>
      <w:shd w:val="clear" w:color="auto" w:fill="FFFFFF"/>
      <w:jc w:val="center"/>
      <w:outlineLvl w:val="0"/>
    </w:pPr>
    <w:rPr>
      <w:rFonts w:ascii="Courier New" w:eastAsia="Courier New" w:hAnsi="Courier New" w:cs="Courier New"/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6">
    <w:name w:val="Body text|1"/>
    <w:basedOn w:val="Normal"/>
    <w:link w:val="CharStyle7"/>
    <w:pPr>
      <w:widowControl w:val="0"/>
      <w:shd w:val="clear" w:color="auto" w:fill="FFFFFF"/>
      <w:spacing w:line="389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Relationship Id="rId11" Type="http://schemas.openxmlformats.org/officeDocument/2006/relationships/image" Target="media/image4.jpeg"/><Relationship Id="rId12" Type="http://schemas.openxmlformats.org/officeDocument/2006/relationships/image" Target="media/image4.jpeg" TargetMode="External"/><Relationship Id="rId13" Type="http://schemas.openxmlformats.org/officeDocument/2006/relationships/image" Target="media/image5.jpeg"/><Relationship Id="rId14" Type="http://schemas.openxmlformats.org/officeDocument/2006/relationships/image" Target="media/image5.jpeg" TargetMode="External"/><Relationship Id="rId15" Type="http://schemas.openxmlformats.org/officeDocument/2006/relationships/image" Target="media/image6.jpeg"/><Relationship Id="rId16" Type="http://schemas.openxmlformats.org/officeDocument/2006/relationships/image" Target="media/image6.jpeg" TargetMode="External"/><Relationship Id="rId17" Type="http://schemas.openxmlformats.org/officeDocument/2006/relationships/image" Target="media/image7.jpeg"/><Relationship Id="rId18" Type="http://schemas.openxmlformats.org/officeDocument/2006/relationships/image" Target="media/image7.jpeg" TargetMode="External"/><Relationship Id="rId19" Type="http://schemas.openxmlformats.org/officeDocument/2006/relationships/image" Target="media/image8.jpeg"/><Relationship Id="rId20" Type="http://schemas.openxmlformats.org/officeDocument/2006/relationships/image" Target="media/image8.jpeg" TargetMode="External"/><Relationship Id="rId21" Type="http://schemas.openxmlformats.org/officeDocument/2006/relationships/image" Target="media/image9.png"/><Relationship Id="rId22" Type="http://schemas.openxmlformats.org/officeDocument/2006/relationships/image" Target="media/image9.png" TargetMode="External"/><Relationship Id="rId23" Type="http://schemas.openxmlformats.org/officeDocument/2006/relationships/image" Target="media/image10.jpeg"/><Relationship Id="rId24" Type="http://schemas.openxmlformats.org/officeDocument/2006/relationships/image" Target="media/image10.jpeg" TargetMode="External"/><Relationship Id="rId25" Type="http://schemas.openxmlformats.org/officeDocument/2006/relationships/image" Target="media/image11.jpeg"/><Relationship Id="rId26" Type="http://schemas.openxmlformats.org/officeDocument/2006/relationships/image" Target="media/image11.jpeg" TargetMode="External"/><Relationship Id="rId27" Type="http://schemas.openxmlformats.org/officeDocument/2006/relationships/image" Target="media/image12.jpeg"/><Relationship Id="rId28" Type="http://schemas.openxmlformats.org/officeDocument/2006/relationships/image" Target="media/image12.jpeg" TargetMode="External"/></Relationships>
</file>