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5678805</wp:posOffset>
            </wp:positionH>
            <wp:positionV relativeFrom="paragraph">
              <wp:posOffset>12700</wp:posOffset>
            </wp:positionV>
            <wp:extent cx="951230" cy="71310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5123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1183005</wp:posOffset>
            </wp:positionH>
            <wp:positionV relativeFrom="paragraph">
              <wp:posOffset>219710</wp:posOffset>
            </wp:positionV>
            <wp:extent cx="548640" cy="39624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4864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  <w:br/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Instituto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Previdência dos Servidores Públicos de Lábrea</w:t>
        <w:br/>
        <w:t>CNPJ: 05.995.768/0001-66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05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  <w:br/>
        <w:t xml:space="preserve">ATA DE REUNIÃO ORDINÁRIA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  <w:br/>
        <w:t>N° 011/2025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doze (12) dias do mês de novembro do ano de dois mil e vinte e cinco (2025),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quinze horas (15h00),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reuniu-se,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sede do Instituto de Previdência dos</w:t>
        <w:br/>
        <w:t>Servidores Públicos de Lábrea - LÁBREA PREV, localizada na Rua 24 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Agosto, n° 194, Centro,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 desta Autarquia.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Estiveram presentes os membros nomeados pela Portaria n° 002/2025 - LÁBREA PREV: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8" w:val="left"/>
        </w:tabs>
        <w:bidi w:val="0"/>
        <w:spacing w:before="0" w:after="0" w:line="386" w:lineRule="auto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Gercivaldo Lima Alves,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8" w:val="left"/>
        </w:tabs>
        <w:bidi w:val="0"/>
        <w:spacing w:before="0" w:after="0" w:line="386" w:lineRule="auto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Elizangela Neves de Albuquerque, professora efetiva e contribuinte do RPPS;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8" w:val="left"/>
        </w:tabs>
        <w:bidi w:val="0"/>
        <w:spacing w:before="0" w:after="0" w:line="386" w:lineRule="auto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Albuquerque Neves, servidor efetivo e contribuinte do RPPS;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8" w:val="left"/>
        </w:tabs>
        <w:bidi w:val="0"/>
        <w:spacing w:before="0" w:after="280" w:line="386" w:lineRule="auto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Costa, professor efetivo e contribuinte do RPPS.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José Raimundo Aguiar, membro deste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está presente pois está em viagem a tratamento de saúde. Em seguida, o(a) Presidente apresentou a pauta do dia, que versou sobre Renda Fixa e Variável, bem como a avaliação das carteiras de investimentos do Instituto.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última semana, acontecimentos políticos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afetaram profundamente os mercados no Brasil e no mundo. No cenário externo, o destaque foi para o acordo comercial entre EUA e China visando a redução das tensões comerciais. Ficou definido que a China irá suspender por um ano a tarifa adicional de 25% sobre determinados produtos americanos, mantendo uma taxa de 10%. Por sua vez, os EUA irão reduzir de 20% para 10% as tarifas aplicadas a produtos chineses, como parte de um acordo bilateral voltado ao combate do tráfico de fentanil. Por aqui, em sua última reunião,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Política Monetária (Copom) manteve a taxa Selic em 15,00%, conforme amplamente esperado. No comunicado pós-decisão reforçou as mensagens da reunião anterior, com ênfase à necessidade de manter a taxa de juros em seu nível atual “por período bastante prolongado”.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Destaque-se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também a aprovação pelo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1176655</wp:posOffset>
            </wp:positionH>
            <wp:positionV relativeFrom="margin">
              <wp:posOffset>-48895</wp:posOffset>
            </wp:positionV>
            <wp:extent cx="554990" cy="56070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549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52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Instituto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Previdência dos Servidores Públicos de Lábrea</w:t>
        <w:br/>
        <w:t>CNPJ: 05.995.768/0001-66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5913120</wp:posOffset>
            </wp:positionH>
            <wp:positionV relativeFrom="margin">
              <wp:posOffset>-109855</wp:posOffset>
            </wp:positionV>
            <wp:extent cx="694690" cy="652145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9469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Senado o projeto de lei que amplia a faixa de isenção do Imposto de Renda (IRPF) para trabalhadores que recebem até R$ 5.000/mês, e estabelece descontos para os que ganham até R$ 7.350/mês. No mercado de Renda Fixa, os juros futuros encerraram a semana com movimento de leve abertura ao longo da curva, com exceção do vértice de vencimento em 2029 refletindo o comunicado do Copom que enfatizou a necessidade de manter os juros em patamares elevados. As taxas de juro real tiveram fechamento com os rendimentos das NTN-Bs com vencimento em 2030 terminando em 7,97% a.a. (vs.8,05% na semana anterior). Dessa maneira, os índices da ANBIMA seguem positivos no acumulado do ano. Sobre a Renda Variável, o Ibovespa fechou a sexta-feira (07) em alta de 0,47% aos 154.063,53, numa sequência de 13 altas e encerando a semana com uma valorização de 3% em reais e 3,9% em dólares em uma semana marcada pela decisão do Copom que manteve os juros em 15%. Já os mercados globais foram pressionados (S&amp;P 500 -1,6%; Nasdaq - 3,1%; Nikkei 225, -3,4%). Os investidores estão se mostrando cada vez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céticos em relação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perspectivas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lucratividade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empresas ligadas ao tema de IA. Feita essa análise, passamos à verificação das carteiras aderidas.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BB Previd RF Perfil - CNPJ: 13.077.418/0001-49 Valor Investido: R$ 314.081,65 (trezentos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quatorze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mil e oitenta e um reais e sessenta e cinco centavos);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BB Previd RF IRF-M1 - CNPJ: 11.238.882/0001-35. Valor Investido: R$ 2.010.273,14 (dois milhões e dez mil e duzentos e setenta e três reais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quatorze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centavos);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RF LP Tesouro Selic - CNPJ: 04.857.834/0001-79. Valor Investido: R$ 367.623,12 (trezentos e sessenta e sete mil e seiscentos e vinte e três reais e doze centavos). Total de recursos investidos: R$ 2.691.977,91 (dois milhões e seiscentos e noventa e um mil e novecentos e setenta e sete reais e noventa e um centavos).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tratar, o(a) Presidente agradeceu a presença de todos e encerrou a reunião, da qual foi lavrada a presente ata que, após lida e aprovada, será assinada por todos os membros presentes.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Lábrea/AM, 12 de novembro de 2025.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" w:right="0" w:firstLine="0"/>
        <w:jc w:val="center"/>
      </w:pPr>
      <w:r>
        <w:drawing>
          <wp:anchor distT="0" distB="0" distL="101600" distR="101600" simplePos="0" relativeHeight="125829382" behindDoc="0" locked="0" layoutInCell="1" allowOverlap="1">
            <wp:simplePos x="0" y="0"/>
            <wp:positionH relativeFrom="page">
              <wp:posOffset>1164590</wp:posOffset>
            </wp:positionH>
            <wp:positionV relativeFrom="margin">
              <wp:posOffset>-82550</wp:posOffset>
            </wp:positionV>
            <wp:extent cx="591185" cy="60960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9118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252" w:lineRule="auto"/>
        <w:ind w:left="2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Instituto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Previdência dos Servidores Públicos de Lábrea</w:t>
        <w:br/>
        <w:t>CNPJ: 05.995.768/0001-66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hyphen" w:pos="3710" w:val="left"/>
          <w:tab w:leader="hyphen" w:pos="6370" w:val="left"/>
        </w:tabs>
        <w:bidi w:val="0"/>
        <w:spacing w:before="0" w:after="0" w:line="240" w:lineRule="auto"/>
        <w:ind w:left="2140" w:right="0" w:firstLine="20"/>
        <w:jc w:val="both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5904230</wp:posOffset>
            </wp:positionH>
            <wp:positionV relativeFrom="margin">
              <wp:posOffset>-100330</wp:posOffset>
            </wp:positionV>
            <wp:extent cx="725170" cy="72517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25170" cy="7251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Gercivaldo Lima Alves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40" w:right="0" w:firstLine="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25" w:left="1685" w:right="1656" w:bottom="1337" w:header="197" w:footer="90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</w:r>
    </w:p>
    <w:p>
      <w:pPr>
        <w:pStyle w:val="Style9"/>
        <w:keepNext w:val="0"/>
        <w:keepLines w:val="0"/>
        <w:framePr w:w="3245" w:h="586" w:wrap="none" w:vAnchor="text" w:hAnchor="page" w:x="4326" w:y="722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Francisco Albuquerque Neves 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widowControl w:val="0"/>
        <w:spacing w:line="360" w:lineRule="exact"/>
      </w:pPr>
      <w:r>
        <w:drawing>
          <wp:anchor distT="0" distB="313690" distL="0" distR="0" simplePos="0" relativeHeight="62914690" behindDoc="1" locked="0" layoutInCell="1" allowOverlap="1">
            <wp:simplePos x="0" y="0"/>
            <wp:positionH relativeFrom="page">
              <wp:posOffset>1865630</wp:posOffset>
            </wp:positionH>
            <wp:positionV relativeFrom="paragraph">
              <wp:posOffset>12700</wp:posOffset>
            </wp:positionV>
            <wp:extent cx="3315970" cy="50609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315970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4" w:left="1683" w:right="1462" w:bottom="95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13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4" w:left="0" w:right="0" w:bottom="46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hyphen" w:pos="778" w:val="left"/>
          <w:tab w:leader="underscore" w:pos="1339" w:val="left"/>
          <w:tab w:leader="underscore" w:pos="1525" w:val="left"/>
          <w:tab w:leader="underscore" w:pos="1637" w:val="left"/>
          <w:tab w:leader="underscore" w:pos="2237" w:val="left"/>
          <w:tab w:leader="underscore" w:pos="2798" w:val="left"/>
          <w:tab w:leader="underscore" w:pos="2903" w:val="left"/>
          <w:tab w:leader="underscore" w:pos="3403" w:val="left"/>
          <w:tab w:leader="underscore" w:pos="3989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i-Á</w:t>
        <w:tab/>
        <w:t>:</w:t>
        <w:tab/>
        <w:tab/>
        <w:tab/>
        <w:t>:</w:t>
        <w:tab/>
        <w:t>.</w:t>
        <w:tab/>
        <w:tab/>
        <w:tab/>
        <w:t>2_</w:t>
        <w:tab/>
        <w:t>—— _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Elízangela Neves de Albuquerqúe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64" w:left="2931" w:right="2955" w:bottom="46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2_"/>
    <w:basedOn w:val="DefaultParagraphFont"/>
    <w:link w:val="Style7"/>
    <w:rPr>
      <w:rFonts w:ascii="Courier New" w:eastAsia="Courier New" w:hAnsi="Courier New" w:cs="Courier New"/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38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ind w:left="10"/>
      <w:jc w:val="center"/>
    </w:pPr>
    <w:rPr>
      <w:rFonts w:ascii="Courier New" w:eastAsia="Courier New" w:hAnsi="Courier New" w:cs="Courier New"/>
      <w:b/>
      <w:bCs/>
      <w:i w:val="0"/>
      <w:iCs w:val="0"/>
      <w:smallCaps w:val="0"/>
      <w:strike w:val="0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  <w:spacing w:line="259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/Relationships>
</file>