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144780</wp:posOffset>
            </wp:positionH>
            <wp:positionV relativeFrom="paragraph">
              <wp:posOffset>12700</wp:posOffset>
            </wp:positionV>
            <wp:extent cx="243840" cy="1438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43840" cy="1438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1351915</wp:posOffset>
            </wp:positionH>
            <wp:positionV relativeFrom="paragraph">
              <wp:posOffset>21590</wp:posOffset>
            </wp:positionV>
            <wp:extent cx="640080" cy="76200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4008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86055" distL="257810" distR="260350" simplePos="0" relativeHeight="125829380" behindDoc="0" locked="0" layoutInCell="1" allowOverlap="1">
            <wp:simplePos x="0" y="0"/>
            <wp:positionH relativeFrom="page">
              <wp:posOffset>5967095</wp:posOffset>
            </wp:positionH>
            <wp:positionV relativeFrom="paragraph">
              <wp:posOffset>146050</wp:posOffset>
            </wp:positionV>
            <wp:extent cx="438785" cy="41465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3878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5823585</wp:posOffset>
                </wp:positionH>
                <wp:positionV relativeFrom="paragraph">
                  <wp:posOffset>508635</wp:posOffset>
                </wp:positionV>
                <wp:extent cx="728345" cy="2349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LABREA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458.55000000000001pt;margin-top:40.049999999999997pt;width:57.350000000000001pt;height:18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LABREA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305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005/2025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07 dias do mês de julho de 2025, as 09h00min 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reuniram-se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ordinariamente na sala de reuniões do Instituto de Previdência dos Servidores Públicos de Lábrea, os membros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cumprindo o previsto nas legislações em vigor, eiaboraram a proposta de Poiitica Anuai de investimentos para o exercício 2025. A Política de Investimentos foi elaborada em parceria com a consultoria Referência e a meta da PI será de (INPC+5,47% a.a), seguindo as premissas da taxa parâmetro na Portaria MPS n° 1499/2024, sendo que a estratégia alvo ficou em 100%.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observado que o presente documento foi elaborado conforme determina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Resolução CMN 4.963/2021 e Portaria 1467/2022.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Sob o viés da economia doméstica, o principal desafio é recuperar a confiança 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ancoragem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inflacionária, para tanto, não sendo suficiente a manutenção de determinados níveis de contracionismo monetário, mas sim, uma política suficientemente capaz de sinalizar ao mercado o compromisso do governo em equilibrar as contas públicas, pelo menos no que se refere à retomada de superávits primários.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Nesse contexto, a calibragem da política monetária a ser conferida pelo Bacen precisará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uma vez estabelecer um adequado equilíbrio entre controle inflacionário e incentivo ao crescimento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uma vez que não resta garantida idêntica resiliência observada em 2024. Com um espaço fiscal cada vez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reduzido,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cada vez menos provável a tendência de que as ações governamentais consigam continuar mitigando os efeitos de uma política monetária contracionista.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Ainda sob o ponto de vista fiscal, vislumbra-se como principal desafio ao governo conciliar um orçamento já bastante ajustado com a ampliação e até mesmo manutenção dos diversos programas sociais em curso, relembrando que, a grave crise enfrentada pelo Rio Grande do Sul não somente aumentou o desequilíbrio das contas públicas como vem ensejando outras políticas de incentivos por parte dos demais estados da federação.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deste cenário de incertezas na economia global,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preferência segue sendo por títulos de prazos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posicionamento histórico nos investimentos do RPPS e ponderando o posicionamento dos seus gestores, ressaltamos que o RPPS possui o perfil de investidor: CONSERVADOR.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1362710</wp:posOffset>
            </wp:positionH>
            <wp:positionV relativeFrom="paragraph">
              <wp:posOffset>38100</wp:posOffset>
            </wp:positionV>
            <wp:extent cx="621665" cy="59753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2166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5834380</wp:posOffset>
            </wp:positionH>
            <wp:positionV relativeFrom="paragraph">
              <wp:posOffset>25400</wp:posOffset>
            </wp:positionV>
            <wp:extent cx="743585" cy="621665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43585" cy="62166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1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de Previdência dos Servidores Públicos</w:t>
        <w:br/>
      </w:r>
      <w:r>
        <w:rPr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Ha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9 </w:t>
      </w:r>
      <w:r>
        <w:rPr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áKkaa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a apresentação e esclarecimentos da presente Política de Investimento, os membros, por unanimidade, deliberaram a Política Anual de Investimentos para o exercício 2025, devendo o RPPS continuar observando a lista exaustiva do MPS para fins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das instituições financeiras.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Lembrando que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aprovaçao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dela será efetivada pelo conselho do Instituto.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ANEXO, Quadro Resumo da Política de Investimentos - Resolução CNM n° 4.963/2021. Não havendo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nada a deliberar.</w:t>
      </w:r>
    </w:p>
    <w:tbl>
      <w:tblPr>
        <w:tblOverlap w:val="never"/>
        <w:jc w:val="center"/>
        <w:tblLayout w:type="fixed"/>
      </w:tblPr>
      <w:tblGrid>
        <w:gridCol w:w="5803"/>
        <w:gridCol w:w="629"/>
        <w:gridCol w:w="634"/>
        <w:gridCol w:w="629"/>
        <w:gridCol w:w="629"/>
        <w:gridCol w:w="648"/>
      </w:tblGrid>
      <w:tr>
        <w:trPr>
          <w:trHeight w:val="216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RESUMO DA POLÍTICA DE INVESTIMENTOS - RESOLUÇÃO CMN n® 4.963/2021</w:t>
            </w:r>
          </w:p>
        </w:tc>
      </w:tr>
      <w:tr>
        <w:trPr>
          <w:trHeight w:val="211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280" w:right="0" w:firstLine="13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Alocação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dos Recursos/Diversificação •</w:t>
            </w:r>
          </w:p>
        </w:tc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Alocação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dos recursos</w:t>
            </w:r>
          </w:p>
        </w:tc>
      </w:tr>
      <w:tr>
        <w:trPr>
          <w:trHeight w:val="374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Limite da Resoluçâ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Limite 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Inciso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Limite Inferior 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Estratégi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 Alvo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Limite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Superior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Renda Fixa - Art. 7®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99,5%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Públicos de Emissão do Tesouro Nacional - SELIC - Art. 7,1, 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- 100% Títulos Públicos SELIC - Art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. I, 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54,0%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85,0%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índice de Mercado (ETF) -100% Títulos Públicos SELIC - Art 7°,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Operações Compromissadas - 100% Títulos Públicos SELIC - Art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Fundo/Classe de Investimento em Renda Fixa - Geral - Art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1°,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 III. 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60%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45,0%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índice de Mercado (ETF) - Renda Fixa - Art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III. b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Ativos de Renda Fixa Emitidos por instituição financeira - Art.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5,0%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Fundo/Classe de Investimento em Direitos Creditórios (FIDC) - Subclasse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Sênior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Art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V. 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Renda Fixa - Crédito Privado - Art 7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. V, 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Debêntures de Infraestrutura - Art. 7°, V,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Renda Variávei - Art. 8®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Ações - Art 8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Fundo/Classe de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Investimento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 índices de Mercado (ETF) - Art. 8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II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30%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5,0%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BDR-Ações - art 8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III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BDR-ETF - art 8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IV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Investimento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no Exterior - Art. 9®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Renda Fixa - Dívida Externa - Art 9°, 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10%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Ativos no Exterior - Art. 9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, II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Fundos Estruturados - Art. 10®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0,5%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Fundo/Classe de Investimento Multimercado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FIM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Art 10,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0,5%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Participações - Art. 10,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perscript"/>
                <w:lang w:val="pt-PT" w:eastAsia="pt-PT" w:bidi="pt-PT"/>
              </w:rPr>
              <w:t>r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 0,0%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em Ações - Mercado de Acesso - Art. 10, III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Fundos Imobiliários - Art. 11®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Fundo/Classe de Investimento Imobiliário - Art.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Empréstimos Consignados Art. 12®</w:t>
            </w: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0DDE6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Empréstimos Consignados - Art 12“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0DDE6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E0DDE6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100,00%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E0DDE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a tratar, a reunião foi encerrada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10h02min (dez horas e dois minutos). Eu, Elizangela Neves de Albuquerque, lavrei a presente ata, que vai assinada por mim e pelos demais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do LÁBREA PREV.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right"/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3572510</wp:posOffset>
            </wp:positionH>
            <wp:positionV relativeFrom="paragraph">
              <wp:posOffset>469900</wp:posOffset>
            </wp:positionV>
            <wp:extent cx="688975" cy="511810"/>
            <wp:wrapTight wrapText="bothSides">
              <wp:wrapPolygon>
                <wp:start x="2688" y="0"/>
                <wp:lineTo x="21600" y="0"/>
                <wp:lineTo x="21600" y="15262"/>
                <wp:lineTo x="16224" y="15262"/>
                <wp:lineTo x="16224" y="19919"/>
                <wp:lineTo x="21600" y="19919"/>
                <wp:lineTo x="21600" y="21600"/>
                <wp:lineTo x="0" y="21600"/>
                <wp:lineTo x="0" y="20565"/>
                <wp:lineTo x="2400" y="20565"/>
                <wp:lineTo x="2400" y="20177"/>
                <wp:lineTo x="2688" y="20177"/>
                <wp:lineTo x="2688" y="0"/>
              </wp:wrapPolygon>
            </wp:wrapTight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8897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07 de julho de 2025.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222" w:val="left"/>
          <w:tab w:leader="underscore" w:pos="2371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4066540</wp:posOffset>
                </wp:positionH>
                <wp:positionV relativeFrom="paragraph">
                  <wp:posOffset>12700</wp:posOffset>
                </wp:positionV>
                <wp:extent cx="682625" cy="18605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rfha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Alves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20.19999999999999pt;margin-top:1.pt;width:53.75pt;height:14.65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rfha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Alves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296" w:left="1724" w:right="1134" w:bottom="1440" w:header="0" w:footer="1012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Comitê de Investimentos</w:t>
      </w:r>
    </w:p>
    <w:p>
      <w:pPr>
        <w:pStyle w:val="Style17"/>
        <w:keepNext w:val="0"/>
        <w:keepLines w:val="0"/>
        <w:framePr w:w="4075" w:h="528" w:wrap="none" w:hAnchor="page" w:x="4235" w:y="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ESTADO DO AMAZONAS</w:t>
      </w:r>
    </w:p>
    <w:p>
      <w:pPr>
        <w:pStyle w:val="Style17"/>
        <w:keepNext w:val="0"/>
        <w:keepLines w:val="0"/>
        <w:framePr w:w="4075" w:h="528" w:wrap="none" w:hAnchor="page" w:x="4235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Instituto de Providencie dos Servidores Públicos</w:t>
      </w:r>
    </w:p>
    <w:p>
      <w:pPr>
        <w:pStyle w:val="Style17"/>
        <w:keepNext w:val="0"/>
        <w:keepLines w:val="0"/>
        <w:framePr w:w="4378" w:h="1930" w:wrap="none" w:hAnchor="page" w:x="4374" w:y="587"/>
        <w:widowControl w:val="0"/>
        <w:pBdr>
          <w:top w:val="single" w:sz="4" w:space="0" w:color="auto"/>
        </w:pBdr>
        <w:shd w:val="clear" w:color="auto" w:fill="auto"/>
        <w:tabs>
          <w:tab w:leader="hyphen" w:pos="600" w:val="left"/>
          <w:tab w:leader="hyphen" w:pos="1334" w:val="left"/>
          <w:tab w:leader="hyphen" w:pos="1368" w:val="left"/>
          <w:tab w:leader="hyphen" w:pos="1858" w:val="left"/>
        </w:tabs>
        <w:bidi w:val="0"/>
        <w:spacing w:before="0" w:after="0" w:line="204" w:lineRule="auto"/>
        <w:ind w:left="0" w:right="0" w:firstLine="1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de lá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broa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CNPJ: ows.?moom </w:t>
        <w:tab/>
        <w:t>-</w:t>
        <w:tab/>
        <w:tab/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</w:rPr>
        <w:t>;</w:t>
      </w:r>
    </w:p>
    <w:p>
      <w:pPr>
        <w:pStyle w:val="Style17"/>
        <w:keepNext w:val="0"/>
        <w:keepLines w:val="0"/>
        <w:framePr w:w="4378" w:h="1930" w:wrap="none" w:hAnchor="page" w:x="4374" w:y="587"/>
        <w:widowControl w:val="0"/>
        <w:shd w:val="clear" w:color="auto" w:fill="auto"/>
        <w:tabs>
          <w:tab w:pos="3171" w:val="left"/>
        </w:tabs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■y7^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1</w:t>
      </w:r>
    </w:p>
    <w:p>
      <w:pPr>
        <w:pStyle w:val="Style17"/>
        <w:keepNext w:val="0"/>
        <w:keepLines w:val="0"/>
        <w:framePr w:w="4378" w:h="1930" w:wrap="none" w:hAnchor="page" w:x="4374" w:y="587"/>
        <w:widowControl w:val="0"/>
        <w:shd w:val="clear" w:color="auto" w:fill="auto"/>
        <w:bidi w:val="0"/>
        <w:spacing w:before="0" w:after="0" w:line="269" w:lineRule="auto"/>
        <w:ind w:left="0" w:right="38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7 José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Haimundo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Agqiar de Souza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írirétor </w:t>
      </w:r>
      <w:r>
        <w:rPr>
          <w:color w:val="000000"/>
          <w:spacing w:val="0"/>
          <w:w w:val="100"/>
          <w:position w:val="0"/>
          <w:shd w:val="clear" w:color="auto" w:fill="auto"/>
        </w:rPr>
        <w:t>Financeiro do Cazrritô ide Investimento z</w:t>
      </w:r>
    </w:p>
    <w:p>
      <w:pPr>
        <w:pStyle w:val="Style17"/>
        <w:keepNext w:val="0"/>
        <w:keepLines w:val="0"/>
        <w:framePr w:w="2976" w:h="542" w:wrap="none" w:hAnchor="page" w:x="4720" w:y="2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v- Francisco Albuquerque Neves</w:t>
      </w:r>
    </w:p>
    <w:p>
      <w:pPr>
        <w:pStyle w:val="Style17"/>
        <w:keepNext w:val="0"/>
        <w:keepLines w:val="0"/>
        <w:framePr w:w="2976" w:h="542" w:wrap="none" w:hAnchor="page" w:x="4720" w:y="2895"/>
        <w:widowControl w:val="0"/>
        <w:shd w:val="clear" w:color="auto" w:fill="auto"/>
        <w:bidi w:val="0"/>
        <w:spacing w:before="0" w:after="0" w:line="240" w:lineRule="auto"/>
        <w:ind w:left="0" w:right="3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Membro do Comitê</w:t>
      </w:r>
    </w:p>
    <w:p>
      <w:pPr>
        <w:pStyle w:val="Style4"/>
        <w:keepNext w:val="0"/>
        <w:keepLines w:val="0"/>
        <w:framePr w:w="950" w:h="317" w:wrap="none" w:hAnchor="page" w:x="8728" w:y="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LABREA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972820</wp:posOffset>
            </wp:positionH>
            <wp:positionV relativeFrom="margin">
              <wp:posOffset>0</wp:posOffset>
            </wp:positionV>
            <wp:extent cx="560705" cy="217614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60705" cy="2176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1880870</wp:posOffset>
            </wp:positionH>
            <wp:positionV relativeFrom="margin">
              <wp:posOffset>3175</wp:posOffset>
            </wp:positionV>
            <wp:extent cx="530225" cy="55499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53022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3962400</wp:posOffset>
            </wp:positionH>
            <wp:positionV relativeFrom="margin">
              <wp:posOffset>1539240</wp:posOffset>
            </wp:positionV>
            <wp:extent cx="951230" cy="32893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95123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5715000</wp:posOffset>
            </wp:positionH>
            <wp:positionV relativeFrom="margin">
              <wp:posOffset>3175</wp:posOffset>
            </wp:positionV>
            <wp:extent cx="274320" cy="35369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74320" cy="353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01" w:left="1532" w:right="1484" w:bottom="641" w:header="0" w:footer="21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975360</wp:posOffset>
            </wp:positionH>
            <wp:positionV relativeFrom="paragraph">
              <wp:posOffset>0</wp:posOffset>
            </wp:positionV>
            <wp:extent cx="780415" cy="141414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780415" cy="141414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i w:val="0"/>
          <w:iCs w:val="0"/>
          <w:color w:val="000000"/>
          <w:spacing w:val="0"/>
          <w:w w:val="100"/>
          <w:position w:val="0"/>
          <w:sz w:val="38"/>
          <w:szCs w:val="38"/>
          <w:shd w:val="clear" w:color="auto" w:fill="auto"/>
        </w:rPr>
        <w:t xml:space="preserve">í2n,Xrv </w:t>
      </w:r>
      <w:r>
        <w:rPr>
          <w:color w:val="000000"/>
          <w:spacing w:val="0"/>
          <w:w w:val="100"/>
          <w:position w:val="0"/>
          <w:shd w:val="clear" w:color="auto" w:fill="auto"/>
        </w:rPr>
        <w:t>71 a/G Gdí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Herton Carlos Nascimento da Costa</w:t>
        <w:br/>
        <w:t>Membro do Comitê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Í7íh</w:t>
      </w:r>
      <w:bookmarkEnd w:id="3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560" w:line="259" w:lineRule="auto"/>
        <w:ind w:left="1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Ehzangela Net/esL/Albuquerque</w:t>
        <w:br/>
        <w:t>Membro do Comitê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972820</wp:posOffset>
            </wp:positionH>
            <wp:positionV relativeFrom="paragraph">
              <wp:posOffset>-1752600</wp:posOffset>
            </wp:positionV>
            <wp:extent cx="810895" cy="2035810"/>
            <wp:wrapSquare wrapText="bothSides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810895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Digitalizado com Carn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01" w:left="4757" w:right="1483" w:bottom="6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3|1_"/>
    <w:basedOn w:val="DefaultParagraphFont"/>
    <w:link w:val="Style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21">
    <w:name w:val="Heading #1|1_"/>
    <w:basedOn w:val="DefaultParagraphFont"/>
    <w:link w:val="Style20"/>
    <w:rPr>
      <w:rFonts w:ascii="Arial" w:eastAsia="Arial" w:hAnsi="Arial" w:cs="Arial"/>
      <w:b w:val="0"/>
      <w:bCs w:val="0"/>
      <w:i/>
      <w:iCs/>
      <w:smallCaps w:val="0"/>
      <w:strike w:val="0"/>
      <w:sz w:val="48"/>
      <w:szCs w:val="48"/>
      <w:u w:val="none"/>
      <w:lang w:val="pt-BR" w:eastAsia="pt-BR" w:bidi="pt-BR"/>
    </w:rPr>
  </w:style>
  <w:style w:type="character" w:customStyle="1" w:styleId="CharStyle24">
    <w:name w:val="Heading #2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4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FFFFFF"/>
      <w:jc w:val="center"/>
      <w:outlineLvl w:val="2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spacing w:after="24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ind w:firstLine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20">
    <w:name w:val="Heading #1|1"/>
    <w:basedOn w:val="Normal"/>
    <w:link w:val="CharStyle21"/>
    <w:pPr>
      <w:widowControl w:val="0"/>
      <w:shd w:val="clear" w:color="auto" w:fill="FFFFFF"/>
      <w:ind w:left="94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48"/>
      <w:szCs w:val="48"/>
      <w:u w:val="none"/>
      <w:lang w:val="pt-BR" w:eastAsia="pt-BR" w:bidi="pt-BR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png"/><Relationship Id="rId16" Type="http://schemas.openxmlformats.org/officeDocument/2006/relationships/image" Target="media/image6.pn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