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0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1355090</wp:posOffset>
            </wp:positionH>
            <wp:positionV relativeFrom="margin">
              <wp:posOffset>-718820</wp:posOffset>
            </wp:positionV>
            <wp:extent cx="62166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5847715</wp:posOffset>
            </wp:positionH>
            <wp:positionV relativeFrom="margin">
              <wp:posOffset>-721995</wp:posOffset>
            </wp:positionV>
            <wp:extent cx="688975" cy="6400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88975" cy="640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620" w:left="1284" w:right="1404" w:bottom="1102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20" w:left="0" w:right="0" w:bottom="1002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  <w:br/>
        <w:t xml:space="preserve">ATA DE REUNIÃO ORDINÁRIA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  <w:br/>
        <w:t>N° 003/2025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quinze dias do mês de maio do ano de dois mil e vinte e cinco,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15h00 (quinze horas),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reuniram-se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nas dependências do LÁBREA PREV, sala da presidência, situada na Rua 24 de Agosto, n° 194, Centro, os membros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Investimentos, nomeados pela Portaria n° 002/2025 - LÁBREA PREV: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Gercivaldo Lima Alves,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José Raimundo Aguiar de Souza,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 Financeiro;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Elizangela Neves de Albuquerque,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professora efetiva e contribuinte do RPPS; 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Francisco Albuquerque Neves,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servidor efetivo e contribuinte do RPPS. Para secretariar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trabalhos, foi designado 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Ary ilds Malagueta Pinheiro.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reunião teve como principais pautas: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394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 Análise dos fundos de Investimentos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40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cenário atual de investimentos no Brasil é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caracterizado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uma taxa Selic elevada (14,75% ao ano) e um dólar valorizado, o que torna a renda fixa uma das opções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atrativas. A inflação vem sendo controlada, com projeções de que a taxa de juros possa começai' a cair. No entanto, incertezas fiscais e a volatilidade do câmbio ainda geram riscos. Com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PIB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2025 (1,8% para 2,5%) e 2026 (1,5% para 2,7%) mostra um mercado conservador.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 Análise da Rentabilidade da Carteira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análise da rentabilidade, a carteira apresentou desempenho de 1,04% no último mês. Já a rentabilidade acumulada nos últimos 12 meses foi de 11,54%.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a economia brasileira em crescimento e a inflação sob controle, os investimentos em renda fixa e ações têm se mostrado promissores. No mês vigente, o saldo de cotas é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316.345,906779,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rentabilidade mensal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0,4804%,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anual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4,6721%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acumulada nos últimos 12 meses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11,6789%.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total de recursos investidos/aplicados soma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R$ 1.124.641,79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milhão,</w:t>
      </w:r>
    </w:p>
    <w:p>
      <w:pPr>
        <w:widowControl w:val="0"/>
        <w:spacing w:after="1157"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20" w:left="1707" w:right="1582" w:bottom="1002" w:header="0" w:footer="3" w:gutter="0"/>
          <w:cols w:space="720"/>
          <w:noEndnote/>
          <w:rtlGutter w:val="0"/>
          <w:docGrid w:linePitch="360"/>
        </w:sectPr>
      </w:pPr>
      <w:r>
        <w:drawing>
          <wp:anchor distT="262255" distB="0" distL="0" distR="0" simplePos="0" relativeHeight="62914696" behindDoc="1" locked="0" layoutInCell="1" allowOverlap="1">
            <wp:simplePos x="0" y="0"/>
            <wp:positionH relativeFrom="page">
              <wp:posOffset>815340</wp:posOffset>
            </wp:positionH>
            <wp:positionV relativeFrom="paragraph">
              <wp:posOffset>262255</wp:posOffset>
            </wp:positionV>
            <wp:extent cx="5852160" cy="47561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85216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1108075</wp:posOffset>
                </wp:positionH>
                <wp:positionV relativeFrom="paragraph">
                  <wp:posOffset>0</wp:posOffset>
                </wp:positionV>
                <wp:extent cx="5447030" cy="2012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70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cento e vinte e quatro mil, seiscentos e quarenta e um reais e setenta e nove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7.25pt;margin-top:0;width:428.89999999999998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cento e vinte e quatro mil, seiscentos e quarenta e um reais e setenta e nove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6040120</wp:posOffset>
            </wp:positionH>
            <wp:positionV relativeFrom="paragraph">
              <wp:posOffset>12700</wp:posOffset>
            </wp:positionV>
            <wp:extent cx="347345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1550035</wp:posOffset>
            </wp:positionH>
            <wp:positionV relativeFrom="paragraph">
              <wp:posOffset>307975</wp:posOffset>
            </wp:positionV>
            <wp:extent cx="445135" cy="29845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45135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700" distB="0" distL="114300" distR="114300" simplePos="0" relativeHeight="125829380" behindDoc="0" locked="0" layoutInCell="1" allowOverlap="1">
            <wp:simplePos x="0" y="0"/>
            <wp:positionH relativeFrom="page">
              <wp:posOffset>2315210</wp:posOffset>
            </wp:positionH>
            <wp:positionV relativeFrom="paragraph">
              <wp:posOffset>5601970</wp:posOffset>
            </wp:positionV>
            <wp:extent cx="3066415" cy="75565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066415" cy="7556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margin">
              <wp:posOffset>2423160</wp:posOffset>
            </wp:positionH>
            <wp:positionV relativeFrom="margin">
              <wp:posOffset>4873625</wp:posOffset>
            </wp:positionV>
            <wp:extent cx="658495" cy="51816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658495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margin">
              <wp:posOffset>1417320</wp:posOffset>
            </wp:positionH>
            <wp:positionV relativeFrom="margin">
              <wp:posOffset>6233160</wp:posOffset>
            </wp:positionV>
            <wp:extent cx="2243455" cy="79883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24345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margin">
              <wp:posOffset>2249805</wp:posOffset>
            </wp:positionH>
            <wp:positionV relativeFrom="margin">
              <wp:posOffset>8217535</wp:posOffset>
            </wp:positionV>
            <wp:extent cx="652145" cy="64008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652145" cy="640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LABREA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centavos). A rentabilidade apresentada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fechamento do último dia útil do mês de abril/2025. Diante desse cenário, considerando a possível redução da taxa de juros — o que pode afetar a atratividade da renda fixa, mas também impulsionar a economia e o mercado de ações — e as incertezas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globais que impactam os ativos estrangeiros,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decidiu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manter uma postura conservadora,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prezando pela cautela e pelo acompanhamento constante do cenário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a análise, deliberou- se pela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manutenção da atual carteira de investimentos,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esta se encontrar adequada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necessidades do Regime Próprio de Previdência.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8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a tratar,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quinze horas e trinta minutos, foi declarada encerrada a reunião. Eu,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Ary llds Malagueta Pinheiro,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lavrei a presente ata, que será assinada por todos os membros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 do RPPS LÁBREA 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3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Lábrea, 15 de maio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GercivafdoLima Alves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25"/>
          <w:footerReference w:type="default" r:id="rId26"/>
          <w:footnotePr>
            <w:pos w:val="pageBottom"/>
            <w:numFmt w:val="decimal"/>
            <w:numRestart w:val="continuous"/>
          </w:footnotePr>
          <w:pgSz w:w="11900" w:h="16840"/>
          <w:pgMar w:top="989" w:left="1745" w:right="1548" w:bottom="214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9" w:left="0" w:right="0" w:bottom="99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2693035</wp:posOffset>
                </wp:positionH>
                <wp:positionV relativeFrom="paragraph">
                  <wp:posOffset>1758950</wp:posOffset>
                </wp:positionV>
                <wp:extent cx="725170" cy="191770"/>
                <wp:wrapSquare wrapText="right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Elizangela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12.05000000000001pt;margin-top:138.5pt;width:57.100000000000001pt;height:15.1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Elizangela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0" w:line="26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Albuquerque Neves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0" w:line="26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Herton Carlos Nascimento da Costa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280" w:right="2420" w:hanging="3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ela Npvefe-de Albuquerque 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89" w:left="1745" w:right="1548" w:bottom="9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2720340</wp:posOffset>
              </wp:positionH>
              <wp:positionV relativeFrom="page">
                <wp:posOffset>10057130</wp:posOffset>
              </wp:positionV>
              <wp:extent cx="2212975" cy="37782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2975" cy="377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Rua Vinte e Quatro de Agosto, N° 194 - Centro.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Lábrea - Amazonas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69.830-000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Labrcaprvv2023@gmail.com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14.19999999999999pt;margin-top:791.89999999999998pt;width:174.25pt;height:29.7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Rua Vinte e Quatro de Agosto, N° 194 - Centro.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Lábrea - Amazonas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69.830-000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Labrcaprvv2023@gmail.com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1053465</wp:posOffset>
              </wp:positionH>
              <wp:positionV relativeFrom="page">
                <wp:posOffset>10011410</wp:posOffset>
              </wp:positionV>
              <wp:extent cx="565086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50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2.950000000000003pt;margin-top:788.29999999999995pt;width:44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2753995</wp:posOffset>
              </wp:positionH>
              <wp:positionV relativeFrom="page">
                <wp:posOffset>10059035</wp:posOffset>
              </wp:positionV>
              <wp:extent cx="2216150" cy="37465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0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Rua Vinte e Quatro de Agosto, N° 194 - Centro.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Lábrea - Amazonas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69.830-000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Labreapre v2025@gmai 1. 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216.84999999999999pt;margin-top:792.04999999999995pt;width:174.5pt;height:29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Rua Vinte e Quatro de Agosto, N° 194 - Centro.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Lábrea - Amazonas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69.830-000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Labreapre v2025@gmai 1. 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1089660</wp:posOffset>
              </wp:positionH>
              <wp:positionV relativeFrom="page">
                <wp:posOffset>10013315</wp:posOffset>
              </wp:positionV>
              <wp:extent cx="5647690" cy="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47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5.799999999999997pt;margin-top:788.45000000000005pt;width:44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2345690</wp:posOffset>
              </wp:positionH>
              <wp:positionV relativeFrom="page">
                <wp:posOffset>328295</wp:posOffset>
              </wp:positionV>
              <wp:extent cx="3124200" cy="6369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24200" cy="636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Instituto de Previdência dos Servidores Públicos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de Lábrea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CNPJ: 05.995.768/0001-66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84.69999999999999pt;margin-top:25.850000000000001pt;width:246.pt;height:50.14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Instituto de Previdência dos Servidores Públicos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de Lábrea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CNPJ: 05.995.768/0001-66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1163320</wp:posOffset>
              </wp:positionH>
              <wp:positionV relativeFrom="page">
                <wp:posOffset>1039495</wp:posOffset>
              </wp:positionV>
              <wp:extent cx="566293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629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1.599999999999994pt;margin-top:81.849999999999994pt;width:445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2364105</wp:posOffset>
              </wp:positionH>
              <wp:positionV relativeFrom="page">
                <wp:posOffset>326390</wp:posOffset>
              </wp:positionV>
              <wp:extent cx="3124200" cy="62801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24200" cy="628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ourier New" w:eastAsia="Courier New" w:hAnsi="Courier New" w:cs="Courier New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Instituto de Previdência dos Servidores Públicos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de Lábrea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CNPJ: 05.995.768/0001-66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186.15000000000001pt;margin-top:25.699999999999999pt;width:246.pt;height:49.450000000000003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Courier New" w:eastAsia="Courier New" w:hAnsi="Courier New" w:cs="Courier New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Instituto de Previdência dos Servidores Públicos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de Lábrea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CNPJ: 05.995.768/0001-66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1184275</wp:posOffset>
              </wp:positionH>
              <wp:positionV relativeFrom="page">
                <wp:posOffset>1032510</wp:posOffset>
              </wp:positionV>
              <wp:extent cx="5660390" cy="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603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3.25pt;margin-top:81.299999999999997pt;width:445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Picture caption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Picture caption|1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 w:line="39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340" w:line="317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36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header" Target="header2.xml"/><Relationship Id="rId26" Type="http://schemas.openxmlformats.org/officeDocument/2006/relationships/footer" Target="footer2.xml"/></Relationships>
</file>