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1021080</wp:posOffset>
            </wp:positionH>
            <wp:positionV relativeFrom="paragraph">
              <wp:posOffset>12700</wp:posOffset>
            </wp:positionV>
            <wp:extent cx="798830" cy="64008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98830" cy="6400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5974080</wp:posOffset>
            </wp:positionH>
            <wp:positionV relativeFrom="paragraph">
              <wp:posOffset>12700</wp:posOffset>
            </wp:positionV>
            <wp:extent cx="701040" cy="64008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01040" cy="6400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60" w:line="252" w:lineRule="auto"/>
        <w:ind w:left="0" w:right="0" w:firstLine="0"/>
        <w:jc w:val="center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Instituto 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de Previdência dos Servidores Públicos de Lábrea</w:t>
        <w:br/>
        <w:t>CNPJ: 05.995.768/0001-66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LÁBREA PREV - LÁBREA/AM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30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ATA DE REUNIÃO EXTRAORDINÁRIA DO COMITÉ DE INVESTIMENTOS</w:t>
        <w:br/>
        <w:t>N° 010/2025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8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Aos quatro (04) dias do mês de novembro de 2025,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10h00min,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reuniram-se,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na sede do Instituto de Previdência dos Servidores Públicos de Lábrea - LÁBREA PREV, localizada na Rua 24 de Agosto, n° 194, os membros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INVESTIMENTOS, nos termos das legislações em vigor, para analisar e debater a proposta da Política Anual de Investimentos para o exercício de 2026.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Política de Investimentos foi elaborada em parceria com a consultoria Referência, e a meta da PI será de (INPCA+ 5,17% a.a.), segundo as premissas da taxa- parâmetro fixadas na Portaria MPS n° 2.010/2025, sendo que a estratégia-alvo ficou fixada em 100%.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Observou-se que o presente documento foi elaborado conforme determina a Resolução CMN 4.963/2021 e a Portaria 1.467/2022.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política monetária a ser conduzida pelo Banco Central do Brasil precisará,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uma vez, encontrar adequado equilíbrio entre o controle da inflação e o incentivo ao crescimento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econômico,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 as projeções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recentes para o IPCA e a Selic — ambas em recuo em relação a 2025 — já servindo como importante sinalizador de otimismo para o mercado em 2026.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 o espaço fiscal cada vez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restrito, a tendência de que medidas governamentais consigam mitigar os efeitos de uma política monetária contracionista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torna-se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menos provável, sendo importante frisar que as previsões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PIB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o próximo ano indicam nova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desaceleração econômica.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Ainda sob o aspecto fiscal,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conclui-se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que o governo mantém dificuldades em transmitir ao mercado de que forma será alcançado o prometido equilíbrio das contas públicas, o que eleva as incertezas quanto à real viabilidade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superávit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primário no próximo exercício.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Diante desse cenário, a preferência permanece por títulos de prazos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curtos, ao menos no primeiro semestre de 2026, período em que a rigidez da política monetária tende a se manter. Contudo, uma vez que a inflação se mostre efetivamente controlada, acompanhada da esperada redução da Selic e de um cenário externo menos volátil — em especial após estabilização das relações comerciais —, as opções de prazo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longo poderão novamente se tornar atrativas, repetindo o desempenho observado em boa parte de 2025.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 outras palavras: o primeiro semestre de 2026 poderá servir como um importante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termômetro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quanto aos rumos da inflação no Brasil, o que, em última instância, exercerá papel fundamental na condução da política monetária, especialmente na definição da Selic.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Considerando o histórico de posicionamento em investimentos do RPPS e ponderando o posicionamento de seus gestores, ressalta-se que o RPPS possui o perfil de investidor conservador.</w:t>
      </w:r>
      <w:r>
        <w:br w:type="page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1026160</wp:posOffset>
            </wp:positionH>
            <wp:positionV relativeFrom="margin">
              <wp:posOffset>-103505</wp:posOffset>
            </wp:positionV>
            <wp:extent cx="816610" cy="719455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816610" cy="71945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80" w:line="252" w:lineRule="auto"/>
        <w:ind w:left="0" w:right="0" w:firstLine="0"/>
        <w:jc w:val="center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Instituto 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de Previdência dos Servidores Públicos de Lábrea</w:t>
        <w:br/>
        <w:t>CNPJ: 05.995.768/0001-66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20" w:line="283" w:lineRule="auto"/>
        <w:ind w:left="0" w:right="0" w:firstLine="0"/>
        <w:jc w:val="both"/>
      </w:pPr>
      <w:r>
        <w:drawing>
          <wp:anchor distT="0" distB="304800" distL="287020" distR="283845" simplePos="0" relativeHeight="125829381" behindDoc="0" locked="0" layoutInCell="1" allowOverlap="1">
            <wp:simplePos x="0" y="0"/>
            <wp:positionH relativeFrom="page">
              <wp:posOffset>6155690</wp:posOffset>
            </wp:positionH>
            <wp:positionV relativeFrom="margin">
              <wp:posOffset>-100330</wp:posOffset>
            </wp:positionV>
            <wp:extent cx="359410" cy="353695"/>
            <wp:wrapSquare wrapText="left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3536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50520" distB="0" distL="88900" distR="88900" simplePos="0" relativeHeight="125829382" behindDoc="0" locked="0" layoutInCell="1" allowOverlap="1">
            <wp:simplePos x="0" y="0"/>
            <wp:positionH relativeFrom="page">
              <wp:posOffset>5957570</wp:posOffset>
            </wp:positionH>
            <wp:positionV relativeFrom="margin">
              <wp:posOffset>250190</wp:posOffset>
            </wp:positionV>
            <wp:extent cx="749935" cy="304800"/>
            <wp:wrapSquare wrapText="left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749935" cy="3048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Após a apresentação e os esclarecimentos relativos à presente Política de Investimentos, os membros finalizaram o esboço, ressalta-se que sua aprovação será efetivada pelo conselho do RPPS.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anexo, segue o Quadro Resumo da Política de Investimentos - Resolução CNM n° 4.963/2021.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7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Não havendo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nada a deliberar.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drawing>
          <wp:anchor distT="190500" distB="1953260" distL="114300" distR="114300" simplePos="0" relativeHeight="125829383" behindDoc="0" locked="0" layoutInCell="1" allowOverlap="1">
            <wp:simplePos x="0" y="0"/>
            <wp:positionH relativeFrom="page">
              <wp:posOffset>2001520</wp:posOffset>
            </wp:positionH>
            <wp:positionV relativeFrom="margin">
              <wp:posOffset>3526790</wp:posOffset>
            </wp:positionV>
            <wp:extent cx="3669665" cy="57912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669665" cy="57912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2611120</wp:posOffset>
                </wp:positionH>
                <wp:positionV relativeFrom="margin">
                  <wp:posOffset>4124325</wp:posOffset>
                </wp:positionV>
                <wp:extent cx="2673350" cy="18605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73350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Presidente do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Comitê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de Investimentos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9" type="#_x0000_t202" style="position:absolute;margin-left:205.59999999999999pt;margin-top:324.75pt;width:210.5pt;height:14.65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Presidente do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Comitê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de Investimentos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drawing>
          <wp:anchor distT="1681480" distB="328930" distL="147955" distR="1080135" simplePos="0" relativeHeight="125829384" behindDoc="0" locked="0" layoutInCell="1" allowOverlap="1">
            <wp:simplePos x="0" y="0"/>
            <wp:positionH relativeFrom="page">
              <wp:posOffset>2035175</wp:posOffset>
            </wp:positionH>
            <wp:positionV relativeFrom="margin">
              <wp:posOffset>5017770</wp:posOffset>
            </wp:positionV>
            <wp:extent cx="2670175" cy="71310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670175" cy="7131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4881880</wp:posOffset>
                </wp:positionH>
                <wp:positionV relativeFrom="margin">
                  <wp:posOffset>5356225</wp:posOffset>
                </wp:positionV>
                <wp:extent cx="118745" cy="23495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74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66BB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PT" w:eastAsia="pt-PT" w:bidi="pt-PT"/>
                              </w:rPr>
                              <w:t>t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66BB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PT" w:eastAsia="pt-PT" w:bidi="pt-PT"/>
                              </w:rPr>
                              <w:t>►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384.39999999999998pt;margin-top:421.75pt;width:9.3499999999999996pt;height:18.5pt;z-index:25165773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666BB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pt-PT" w:eastAsia="pt-PT" w:bidi="pt-PT"/>
                        </w:rPr>
                        <w:t>t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666BB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pt-PT" w:eastAsia="pt-PT" w:bidi="pt-PT"/>
                        </w:rPr>
                        <w:t>►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2407285</wp:posOffset>
                </wp:positionH>
                <wp:positionV relativeFrom="margin">
                  <wp:posOffset>4813300</wp:posOffset>
                </wp:positionV>
                <wp:extent cx="3081655" cy="35941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81655" cy="359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José Raimundo Aguiar de Souza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Diretõr Financeiro do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Comitê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de Investimento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189.55000000000001pt;margin-top:379.pt;width:242.65000000000001pt;height:28.300000000000001pt;z-index:251657733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José Raimundo Aguiar de Souza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Diretõr Financeiro do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Comitê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de Investimento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2915920</wp:posOffset>
                </wp:positionH>
                <wp:positionV relativeFrom="margin">
                  <wp:posOffset>5685155</wp:posOffset>
                </wp:positionV>
                <wp:extent cx="2060575" cy="37211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60575" cy="3721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Francisco Albuquerque Neves Membro do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Comitê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29.59999999999999pt;margin-top:447.64999999999998pt;width:162.25pt;height:29.300000000000001pt;z-index:251657735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9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Francisco Albuquerque Neves Membro do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Comitê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Lábrea/AM, 04 de novembro de 2025.</w:t>
      </w:r>
    </w:p>
    <w:p>
      <w:pPr>
        <w:pStyle w:val="Style7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800" w:line="259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Herton Carlos Nascimento da Costa</w:t>
        <w:br/>
        <w:t xml:space="preserve">Membro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Comitê</w:t>
      </w:r>
    </w:p>
    <w:p>
      <w:pPr>
        <w:pStyle w:val="Style7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59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529" w:left="1714" w:right="1186" w:bottom="1697" w:header="101" w:footer="1269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Elizangela Neves de Albuquerque</w:t>
        <w:br/>
        <w:t xml:space="preserve">Membro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Comitê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</w:rPr>
        <w:t>xANEXO iÀ*</w:t>
      </w:r>
      <w:bookmarkEnd w:id="0"/>
    </w:p>
    <w:tbl>
      <w:tblPr>
        <w:tblOverlap w:val="never"/>
        <w:jc w:val="center"/>
        <w:tblLayout w:type="fixed"/>
      </w:tblPr>
      <w:tblGrid>
        <w:gridCol w:w="5227"/>
        <w:gridCol w:w="864"/>
        <w:gridCol w:w="869"/>
        <w:gridCol w:w="538"/>
        <w:gridCol w:w="672"/>
        <w:gridCol w:w="547"/>
      </w:tblGrid>
      <w:tr>
        <w:trPr>
          <w:trHeight w:val="254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C8CACD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</w:rPr>
              <w:t>RESUMO DA POLÍTICA DE INVESTIMENTOS - RESOLUÇÃO CMN n5 4.963/2021</w:t>
            </w:r>
          </w:p>
        </w:tc>
      </w:tr>
      <w:tr>
        <w:trPr>
          <w:trHeight w:val="18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</w:rPr>
              <w:t>Alocação dos Recursos/Diversificação</w:t>
            </w:r>
          </w:p>
        </w:tc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</w:rPr>
              <w:t>Alocação dos recursos</w:t>
            </w:r>
          </w:p>
        </w:tc>
      </w:tr>
      <w:tr>
        <w:trPr>
          <w:trHeight w:val="326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1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Limite da Resolução 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Limite do Inciso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1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Limite Inferior 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Estratégia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Alvo 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Limite de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Superior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C8CACD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</w:rPr>
              <w:t>Renda Fixa - Art. 7»</w:t>
            </w:r>
          </w:p>
        </w:tc>
        <w:tc>
          <w:tcPr>
            <w:tcBorders>
              <w:top w:val="single" w:sz="4"/>
            </w:tcBorders>
            <w:shd w:val="clear" w:color="auto" w:fill="C8CAC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C8CAC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C8CAC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C8CACD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</w:rPr>
              <w:t>97,5%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8CAC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Títulos Públicos de Emissão do Tesouro Nacional - SELIC - Art 7, 1, 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0,5%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15,0%</w:t>
            </w:r>
          </w:p>
        </w:tc>
      </w:tr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Fundo/Classe de Investimento -100% Títulos Públicos SELIC - Art 7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vertAlign w:val="superscript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, I, b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100%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100%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71,0%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100,0%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Fundo/Classe de Investimento em índice de Mercado (ETF) -100% Títulos Públicos SELIC - Art 7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vertAlign w:val="superscript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, I, c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0,0%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0,0%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Operações Compromissadas - 100% Títulos Públicos SELIC - Art. 7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vertAlign w:val="superscript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, II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5%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5%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0,0%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0,0%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Fundo/Classe de Investimento em Renda Fixa - Geral - Art. 7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vertAlign w:val="superscript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, III, a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60%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60%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25,0%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60,0%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Fundo/Classe de Investimento em índice de Mercado (ETF) - Renda Fixa - Art 7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vertAlign w:val="superscript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, III, b</w:t>
            </w: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0,0%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0,0%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Ativos de Renda Fixa Emitidos por instituição financeira - Art. 7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vertAlign w:val="superscript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, IV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20%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20%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0,5%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15,0%</w:t>
            </w:r>
          </w:p>
        </w:tc>
      </w:tr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 xml:space="preserve">Fundo/Classe de Investimento em Direitos Creditórios (FIDC) -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Subclasse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Sênior - Art 7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vertAlign w:val="superscript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, V, 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5%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0,0%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0,0%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Fundo/Classe de Investimento em Renda Fixa - Crédito Privado - Art 7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vertAlign w:val="superscript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, V, b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5%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15%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0,5%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5,0%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Fundo/Classe de Investimento em Debêntures de Infraestrutura - Art. 7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vertAlign w:val="superscript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, V, 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5%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0,0%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0,0%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C8CACD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</w:rPr>
              <w:t>Renda Variável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en-US" w:eastAsia="en-US" w:bidi="en-US"/>
              </w:rPr>
              <w:t>-Art.se</w:t>
            </w:r>
          </w:p>
        </w:tc>
        <w:tc>
          <w:tcPr>
            <w:tcBorders>
              <w:top w:val="single" w:sz="4"/>
            </w:tcBorders>
            <w:shd w:val="clear" w:color="auto" w:fill="C8CAC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C8CAC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C8CAC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C8CACD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</w:rPr>
              <w:t>2,0%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8CAC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Fundo/Classe de Investimento em Ações - Art 8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vertAlign w:val="superscript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, 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0,5%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5,0%</w:t>
            </w:r>
          </w:p>
        </w:tc>
      </w:tr>
      <w:tr>
        <w:trPr>
          <w:trHeight w:val="15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Fundo/Classe de Investimento em índices de Mercado (ETF) - Art 8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vertAlign w:val="superscript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, II</w:t>
            </w:r>
          </w:p>
        </w:tc>
        <w:tc>
          <w:tcPr>
            <w:vMerge w:val="restart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30%</w:t>
            </w:r>
          </w:p>
        </w:tc>
        <w:tc>
          <w:tcPr>
            <w:vMerge w:val="restart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30%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0,5%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15,0%</w:t>
            </w:r>
          </w:p>
        </w:tc>
      </w:tr>
      <w:tr>
        <w:trPr>
          <w:trHeight w:val="15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Fundo/Classe de Investimento em BDR-Ações - art 8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vertAlign w:val="superscript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, III</w:t>
            </w: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0,5%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5,0%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Fundo/Classe de Investimento em BDR-ETF - art 8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vertAlign w:val="superscript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, IV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0,5%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5,0%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C8CACD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</w:rPr>
              <w:t>Investimento no Exterior - Art. 9«</w:t>
            </w:r>
          </w:p>
        </w:tc>
        <w:tc>
          <w:tcPr>
            <w:tcBorders>
              <w:top w:val="single" w:sz="4"/>
            </w:tcBorders>
            <w:shd w:val="clear" w:color="auto" w:fill="C8CAC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C8CAC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C8CAC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C8CACD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</w:rPr>
              <w:t>0,0%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8CAC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Fundo/Classe de Investimento em Renda Fixa - Dívida Externa - Art. 9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vertAlign w:val="superscript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, I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10%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10%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0,0%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1,0%</w:t>
            </w:r>
          </w:p>
        </w:tc>
      </w:tr>
      <w:tr>
        <w:trPr>
          <w:trHeight w:val="206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Fundo/Classe de Investimento em Ativos no Exterior - Art. 9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vertAlign w:val="superscript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, II</w:t>
            </w:r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0,0%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3,0%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C8CACD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</w:rPr>
              <w:t>Fundos Estruturados - Art. 102</w:t>
            </w:r>
          </w:p>
        </w:tc>
        <w:tc>
          <w:tcPr>
            <w:tcBorders>
              <w:top w:val="single" w:sz="4"/>
            </w:tcBorders>
            <w:shd w:val="clear" w:color="auto" w:fill="C8CAC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C8CAC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C8CAC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C8CACD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</w:rPr>
              <w:t>0,5%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8CAC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Fundo/Classe de Investimento Multimercado FIM - Art 10, 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10%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0,5%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10,0%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Fundo/Classe de Investimento em Participações - Art. 10, II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5%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15%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0,0%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0,0%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Fundo/Classe de Investimento em Ações - Mercado de Acesso - Art 10, III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5%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0,0%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0,0%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C8CACD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</w:rPr>
              <w:t>Fundos imobiliários - Art. 112</w:t>
            </w:r>
          </w:p>
        </w:tc>
        <w:tc>
          <w:tcPr>
            <w:tcBorders>
              <w:top w:val="single" w:sz="4"/>
            </w:tcBorders>
            <w:shd w:val="clear" w:color="auto" w:fill="C8CAC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C8CAC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C8CAC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C8CACD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</w:rPr>
              <w:t>0,0%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8CAC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Fundo/Classe de Investimento Imobiliário - Art 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5%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5%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0,0%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0,0%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0,0%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C8CACD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</w:rPr>
              <w:t>Empréstimos Consignados Art. 12»</w:t>
            </w:r>
          </w:p>
        </w:tc>
        <w:tc>
          <w:tcPr>
            <w:tcBorders>
              <w:top w:val="single" w:sz="4"/>
            </w:tcBorders>
            <w:shd w:val="clear" w:color="auto" w:fill="C8CAC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C8CAC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C8CAC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C8CACD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</w:rPr>
              <w:t>0,0%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8CAC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Empréstimos Consignados - Art 12°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5%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0,0%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0,0%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</w:rPr>
              <w:t>0,0%</w:t>
            </w: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C8CACD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C8CAC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C8CAC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C8CAC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C8CACD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</w:rPr>
              <w:t>100,00%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C8CAC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sectPr>
      <w:footerReference w:type="default" r:id="rId19"/>
      <w:footnotePr>
        <w:pos w:val="pageBottom"/>
        <w:numFmt w:val="decimal"/>
        <w:numRestart w:val="continuous"/>
      </w:footnotePr>
      <w:pgSz w:w="11900" w:h="16840"/>
      <w:pgMar w:top="529" w:left="1714" w:right="1186" w:bottom="1697" w:header="101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6604000</wp:posOffset>
              </wp:positionH>
              <wp:positionV relativeFrom="page">
                <wp:posOffset>9679305</wp:posOffset>
              </wp:positionV>
              <wp:extent cx="97790" cy="7620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7790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</w:rPr>
                            <w:t>52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520.pt;margin-top:762.14999999999998pt;width:7.7000000000000002pt;height:6.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</w:rPr>
                      <w:t>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Body text|2_"/>
    <w:basedOn w:val="DefaultParagraphFont"/>
    <w:link w:val="Style5"/>
    <w:rPr>
      <w:rFonts w:ascii="Courier New" w:eastAsia="Courier New" w:hAnsi="Courier New" w:cs="Courier New"/>
      <w:b/>
      <w:bCs/>
      <w:i w:val="0"/>
      <w:iCs w:val="0"/>
      <w:smallCaps w:val="0"/>
      <w:strike w:val="0"/>
      <w:u w:val="none"/>
    </w:rPr>
  </w:style>
  <w:style w:type="character" w:customStyle="1" w:styleId="CharStyle8">
    <w:name w:val="Body text|1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2">
    <w:name w:val="Heading #1|1_"/>
    <w:basedOn w:val="DefaultParagraphFont"/>
    <w:link w:val="Style11"/>
    <w:rPr>
      <w:rFonts w:ascii="Arial" w:eastAsia="Arial" w:hAnsi="Arial" w:cs="Arial"/>
      <w:b/>
      <w:bCs/>
      <w:i w:val="0"/>
      <w:iCs w:val="0"/>
      <w:smallCaps w:val="0"/>
      <w:strike w:val="0"/>
      <w:sz w:val="30"/>
      <w:szCs w:val="30"/>
      <w:u w:val="none"/>
      <w:lang w:val="pt-BR" w:eastAsia="pt-BR" w:bidi="pt-BR"/>
    </w:rPr>
  </w:style>
  <w:style w:type="character" w:customStyle="1" w:styleId="CharStyle14">
    <w:name w:val="Header or footer|2_"/>
    <w:basedOn w:val="DefaultParagraphFont"/>
    <w:link w:val="Style13"/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character" w:customStyle="1" w:styleId="CharStyle17">
    <w:name w:val="Other|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FFFFFF"/>
      <w:jc w:val="center"/>
    </w:pPr>
    <w:rPr>
      <w:rFonts w:ascii="Courier New" w:eastAsia="Courier New" w:hAnsi="Courier New" w:cs="Courier New"/>
      <w:b/>
      <w:bCs/>
      <w:i w:val="0"/>
      <w:iCs w:val="0"/>
      <w:smallCaps w:val="0"/>
      <w:strike w:val="0"/>
      <w:u w:val="none"/>
    </w:rPr>
  </w:style>
  <w:style w:type="paragraph" w:customStyle="1" w:styleId="Style7">
    <w:name w:val="Body text|1"/>
    <w:basedOn w:val="Normal"/>
    <w:link w:val="CharStyle8"/>
    <w:pPr>
      <w:widowControl w:val="0"/>
      <w:shd w:val="clear" w:color="auto" w:fill="FFFFFF"/>
      <w:spacing w:after="140" w:line="276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1">
    <w:name w:val="Heading #1|1"/>
    <w:basedOn w:val="Normal"/>
    <w:link w:val="CharStyle12"/>
    <w:pPr>
      <w:widowControl w:val="0"/>
      <w:shd w:val="clear" w:color="auto" w:fill="FFFFFF"/>
      <w:spacing w:after="44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30"/>
      <w:szCs w:val="30"/>
      <w:u w:val="none"/>
      <w:lang w:val="pt-BR" w:eastAsia="pt-BR" w:bidi="pt-BR"/>
    </w:rPr>
  </w:style>
  <w:style w:type="paragraph" w:customStyle="1" w:styleId="Style13">
    <w:name w:val="Header or footer|2"/>
    <w:basedOn w:val="Normal"/>
    <w:link w:val="CharStyle14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paragraph" w:customStyle="1" w:styleId="Style16">
    <w:name w:val="Other|1"/>
    <w:basedOn w:val="Normal"/>
    <w:link w:val="CharStyle17"/>
    <w:pPr>
      <w:widowControl w:val="0"/>
      <w:shd w:val="clear" w:color="auto" w:fill="FFFFFF"/>
      <w:spacing w:after="140" w:line="276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footer" Target="footer1.xml"/></Relationships>
</file>