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39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304800</wp:posOffset>
                </wp:positionH>
                <wp:positionV relativeFrom="paragraph">
                  <wp:posOffset>12700</wp:posOffset>
                </wp:positionV>
                <wp:extent cx="831850" cy="14033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19/03/2025, 09:41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4.pt;margin-top:1.pt;width:65.5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19/03/2025, 09:41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Visualização de Publicação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40" w:lineRule="auto"/>
        <w:ind w:left="4500" w:right="450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ESTADO DO AMAZONAS MUNICÍPIO DE LÁBREA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GABINETE DO PREFEITO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PORTARIA N" 009 DE 28 DE FEVEREIRO DE 2025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00" w:right="0"/>
        <w:jc w:val="both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PORTARIA N” 009 DE 28 DE FEVEREIRO DE 2025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20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O Diretor Presidente do LÁBREA 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que lhe são conferidas pelo art. 30, da Lei Orgânica do Município de Lábrea e pelo art. 75 da Lei Municipal n° 274/2005, de 08 de novembro de 2005, a qual dispõe sobre a Reorganização do Regime Próprio de Previdência Social dos Servidores Públicos do Município de Lábrea e dá outras providencias,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200" w:right="0"/>
        <w:jc w:val="both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o teor do Processo n°. 005/2025 - do Sistema de Previdência dos Servidores Públicos do Município de Lábrea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LÁBREA 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que trata da aposentadoria da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IVANEIDE BATISTA DE SOUZA.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20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Art, 1“ - 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Aposentadoria Voluntária por idade c tempo dc contribuição à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IVANEIDE BATISTA DE SOUZA - MAT. 299,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CPF n° 405.667.062-53, PASEP n° 19016241364 e Cédula de Identidade n” 0631796-0 SSP/AM, ocupante do cargo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AUXILIAR DE SERVIÇOS GERAIS A.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quadro de pessoal da Prefeitura Municipal de Lábrea, a partir de 01/02/2025.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20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2“ - Este Beneficio está fundamentado no Art. 6“ da EC 41/03, c/c com o Art. 21 da Lei Municipal n° 274/2005 - Comum Provento Integral - Com Paridade, Última Remuneração ficando estabelecido o valor RS 2.352,90 (dois mil e trezentos e cinquenta e dois reais e noventa centavos), seu reajuste será na mesma proporção e data dos servidores ativos, com a seguinte composição dc vencimentos:</w:t>
      </w:r>
    </w:p>
    <w:tbl>
      <w:tblPr>
        <w:tblOverlap w:val="never"/>
        <w:jc w:val="center"/>
        <w:tblLayout w:type="fixed"/>
      </w:tblPr>
      <w:tblGrid>
        <w:gridCol w:w="8635"/>
        <w:gridCol w:w="2088"/>
      </w:tblGrid>
      <w:tr>
        <w:trPr>
          <w:trHeight w:val="3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Apuração dos Proventos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Valor (RS)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SALÁRIO BASE 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Arts. 50 e 51 da Lei Municipal n° 309/2008 de 04 de junho de 2008.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1.518,00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DICIONAL DE INSALUBRIDADE 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Art. 68, Inciso IX da Lei Municipal n° 309/2008 de 04 de junho de 2008.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303,60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ATS - ADICIONAL TEMPO DE SERVIO 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Art. 68, Inciso VIII da Lei Municipal n° 309/2008 de 04 de junho dc 2008.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R$531,30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RS 2.352,90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9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3“ - Revogada as disposições em contrário, esta Portaria tem efeito retroativo a 01 de fevereiro de 2025.</w:t>
      </w:r>
    </w:p>
    <w:p>
      <w:pPr>
        <w:widowControl w:val="0"/>
        <w:spacing w:after="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3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Lábrea, 28 de fevereiro de 2025.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GERCIVALDO LIMA ALVES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66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Publicado por: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94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Hélio Camurça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826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Código Identificador: 4XDXGUBTH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2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dos Municípios do Estado do Amazonas no dia 19/03/2025 - N° 3821. A verificação dc autenticidade da matéria pode ser feita informando o código identificador nó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https://diariomunicipalaam.org.br</w:t>
      </w:r>
      <w:r>
        <w:fldChar w:fldCharType="end"/>
      </w:r>
    </w:p>
    <w:sectPr>
      <w:footnotePr>
        <w:pos w:val="pageBottom"/>
        <w:numFmt w:val="decimal"/>
        <w:numRestart w:val="continuous"/>
      </w:footnotePr>
      <w:pgSz w:w="11900" w:h="16840"/>
      <w:pgMar w:top="387" w:left="591" w:right="452" w:bottom="387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8">
    <w:name w:val="Heading #1|1_"/>
    <w:basedOn w:val="DefaultParagraphFont"/>
    <w:link w:val="Style7"/>
    <w:rPr>
      <w:b w:val="0"/>
      <w:bCs w:val="0"/>
      <w:i w:val="0"/>
      <w:iCs w:val="0"/>
      <w:smallCaps w:val="0"/>
      <w:strike w:val="0"/>
      <w:sz w:val="19"/>
      <w:szCs w:val="19"/>
      <w:u w:val="single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320"/>
      <w:ind w:left="199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80"/>
      <w:ind w:firstLine="20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80"/>
      <w:jc w:val="center"/>
      <w:outlineLvl w:val="0"/>
    </w:pPr>
    <w:rPr>
      <w:b w:val="0"/>
      <w:bCs w:val="0"/>
      <w:i w:val="0"/>
      <w:iCs w:val="0"/>
      <w:smallCaps w:val="0"/>
      <w:strike w:val="0"/>
      <w:sz w:val="19"/>
      <w:szCs w:val="19"/>
      <w:u w:val="single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spacing w:after="80"/>
      <w:ind w:firstLine="20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