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360" w:after="360" w:line="240" w:lineRule="auto"/>
        <w:ind w:left="400" w:right="0" w:hanging="40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TERMO DE CONTRATO N° 018/2025 - CCSC/PMJ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326" w:lineRule="auto"/>
        <w:ind w:left="4540" w:right="0" w:firstLine="2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TERMO DE CONTRATO PARA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LOCAÇÃO DE IMÓVEL,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CELEBRADO ENTRE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MUNICÍPIO DE JUTAÍ - PREFEITURA MUNICIPAL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 O SR.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FRANCISCO COELHO RODRIGUES.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400" w:right="0" w:hanging="40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Preâmbulo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32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O MUNICÍPIO DE JUTAÍ - PREFEITURA MUNICIPAL,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sede à Rua Costa e Silva, n° 119-E, Cep; 69.660-000, Centro Jutaí - AM, inscrito no CNPJ sob n° 04.285.896/0001-53, doravante denominado simplesmente LOCATÁRIO, neste ato representado pela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Municipal,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MERCEDES MENDES VARGAS,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brasileira, residente e domiciliada na Rua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Andreazza, n° 730, bairro São José, Jutaí/AM, portadora da Cédula de Identidade RG sob o n° 1442255-7/SSP-AM, inscrita no CPF sob o n° 801.535.262-20, de acordo com atribuição de competência contida no art. 91 da Lei Orgânica do município; e de outro, 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FRANCISCO COELHO RODRIGUES,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 no CPF n° 937.530.122-20, daqui por diante denominado(a)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LOCADOR,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residente e domiciliado na rua Edmundo Viana, n° 59, bairro São José, Jutaí/AM.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Tendo em vista o que consta no Processo Administrativo n° 022/2025-SEMPDEC, e em observância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disposições da Lei n° 14.133/2021 e Decreto Municipal n° 013/2024, resolvem celebrar o presente Termo de Contrato, decorrente 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Inexigibilidade de Licitação n° 016/2025,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mediante as cláusulas e condições a seguir enunciadas: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400" w:right="0" w:hanging="40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PRIMEIRA: DA LEGALIDADE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/>
        <w:ind w:left="400" w:right="0" w:hanging="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1.1.0 presente contrato é firmado com base no art. 74, V da Lei n° 14.133/2021, que dispõe ser inexigível a licitação quando inviável a competição, em especial nos casos de locação de imóvel cujas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características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instalações e de localização tomem necessária sua escolha c/c art. 154, V do Decreto Municipal n° 013/2024- GP, que regulamenta as contratações diretas, especificamente do cumprimento dos requisitos documentais para a locação de imóvel no âmbito do Município de Jutaí (AM), em atenção à Lei n° 14.133/2021.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400" w:right="0" w:hanging="40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CLÁSULA SEGUNDA: ORIGEM DO CONTRATO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400" w:right="0" w:hanging="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1.1.0 presente contrato decorre do Processo Administrativo n° 022/2025-SEMPDEC, referente a Inexigibilidade de Licitação n° 016/2025 — CCSC/PMJ.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2" w:val="left"/>
        </w:tabs>
        <w:bidi w:val="0"/>
        <w:spacing w:before="0" w:after="300"/>
        <w:ind w:left="400" w:right="0" w:hanging="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São anexos a este instrumento e vinculam a esta contratação, independentemente de transcrição: o Termo de Referência (TR), Estudo Técnico Preliminar (ETP) e toda documentação relativa ao processo administrativo mencionado.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26" w:lineRule="auto"/>
        <w:ind w:left="400" w:right="0" w:hanging="40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TERCEIRA: DO OBJETO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90" w:lineRule="auto"/>
        <w:ind w:left="400" w:right="0" w:hanging="40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2.1.0 presente Termo de Contrato tem por objeto a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Locação de um imóvel na sede do Município de Jutaí (AM), Avenida Içapó, S/N°, Jutaí (AM) para aluguel social, aos beneficiários em estado de vulnerabilidade do desastre natural em Jutaí (AM).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1936115</wp:posOffset>
                </wp:positionH>
                <wp:positionV relativeFrom="margin">
                  <wp:posOffset>-201930</wp:posOffset>
                </wp:positionV>
                <wp:extent cx="3569970" cy="59436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69970" cy="594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ESTADO DO AMAZONAS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MUNICÍPIO DE JUTAÍ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CENTRAL DE COMPRAS, SERVIÇOS E CONTRATOS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52.44999999999999pt;margin-top:-15.9pt;width:281.10000000000002pt;height:46.799999999999997pt;z-index:-125829375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ESTADO DO AMAZONAS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MUNICÍPIO DE JUTAÍ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CENTRAL DE COMPRAS, SERVIÇOS E CONTRATOS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930275</wp:posOffset>
            </wp:positionH>
            <wp:positionV relativeFrom="margin">
              <wp:posOffset>-186690</wp:posOffset>
            </wp:positionV>
            <wp:extent cx="420370" cy="469265"/>
            <wp:wrapSquare wrapText="righ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20370" cy="46926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DE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/>
        <w:ind w:right="0"/>
        <w:jc w:val="lef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jut:i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QUARTA: DO VALOR DO CONTRATO E DA FORMA DE PAGAMENTO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09" w:val="left"/>
        </w:tabs>
        <w:bidi w:val="0"/>
        <w:spacing w:before="0" w:after="0" w:line="319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Do valor do contrato: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3" w:val="left"/>
        </w:tabs>
        <w:bidi w:val="0"/>
        <w:spacing w:before="0" w:after="0" w:line="302" w:lineRule="auto"/>
        <w:ind w:left="760" w:right="0" w:hanging="56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valor global do contrato é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R$22.000,00 (vinte e dois mil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sendo 11 (onze) parcelas mensais no valor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R$2.000,00 (dois mil reais).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9" w:val="left"/>
        </w:tabs>
        <w:bidi w:val="0"/>
        <w:spacing w:before="0" w:after="0" w:line="302" w:lineRule="auto"/>
        <w:ind w:left="76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valor acima estão incluídas todas as despesas ordinárias diretas e indiretas decorrentes da locação do imóvel, inclusive tributos e/ou impostos, encargos sociais, seguro e outros necessários ao cumprimento integral do objeto da contratação.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09" w:val="left"/>
        </w:tabs>
        <w:bidi w:val="0"/>
        <w:spacing w:before="0" w:after="0" w:line="319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Forma de Pagamento: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76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3.2.1.0 pagamento será realizado através de ordem bancária, para crédito em banco, agência e conta corrente.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59" w:val="left"/>
        </w:tabs>
        <w:bidi w:val="0"/>
        <w:spacing w:before="0" w:after="0" w:line="259" w:lineRule="auto"/>
        <w:ind w:left="76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Dados Bancários para recebimento do pagamento: Instituição Bancária: Banco Bradesco, Agência: 5042-3 Conta Corrente: 0000102-3, titular: FRANCISCO COELHO RODRIGUES.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59" w:val="left"/>
        </w:tabs>
        <w:bidi w:val="0"/>
        <w:spacing w:before="0" w:after="0" w:line="259" w:lineRule="auto"/>
        <w:ind w:left="76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efetuado mensalmente, até o 5° (quinto) dia útil subsequente ao mês de competência da locação, na quantia mensal.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59" w:val="left"/>
        </w:tabs>
        <w:bidi w:val="0"/>
        <w:spacing w:before="0" w:after="0" w:line="259" w:lineRule="auto"/>
        <w:ind w:left="76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ocorrido o recebimento da nota fiscal ou fatura quando o fiscal atestar a regularidade da documentação pertinente ao mês faturado.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09" w:val="left"/>
        </w:tabs>
        <w:bidi w:val="0"/>
        <w:spacing w:before="0" w:after="0" w:line="319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Condições de Pagamento: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76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3.3.1.0 setor competente para proceder o pagamento deve verificar se a Nota Fiscal ou Fatura apresentada expressa os elementos necessários e essenciais do documento, tais como: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72" w:val="left"/>
        </w:tabs>
        <w:bidi w:val="0"/>
        <w:spacing w:before="0" w:after="0" w:line="307" w:lineRule="auto"/>
        <w:ind w:left="1120" w:right="0" w:hanging="3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prazo de validade;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72" w:val="left"/>
        </w:tabs>
        <w:bidi w:val="0"/>
        <w:spacing w:before="0" w:after="0" w:line="302" w:lineRule="auto"/>
        <w:ind w:left="1120" w:right="0" w:hanging="3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data da emissão;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72" w:val="left"/>
        </w:tabs>
        <w:bidi w:val="0"/>
        <w:spacing w:before="0" w:after="0" w:line="302" w:lineRule="auto"/>
        <w:ind w:left="76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dados do contrato e do órgão contratante;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72" w:val="left"/>
        </w:tabs>
        <w:bidi w:val="0"/>
        <w:spacing w:before="0" w:after="0" w:line="302" w:lineRule="auto"/>
        <w:ind w:left="76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período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execução do contrato;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72" w:val="left"/>
        </w:tabs>
        <w:bidi w:val="0"/>
        <w:spacing w:before="0" w:after="0" w:line="302" w:lineRule="auto"/>
        <w:ind w:left="1120" w:right="0" w:hanging="3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a pagar; e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72" w:val="left"/>
        </w:tabs>
        <w:bidi w:val="0"/>
        <w:spacing w:before="0" w:after="0" w:line="302" w:lineRule="auto"/>
        <w:ind w:left="76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eventual destaque do valor de retenções tributárias cabíveis.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01" w:val="left"/>
        </w:tabs>
        <w:bidi w:val="0"/>
        <w:spacing w:before="0" w:after="0"/>
        <w:ind w:left="76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Havendo erro na apresentação da Nota Fiscal/Fatura, ou circunstância que impeça a liquidação da despesa, o pagamento ficará sobrestado até que a contratada providencie as medidas saneadoras. Nesta hipótese, o prazo para pagamento iniciar-se-á após a comprovação da regularização da situação, não acarretando qualquer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ônus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a contratante;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01" w:val="left"/>
        </w:tabs>
        <w:bidi w:val="0"/>
        <w:spacing w:before="0" w:after="0"/>
        <w:ind w:left="76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Nota Fiscal ou Fatura deverá ser obrigatoriamente acompanhada da comprovação da regularidade fiscal, constatada por meio de consulta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on-line,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mediante consulta aos sítios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oficiais ou à documentação mencionada no art. 68 da Lei N° 14.133/2021.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01" w:val="left"/>
        </w:tabs>
        <w:bidi w:val="0"/>
        <w:spacing w:before="0" w:after="0" w:line="307" w:lineRule="auto"/>
        <w:ind w:left="76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à emissão de nota de empenho e a cada pagamento, a Administração deverá realizar consulta para:</w:t>
      </w:r>
    </w:p>
    <w:p>
      <w:pPr>
        <w:pStyle w:val="Style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72" w:val="left"/>
        </w:tabs>
        <w:bidi w:val="0"/>
        <w:spacing w:before="0" w:after="0" w:line="302" w:lineRule="auto"/>
        <w:ind w:left="76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verificar a manutenção das condições de habilitação exigidas na contratação;</w:t>
      </w:r>
    </w:p>
    <w:p>
      <w:pPr>
        <w:pStyle w:val="Style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72" w:val="left"/>
        </w:tabs>
        <w:bidi w:val="0"/>
        <w:spacing w:before="0" w:after="0" w:line="300" w:lineRule="auto"/>
        <w:ind w:left="1120" w:right="0" w:hanging="3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identificar possível razão que impeça a participação em contratações, no âmbito do órgão ou entidade, proibição de contratar com o Poder Público, bem como ocorrências impeditivas indiretas.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01" w:val="left"/>
        </w:tabs>
        <w:bidi w:val="0"/>
        <w:spacing w:before="0" w:after="0" w:line="300" w:lineRule="auto"/>
        <w:ind w:left="76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01" w:val="left"/>
        </w:tabs>
        <w:bidi w:val="0"/>
        <w:spacing w:before="0" w:after="0"/>
        <w:ind w:left="760" w:right="0" w:hanging="560"/>
        <w:jc w:val="both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287" w:left="1405" w:right="1298" w:bottom="91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havendo regularização ou sendo a defesa considerada improcedente, a contratante deverá comunicar aos órgãos responsáveis pela fiscalização da regularidade fiscal quanto à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 contratada, bem como quanto à existência de pagamento a ser efetuado, para que sejam acionados os meios pertinentes e necessários para garantir o recebimento de seus 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901" w:val="left"/>
        </w:tabs>
        <w:bidi w:val="0"/>
        <w:spacing w:before="0" w:after="0"/>
        <w:ind w:left="7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créditos.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08" w:val="left"/>
        </w:tabs>
        <w:bidi w:val="0"/>
        <w:spacing w:before="0" w:after="0" w:line="307" w:lineRule="auto"/>
        <w:ind w:left="780" w:right="0" w:hanging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Persistindo a irregularidade, a contratante deverá adotar as medidas necessárias à rescisão contratual nos autos do processo administrativo correspondente, assegurada à contratada a ampla defesa.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08" w:val="left"/>
        </w:tabs>
        <w:bidi w:val="0"/>
        <w:spacing w:before="0" w:after="0" w:line="307" w:lineRule="auto"/>
        <w:ind w:left="780" w:right="0" w:hanging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Havendo a efetiva execução do objeto, os pagamentos serão realizados normalmente, até que se decida pela rescisão do contrato, caso a contratada não regularize sua situação.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08" w:val="left"/>
        </w:tabs>
        <w:bidi w:val="0"/>
        <w:spacing w:before="0" w:after="0" w:line="307" w:lineRule="auto"/>
        <w:ind w:left="900" w:right="0" w:hanging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do pagamento, será efetuada a retenção tributária prevista na legislação aplicável.</w:t>
      </w:r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96" w:val="left"/>
        </w:tabs>
        <w:bidi w:val="0"/>
        <w:spacing w:before="0" w:after="280" w:line="307" w:lineRule="auto"/>
        <w:ind w:left="900" w:right="0" w:hanging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Independentemente do percentual de tributo inserido na planilha, no pagamento serão retidos na fonte os percentuais estabelecidos na legislação vigente.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QUINTA: DA VIGÊNCIA E PRORROGAÇÃO CONTRATUAL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307" w:lineRule="auto"/>
        <w:ind w:left="440" w:right="0" w:hanging="4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4.1.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 prazo contratual terá vigência de 11 (onze) meses, contados de 04 de fevereiro de 2025 a 31 de dezembro de 2025, sem interrupção, podendo ser renovado e/ou prorrogado por conveniência da Administração, em período igual, nos termos do art. 108 da Lei n° 14.133/2021, mediante assinatura de Termo Aditivo.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SEXTA: OBRIGAÇÕES DO CONTRATADO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04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a entrega do imóvel em perfeitas condições de uso, no prazo indicado na solicitação formal feita pelo Contratante;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10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Responsabilizar-se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pelos vícios ocultos anteriores a assinatura do contrato, desde que constatados por laudo técnico;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04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Atender prontamente a quaisquer exigências da Administração, inerentes a problemas estruturais, como infiltrações, rachaduras, problemas na fundação, rede elétrica e hidráulica.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04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Comunicar a Administração, no prazo de 24 (vinte e quatro) horas que antecede a data de entrega do imóvel se houver motivos que impossibilitem o cumprimento do prazo previsto, com a devida comprovação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consequentemente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datar nova data, sem prejuízo;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04" w:val="left"/>
        </w:tabs>
        <w:bidi w:val="0"/>
        <w:spacing w:before="0" w:after="30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Responsabilizarcm-se pelas despesas dos tributos fiscais, seguros e quaisquer outras que incidam o venham a incidir sobre o imóvel;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SÉTIMA: OBRIGAÇÕES DO CONTRATANTE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498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Acompanhar e fiscalizar o cumprimento das obrigações da Contratada, por meio de servidores especialmente designados (Fiscal e Gestor de Contrato);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498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o pagamento no prazo previsto, respeitando a ordem cronológica, após a entrega da nota fiscal no setor competente;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498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Atestar nas notas fiscais e/ou fatura referente a esta inexigibilidade de licitação.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504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Prestar à CONTRATADA toda e qualquer informação, por esta solicitada, necessária à perfeita execução do contrato;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504" w:val="left"/>
        </w:tabs>
        <w:bidi w:val="0"/>
        <w:spacing w:before="0" w:after="28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Notificar, por escrito, à CONTRATADA da aplicação de qualquer sanção.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17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7.6 - DO ACOMPANHAMENTO DA FISCALIZAÇÃO</w:t>
      </w:r>
    </w:p>
    <w:p>
      <w:pPr>
        <w:pStyle w:val="Style4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666" w:val="left"/>
        </w:tabs>
        <w:bidi w:val="0"/>
        <w:spacing w:before="0" w:after="32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designado para representar a Secretaria Municipal de Proteção e Defesa Civil, servidor(a) nomeado(a) por este documento, para acompanhar e fiscalizar a execução do presente Contrato.</w:t>
      </w:r>
    </w:p>
    <w:p>
      <w:pPr>
        <w:pStyle w:val="Style4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678" w:val="left"/>
        </w:tabs>
        <w:bidi w:val="0"/>
        <w:spacing w:before="0" w:after="0" w:line="322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DO FISCAL DO CONTRATO</w:t>
      </w:r>
    </w:p>
    <w:p>
      <w:pPr>
        <w:pStyle w:val="Style4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28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execução do contrato deverá ser acompanhada e fiscalizada pelo(s) fiscal(is) do contrato, 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substitutos (Lei n° 14.133/2021, art. 117,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capiit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c/c art. 30 do Decreto Municipal n° 13, de 10 de abril de 2024);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7.Ó.2.2. A fiscalização da contratação será exercida por servidor(a) designado(a) por meio de Portaria, ao qual competirá dirimir as dúvidas que surgirem no curso da execução do contrato, e de tudo dará ciência à Administração Pública;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7.Ó.2.3. A fiscalização de que trata este item não exclui nem reduz a responsabilidade do contratado(a) pelos danos causados diretamente à Administração ou a terceiros em razão da execução do contrato, e não excluirá nem reduzirá essa responsabilidade a fiscalização ou o acompanhamento pelo contratante, nos termos do art. 120 da Lei Federal n° 14.133/21;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7.6.2.4. Caberá ao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Sr. DANIEL GIDEAN LIMA DE SOUZA,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054.603122-64, servidor (a) público (a) na função de Coordenador do SIPIA (Sistema de Informação para a Infância e Adolescência), matrícula n° 6317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FISCAL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os arts. 117 e 118 da Lei n° 14.133/2021 c/c art. 30 do Decreto Municipal n° 013/2024- GP, com as seguintes atribuições: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94" w:val="left"/>
        </w:tabs>
        <w:bidi w:val="0"/>
        <w:spacing w:before="0" w:after="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prestar apoio técnico e operacional ao gestor do contrato, com a realização das tarefas de controle dos prazos relacionados ao contrato, à formalização de apostilamentos e termos aditivos, ao acompanhamento do empenho e pagamento, além de garantias e glosas;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294" w:val="left"/>
        </w:tabs>
        <w:bidi w:val="0"/>
        <w:spacing w:before="0" w:after="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manutenção das condições de habilitação da contratada, com a solicitação dos documentos comprobatórios pertinentes, caso necessário;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44" w:val="left"/>
        </w:tabs>
        <w:bidi w:val="0"/>
        <w:spacing w:before="0" w:after="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atuar tempestivamente na solução de eventuais problemas relacionados ao descumprimento das obrigações contratuais e reportar ao gestor do contrato, para que tome as providências cabíveis, quando ultrapassar a sua competência;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62" w:val="left"/>
        </w:tabs>
        <w:bidi w:val="0"/>
        <w:spacing w:before="0" w:after="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notificações à contratada para a correção de rotinas ou de qualquer inexatidão ou irregularidade constatada, com a definição de prazo para a correção;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68" w:val="left"/>
        </w:tabs>
        <w:bidi w:val="0"/>
        <w:spacing w:before="0" w:after="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ao gestor do contrato, em tempo hábil, a situação que demandar decisão ou adoção de medidas que ultrapassem a sua competência, para que adote as medidas necessárias e saneadoras, se for o caso;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68" w:val="left"/>
        </w:tabs>
        <w:bidi w:val="0"/>
        <w:spacing w:before="0" w:after="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imediatamente ao gestor do contrato quaisquer ocorrências que possam inviabilizar a execução do contrato nas datas estabelecidas;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428" w:val="left"/>
        </w:tabs>
        <w:bidi w:val="0"/>
        <w:spacing w:before="0" w:after="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fiscalizar a execução do contrato, para que sejam cumpridas as condições estabelecidas, de modo a assegurar os melhores resultados para a administração, com a conferência das notas fiscais e das documentações exigidas para o pagamento e, após o ateste, encaminhar ao gestor de contrato para ratificação;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00" w:val="left"/>
        </w:tabs>
        <w:bidi w:val="0"/>
        <w:spacing w:before="0" w:after="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se os profissionais indicados na licitação, sobretudo os apontados nos atestados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capacitação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técnica ou para fins de pontuação da proposta técnica (licitações pelo tipo técnica e preço), efetivamente participam da execução do contrato;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00" w:val="left"/>
        </w:tabs>
        <w:bidi w:val="0"/>
        <w:spacing w:before="0" w:after="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o(a) contratado(a) respeita as normas pertinentes à segurança do trabalho e demais regras trabalhistas;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62" w:val="left"/>
        </w:tabs>
        <w:bidi w:val="0"/>
        <w:spacing w:before="0" w:after="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o cronograma de execução do contrato;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56" w:val="left"/>
        </w:tabs>
        <w:bidi w:val="0"/>
        <w:spacing w:before="0" w:after="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houve subcontratação ou cessão contratual em desacordo com o contrato ou fora das hipóteses admitidas em lei;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428" w:val="left"/>
        </w:tabs>
        <w:bidi w:val="0"/>
        <w:spacing w:before="0" w:after="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quantidade e a qualidade dos materiais e insumos empregados na execução do contrato;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00" w:val="left"/>
        </w:tabs>
        <w:bidi w:val="0"/>
        <w:spacing w:before="0" w:after="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 contratado toma as precauções necessárias para evitar que a execução do contrato eventualmente cause danos a terceiros;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12" w:val="left"/>
        </w:tabs>
        <w:bidi w:val="0"/>
        <w:spacing w:before="0" w:after="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participar da atualização do relatório de riscos durante a fase de gestão do contrato;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12" w:val="left"/>
        </w:tabs>
        <w:bidi w:val="0"/>
        <w:spacing w:before="0" w:after="0" w:line="300" w:lineRule="auto"/>
        <w:ind w:left="0" w:right="0" w:firstLine="0"/>
        <w:jc w:val="both"/>
        <w:sectPr>
          <w:headerReference w:type="default" r:id="rId13"/>
          <w:footerReference w:type="default" r:id="rId14"/>
          <w:headerReference w:type="even" r:id="rId15"/>
          <w:footerReference w:type="even" r:id="rId16"/>
          <w:headerReference w:type="first" r:id="rId17"/>
          <w:footerReference w:type="first" r:id="rId18"/>
          <w:footnotePr>
            <w:pos w:val="pageBottom"/>
            <w:numFmt w:val="decimal"/>
            <w:numRestart w:val="continuous"/>
          </w:footnotePr>
          <w:pgSz w:w="11900" w:h="16840"/>
          <w:pgMar w:top="1287" w:left="1405" w:right="1298" w:bottom="919" w:header="0" w:footer="3" w:gutter="0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realizar o recebimento provisório do objeto do contrato, mediante termo detalhado que comprove o cumprimento das exigências contratuais;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12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informar, mensalmente, por escrito, ao gestor do contrato, todas as ocorrências relacionadas à execução do contrato, com a descrição do que for necessário para a regularização das faltas ou dos defeitos observados;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84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auxiliar o gestor do contrato com as informações necessárias, na elaboração do documento comprobatório da avaliação realizada na fiscalização do cumprimento de obrigações assumidas pelo contratado;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56" w:val="left"/>
        </w:tabs>
        <w:bidi w:val="0"/>
        <w:spacing w:before="0" w:after="30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ao gestor do contrato, em tempo hábil, a proximidade do término do contrato sob sua responsabilidade, com vistas à renovação tempestiva ou à prorrogação contratual.</w:t>
      </w:r>
    </w:p>
    <w:p>
      <w:pPr>
        <w:pStyle w:val="Style4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20" w:val="left"/>
        </w:tabs>
        <w:bidi w:val="0"/>
        <w:spacing w:before="0" w:after="0" w:line="319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GESTOR DO CONTRATO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7.6.2.1 Caberá ao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Sr. JESSE OLIVEIRA ARRUDADEAN WESLLEY A. PEREIRA,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011.721.202-42, servidor público na função de Auxiliar de Assistente Social, matrícula n° 6144,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GESTORA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 art. 29 do Decreto Municipal n° 013/2024- GP, com as seguintes atribuições: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269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coordenar a atividade de fiscalização;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269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instruir e manter atualizado o processo administrativo de acompanhamento e fiscalização com a documentação pertinente e os registros da execução do contrato;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4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emitir, mensalmente, relatório relativo aos atos fiscalizatórios realizados, atestando pontual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detalhadamente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atendimento, total ou parcial, da regularidade do cumprimento de cada uma das obrigações tratadas neste Decreto, conforme modelo de avaliação, controle e fiscalização constantes nos modelos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Procuradoria ou Assessoria jurídica do Município;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analisar e conduzir a solicitação de repactuação do objeto, reajuste financeiro, reequilíbrio físico- financeiro, acréscimo/supressão de metas, interrupção de serviços, prorrogação, pagamentos, extinção dos contratos, dentre outros, emitindo parecer, que deverá ser submetido ao ordenador de despesa do município (prefeito ou secretários);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o cumprimento da lei federal n° 14.611, de 03 de julho de 2023, e a Lei Estadual n° 5.185, de 25 de maio de 2020, que estabelece a exigência de garantia de igualdade salarial entre homens e mulheres,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empresas que contratarem com o Poder Público Estadual;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5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constante manutenção das condições de habilitação da contratada;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42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anuir com o recebimento definitivo do objeto do contrato, que deverá ser instruído com termo detalhado que comprove o atendimento das exigências contratuais;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50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a atuação do fiscal do contrato ou dos terceiros contratados, mediante seus registros;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50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relatório mensal, relativo aos atos fiscalizatórios realizados, a ser enviado ao ordenador de despesa do município ou secretarias);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à Administração sobre eventuais vícios, irregularidades ou baixa qualidade dos serviços prestados pela contratada, propor soluções para a regularização das faltas e problemas observados e sanções que entender cabíveis, de acordo com as disposições contidas neste Decreto;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notificar a contratada, por meio de seu representante legal ou preposto formalmente designado, nos termos do artigo 118 da Lei Federal n.° 14.133, de l.° de abril de 2021, para a imediata correção de eventuais vícios ou inadimplemento de quaisquer valores devidos por força do contrato, de lei ou convenção coletiva de trabalho, apurados por si ou pelo fiscal do contrato,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fazendo-o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sempre por escrito, mediante contrafé do representante da empresa contratada;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42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à autoridade máxima do órgão sobre indício de irregularidade no recolhimento das contribuições previdenciárias e de FGTS, após conclusão do procedimento administrativo de responsabilização, para informação ao Ministério da Previdência Social, à Receita Federal - RFB e ao Ministério do Trabalho e Emprego;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51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enviar à Procuradoria Geral do Município, sempre que requisitado, por quaisquer meios,</w:t>
        <w:br w:type="pag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informações e documentos referentes ao contrato sob sua responsabilidade.</w:t>
      </w:r>
    </w:p>
    <w:p>
      <w:pPr>
        <w:pStyle w:val="Style4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842" w:val="left"/>
        </w:tabs>
        <w:bidi w:val="0"/>
        <w:spacing w:before="0" w:after="3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Quando houver indícios de irregularidades 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do(a) contratado(a), é dever do gestor do contrato apurar, mediante procedimento administrativo de responsabilização do contratado, asseguradas a ampla defesa e o contraditório.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CLÁUSULA OITAVA: DA DOTAÇÃO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ORÇAMENTÁRIA</w:t>
      </w:r>
    </w:p>
    <w:p>
      <w:pPr>
        <w:pStyle w:val="Style4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518" w:val="left"/>
        </w:tabs>
        <w:bidi w:val="0"/>
        <w:spacing w:before="0" w:after="0" w:line="29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despesa decorrente deste contrato correrá à conta dos recursos previsto no orçamento Municipal para o exercício de 2025, conforme abaixo: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Unidade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Orçamentária: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02.12.01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Secretaria Municipal de Proteção e Defesa Civil;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32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Atividade: 06.182.0021.2037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Manutenção e Funcionamento da Secretaria Municipal de Prot. E Defesa Civil;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307" w:lineRule="auto"/>
        <w:ind w:left="32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Elemento de Despesa: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3.3.90.36 - Outros Serviços de Terceiros - Pessoa Física;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Fonte de Recursos: 1.500 -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Recursos Próprio.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both"/>
        <w:rPr>
          <w:sz w:val="19"/>
          <w:szCs w:val="19"/>
        </w:rPr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284480</wp:posOffset>
            </wp:positionH>
            <wp:positionV relativeFrom="paragraph">
              <wp:posOffset>88900</wp:posOffset>
            </wp:positionV>
            <wp:extent cx="219710" cy="207010"/>
            <wp:wrapSquare wrapText="bothSides"/>
            <wp:docPr id="50" name="Shape 5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box 51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19710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NONA: DAS SANÇÕES PELO INADIMPLEMENTO</w:t>
      </w:r>
    </w:p>
    <w:p>
      <w:pPr>
        <w:pStyle w:val="Style4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96" w:val="left"/>
        </w:tabs>
        <w:bidi w:val="0"/>
        <w:spacing w:before="0" w:after="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Comete infração administrativa, nos termos da Lei n° 14.133, de 2021, o Contratado que:</w:t>
      </w:r>
    </w:p>
    <w:p>
      <w:pPr>
        <w:pStyle w:val="Style4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8" w:val="left"/>
        </w:tabs>
        <w:bidi w:val="0"/>
        <w:spacing w:before="0" w:after="0" w:line="300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contrato;</w:t>
      </w:r>
    </w:p>
    <w:p>
      <w:pPr>
        <w:pStyle w:val="Style4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8" w:val="left"/>
        </w:tabs>
        <w:bidi w:val="0"/>
        <w:spacing w:before="0" w:after="0" w:line="295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 que cause grave dano à Administração ou ao funcionamento dos serviços públicos ou ao interesse coletivo;</w:t>
      </w:r>
    </w:p>
    <w:p>
      <w:pPr>
        <w:pStyle w:val="Style4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8" w:val="left"/>
        </w:tabs>
        <w:bidi w:val="0"/>
        <w:spacing w:before="0" w:after="0" w:line="300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total do contrato;</w:t>
      </w:r>
    </w:p>
    <w:p>
      <w:pPr>
        <w:pStyle w:val="Style4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8" w:val="left"/>
        </w:tabs>
        <w:bidi w:val="0"/>
        <w:spacing w:before="0" w:after="0" w:line="300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deixar de entregar a documentação exigida para o certame;</w:t>
      </w:r>
    </w:p>
    <w:p>
      <w:pPr>
        <w:pStyle w:val="Style4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8" w:val="left"/>
        </w:tabs>
        <w:bidi w:val="0"/>
        <w:spacing w:before="0" w:after="0" w:line="288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mantiver a proposta, salvo em decorrência de fato superveniente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justificado;</w:t>
      </w:r>
    </w:p>
    <w:p>
      <w:pPr>
        <w:pStyle w:val="Style4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8" w:val="left"/>
        </w:tabs>
        <w:bidi w:val="0"/>
        <w:spacing w:before="0" w:after="0" w:line="300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celebrar o contrato ou não entregar a documentação exigida para a contratação, quando convocado dentro do prazo de validade de sua proposta;</w:t>
      </w:r>
    </w:p>
    <w:p>
      <w:pPr>
        <w:pStyle w:val="Style4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8" w:val="left"/>
        </w:tabs>
        <w:bidi w:val="0"/>
        <w:spacing w:before="0" w:after="0" w:line="295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ensejar o retardamento da execução ou da entrega do objeto da contratação sem motivo justificado;</w:t>
      </w:r>
    </w:p>
    <w:p>
      <w:pPr>
        <w:pStyle w:val="Style4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8" w:val="left"/>
        </w:tabs>
        <w:bidi w:val="0"/>
        <w:spacing w:before="0" w:after="0" w:line="300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apresentar declaração ou documentação falsa exigida para o certame ou prestar declaração falsa durante a dispensa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execução do contrato;</w:t>
      </w:r>
    </w:p>
    <w:p>
      <w:pPr>
        <w:pStyle w:val="Style4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8" w:val="left"/>
        </w:tabs>
        <w:bidi w:val="0"/>
        <w:spacing w:before="0" w:after="0" w:line="300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fraudar a contratação ou praticar ato fraudulento na execução do contrato;</w:t>
      </w:r>
    </w:p>
    <w:p>
      <w:pPr>
        <w:pStyle w:val="Style4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8" w:val="left"/>
        </w:tabs>
        <w:bidi w:val="0"/>
        <w:spacing w:before="0" w:after="0" w:line="300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comportar-se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modo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cometer fraude de qualquer natureza;</w:t>
      </w:r>
    </w:p>
    <w:p>
      <w:pPr>
        <w:pStyle w:val="Style4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8" w:val="left"/>
        </w:tabs>
        <w:bidi w:val="0"/>
        <w:spacing w:before="0" w:after="0" w:line="300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praticar atos ilícitos com vistas a frustrar os objetivos do certame;</w:t>
      </w:r>
    </w:p>
    <w:p>
      <w:pPr>
        <w:pStyle w:val="Style4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8" w:val="left"/>
        </w:tabs>
        <w:bidi w:val="0"/>
        <w:spacing w:before="0" w:after="0" w:line="300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praticar ato lesivo previsto no art.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Lei n° 12.846,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agosto de 2013.</w:t>
      </w:r>
    </w:p>
    <w:p>
      <w:pPr>
        <w:pStyle w:val="Style4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620" w:val="left"/>
        </w:tabs>
        <w:bidi w:val="0"/>
        <w:spacing w:before="0" w:after="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Serão aplicadas ao responsável pelas infrações administrativas acima descritas as seguintes sanções:</w:t>
      </w:r>
    </w:p>
    <w:p>
      <w:pPr>
        <w:pStyle w:val="Style4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728" w:val="left"/>
        </w:tabs>
        <w:bidi w:val="0"/>
        <w:spacing w:before="0" w:after="0" w:line="300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Advertência, quando o Contratado der causa à inexecução parcial do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§2°, da Lei);</w:t>
      </w:r>
    </w:p>
    <w:p>
      <w:pPr>
        <w:pStyle w:val="Style4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728" w:val="left"/>
        </w:tabs>
        <w:bidi w:val="0"/>
        <w:spacing w:before="0" w:after="0" w:line="300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Impedimento de licitar e contratar, quando praticadas as condutas descritas nas alíneas b, c, d, e, f e g do subitem acima deste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§4°, da Lei);</w:t>
      </w:r>
    </w:p>
    <w:p>
      <w:pPr>
        <w:pStyle w:val="Style4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728" w:val="left"/>
        </w:tabs>
        <w:bidi w:val="0"/>
        <w:spacing w:before="0" w:after="0" w:line="300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Declaração de inidoneidade para licitar e contratar, quando praticadas as condutas descritas nas alíneas h, i, j, k e 1 do subitem acima deste Contrato, bem como nas alíneas b, c, d, e, f e g, que justifiquem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§5°, da Lei)</w:t>
      </w:r>
    </w:p>
    <w:p>
      <w:pPr>
        <w:pStyle w:val="Style4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760" w:val="left"/>
        </w:tabs>
        <w:bidi w:val="0"/>
        <w:spacing w:before="0" w:after="0" w:line="300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Multa: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760"/>
        <w:jc w:val="both"/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87" w:left="1405" w:right="1298" w:bottom="919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(a) moratória de 0,5% (cinco décimos por cento) por dia de atraso injustificado sobre o valor da parcela inadimplida, até o limite de 30 (trinta) dias;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(b) O atraso superior a 30 (trinta) dias autoriza a Administração a promover a rescisão do contrato por descumprimento ou cumprimento irregular de suas cláusulas, conforme dispõe o inciso I doart. 137 da Lei n. 14.133, de 2021.</w:t>
      </w:r>
    </w:p>
    <w:p>
      <w:pPr>
        <w:pStyle w:val="Style4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6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aplicação das sanções previstas neste Contrato não exclui, em hipótese alguma, a obrigação de reparação integral do dano causado ao Contratante (art. 156, §9°)</w:t>
      </w:r>
    </w:p>
    <w:p>
      <w:pPr>
        <w:pStyle w:val="Style4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6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Todas as sanções previstas neste Contrato poderão ser aplicadas cumulativamente com a multa (art. 156, §7°).</w:t>
      </w:r>
    </w:p>
    <w:p>
      <w:pPr>
        <w:pStyle w:val="Style4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72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Antes da aplicação da multa será facultada a defesa do interessado no prazo de 15 (quinze) dias úteis, contado da data de sua intimação (art. 157)</w:t>
      </w:r>
    </w:p>
    <w:p>
      <w:pPr>
        <w:pStyle w:val="Style4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72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 a multa aplicada e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cabíveis forem superiores ao valor do pagamento eventualmente devido pelo Contratante ao Contratado, além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desse valor, a diferença será descontada da garantia prestada ou será cobrada judicialmente (art. 156, §8°).</w:t>
      </w:r>
    </w:p>
    <w:p>
      <w:pPr>
        <w:pStyle w:val="Style4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728" w:val="left"/>
        </w:tabs>
        <w:bidi w:val="0"/>
        <w:spacing w:before="0" w:after="0"/>
        <w:ind w:left="0" w:right="0" w:firstLine="0"/>
        <w:jc w:val="both"/>
      </w:pP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210185</wp:posOffset>
            </wp:positionH>
            <wp:positionV relativeFrom="paragraph">
              <wp:posOffset>482600</wp:posOffset>
            </wp:positionV>
            <wp:extent cx="219710" cy="207010"/>
            <wp:wrapSquare wrapText="bothSides"/>
            <wp:docPr id="72" name="Shape 7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box 73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219710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encaminhamento à cobrança judicial, a multa poderá ser recolhida administrativamente no prazo máximo de 05 (cinco) dias, a contar da data do recebimento da comunicação enviada pela autoridade competente.</w:t>
      </w:r>
    </w:p>
    <w:p>
      <w:pPr>
        <w:pStyle w:val="Style4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60" w:val="left"/>
        </w:tabs>
        <w:bidi w:val="0"/>
        <w:spacing w:before="0" w:after="3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aplicação das sanções realizar-se-á em processo administrativo que assegure o contraditório e a ampla defesa ao Contratado,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procedimento previsto no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parágrafos do art. 158 da Lei n° 14.133, de 2021, para as penalidades de impedimento de licitar e contratar e de declaração de inidoneidade para licitar ou contratar.</w:t>
      </w:r>
    </w:p>
    <w:p>
      <w:pPr>
        <w:pStyle w:val="Style4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36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aplicação das sanções serão considerados (art. 156, §1°):</w:t>
      </w:r>
    </w:p>
    <w:p>
      <w:pPr>
        <w:pStyle w:val="Style4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7" w:val="left"/>
        </w:tabs>
        <w:bidi w:val="0"/>
        <w:spacing w:before="0" w:after="0" w:line="302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natureza e a gravidade da infração cometida;</w:t>
      </w:r>
    </w:p>
    <w:p>
      <w:pPr>
        <w:pStyle w:val="Style4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7" w:val="left"/>
        </w:tabs>
        <w:bidi w:val="0"/>
        <w:spacing w:before="0" w:after="0" w:line="302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peculiaridades do caso concreto;</w:t>
      </w:r>
    </w:p>
    <w:p>
      <w:pPr>
        <w:pStyle w:val="Style4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7" w:val="left"/>
        </w:tabs>
        <w:bidi w:val="0"/>
        <w:spacing w:before="0" w:after="0" w:line="302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circunstâncias agravantes ou atenuantes;</w:t>
      </w:r>
    </w:p>
    <w:p>
      <w:pPr>
        <w:pStyle w:val="Style4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7" w:val="left"/>
        </w:tabs>
        <w:bidi w:val="0"/>
        <w:spacing w:before="0" w:after="0" w:line="302" w:lineRule="auto"/>
        <w:ind w:left="7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danos que dela provierem para o Contratante;</w:t>
      </w:r>
    </w:p>
    <w:p>
      <w:pPr>
        <w:pStyle w:val="Style4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7" w:val="left"/>
        </w:tabs>
        <w:bidi w:val="0"/>
        <w:spacing w:before="0" w:after="0" w:line="302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implantação ou o aperfeiçoamento de programa de integridade, conforme normas e orientações dos órgãos de controle.</w:t>
      </w:r>
    </w:p>
    <w:p>
      <w:pPr>
        <w:pStyle w:val="Style4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60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atos previstos como infrações administrativas na Lei n° 14.133, de 2021, ou em outras leis de licitações e contratos da Administração Pública que também sejam tipificados como atos lesivos na Lei n° 12.846, de 2013, serão apurados e julgados conjuntamente, nos mesmos autos, observados o rito procedimental e autoridade competente definidos na referida Lei (art. 159)</w:t>
      </w:r>
    </w:p>
    <w:p>
      <w:pPr>
        <w:pStyle w:val="Style4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84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(art. 160)</w:t>
      </w:r>
    </w:p>
    <w:p>
      <w:pPr>
        <w:pStyle w:val="Style4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60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deverá, no prazo máximo 15 (quinze) dias úteis, contado da data de aplicação da sanção, informar e manter atualizados os dados relativos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sanções por ela aplicadas, para fins de publicidade no Cadastro Nacional de Empresas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Suspensas (CEIS) e no Cadastro Nacional de Empresas Punidas (CNEP), instituídos no âmbito do Poder Executivo Federal. (Art. 161)</w:t>
      </w:r>
    </w:p>
    <w:p>
      <w:pPr>
        <w:pStyle w:val="Style4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718" w:val="left"/>
        </w:tabs>
        <w:bidi w:val="0"/>
        <w:spacing w:before="0" w:after="30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sanções de impedimento de licitar e contratar e declaração de inidoneidade para licitar ou contratar são passíveis de reabilitação na forma do art. 163 da Lei n° 14.133/21.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DÉCIMA: DA RESCISÃO</w:t>
      </w:r>
    </w:p>
    <w:p>
      <w:pPr>
        <w:pStyle w:val="Style4"/>
        <w:keepNext w:val="0"/>
        <w:keepLines w:val="0"/>
        <w:widowControl w:val="0"/>
        <w:numPr>
          <w:ilvl w:val="1"/>
          <w:numId w:val="35"/>
        </w:numPr>
        <w:shd w:val="clear" w:color="auto" w:fill="auto"/>
        <w:tabs>
          <w:tab w:pos="53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contrato se extingue quando cumpridas as obrigações de ambas as partes, ainda que isso ocorra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antes do prazo estipulado para tanto.</w:t>
      </w:r>
    </w:p>
    <w:p>
      <w:pPr>
        <w:pStyle w:val="Style4"/>
        <w:keepNext w:val="0"/>
        <w:keepLines w:val="0"/>
        <w:widowControl w:val="0"/>
        <w:numPr>
          <w:ilvl w:val="1"/>
          <w:numId w:val="35"/>
        </w:numPr>
        <w:shd w:val="clear" w:color="auto" w:fill="auto"/>
        <w:tabs>
          <w:tab w:pos="59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as obrigações não forem cumpridas no prazo estipulado, a vigência ficará prorrogada até a conclusão do objeto, caso em que deverá a Administração providenciar a readequação do cronograma fixado para o contrato, pu da forma que a administração pública melhor solucionar.</w:t>
      </w:r>
    </w:p>
    <w:p>
      <w:pPr>
        <w:pStyle w:val="Style4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73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a não conclusão do contrato referida no item anterior decorrer de culpa do contratado:</w:t>
      </w:r>
    </w:p>
    <w:p>
      <w:pPr>
        <w:pStyle w:val="Style4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33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ficará ele constituído em mora, sendo-lhe aplicáveis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sanções administrativas; e</w:t>
      </w:r>
    </w:p>
    <w:p>
      <w:pPr>
        <w:pStyle w:val="Style4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34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poderá a Administração optar pela extinção do contrato e, nesse caso, adotará as medidas admitidas em lei para a continuidade da execução contratual.</w:t>
      </w:r>
    </w:p>
    <w:p>
      <w:pPr>
        <w:pStyle w:val="Style4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75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Caso a notificação da não-continuidade do contrato de que trata este subitem ocorra com menos de 2 (dois) meses da data de aniversário, a extinção contratual ocorrerá após 2 (dois) meses da data da comunicação.</w:t>
      </w:r>
    </w:p>
    <w:p>
      <w:pPr>
        <w:pStyle w:val="Style4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59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pode ser extinto antes de cumpridas as obrigações nele estipuladas, ou antes do prazo nele fixado, por algum dos motivos previstos no artigo 137 da Lei n° 14.133/21, bem como amigavelmente, assegurados o contraditório e a ampla defesa.</w:t>
      </w:r>
    </w:p>
    <w:p>
      <w:pPr>
        <w:pStyle w:val="Style4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74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Nesta hipótese, aplicam-se também os artigos 138 e 139 da mesma Lei.</w:t>
      </w:r>
    </w:p>
    <w:p>
      <w:pPr>
        <w:pStyle w:val="Style4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76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alteração social ou a modificação da finalidade ou da estrutura da empresa não ensejará a rescisão se não restringir sua capacidade de concluir o contrato.</w:t>
      </w:r>
    </w:p>
    <w:p>
      <w:pPr>
        <w:pStyle w:val="Style4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92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 operação implicar mudança da pessoa jurídica contratada, deverá ser formalizado termo aditivo para alteração subjetiva.</w:t>
      </w:r>
    </w:p>
    <w:p>
      <w:pPr>
        <w:pStyle w:val="Style4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59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termo de rescisão, sempre que possível, será precedido:</w:t>
      </w:r>
    </w:p>
    <w:p>
      <w:pPr>
        <w:pStyle w:val="Style4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90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Balanço dos eventos contratuais já cumpridos ou parcialmente cumpridos;</w:t>
      </w:r>
    </w:p>
    <w:p>
      <w:pPr>
        <w:pStyle w:val="Style4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73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Relação dos pagamentos já efetuados e ainda devidos;</w:t>
      </w:r>
    </w:p>
    <w:p>
      <w:pPr>
        <w:pStyle w:val="Style4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740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multas.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DÉCIMA PRIMEIRA: DA OBSERVÂNCIA À LGPD</w:t>
      </w:r>
    </w:p>
    <w:p>
      <w:pPr>
        <w:pStyle w:val="Style4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594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O(A) CONTRATADO(A) declara expresso CONSENTIMENTO que O CONTRATANTE irá coletar tratar e compartilhar os dados necessários ao cumprimento do contrato,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LGPD, os dados necessários para cumprimento de obrigações legais,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II e III da LGPD. bem como os dados, se necessários para proteção ao crédito, conforme autorizado pelo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LGPD.</w:t>
      </w:r>
    </w:p>
    <w:p>
      <w:pPr>
        <w:pStyle w:val="Style4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594" w:val="left"/>
        </w:tabs>
        <w:bidi w:val="0"/>
        <w:spacing w:before="0" w:after="28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fica obrigada a comunicar O(A) CON TRATADO(A) em até 24 (vinte e quatro) horas qualquer incidente de acessos não autorizados aos dados pessoais, situações acidentais ou ilícitas de destruição,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alteração, comunicação ou qualquer forma de tratamento inadequado ou ilícito, bem como adotar as providências dispostas no art. 48 da Lei Geral de Proteção de Dados.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DÉCIMA SEGUNDA: DA PUBLICIDADE DO CONTRATO</w:t>
      </w:r>
    </w:p>
    <w:p>
      <w:pPr>
        <w:pStyle w:val="Style4"/>
        <w:keepNext w:val="0"/>
        <w:keepLines w:val="0"/>
        <w:widowControl w:val="0"/>
        <w:numPr>
          <w:ilvl w:val="0"/>
          <w:numId w:val="61"/>
        </w:numPr>
        <w:shd w:val="clear" w:color="auto" w:fill="auto"/>
        <w:tabs>
          <w:tab w:pos="596" w:val="left"/>
        </w:tabs>
        <w:bidi w:val="0"/>
        <w:spacing w:before="0" w:after="28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atenção à divulgação no Portal Nacional de Contratações Públicas (PNCP) que é condição indispensável para a eficácia do contrato e de seus aditamentos, será a presenta TERMO DE CONTRATO publicada dentro do prazo de 10 (dez) dias úteis, contados da data de sua assinatura,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tratar-se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caso de contratação direta, nos termos do art. 94, II da Lei n° 14.133/2021.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CLÁUSULA DÉCIMA TERCEIRA: DO FORO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13.1 E competente o Foro da Comarca de Jutaí/AM. com preferência sobre qualquer outro,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privilegiado, para dirimir as ações originárias deste TERMO DE CONTRATO, em atendimento ao disposto no conforme art. 92, §1° da Lei n° 14.133/21.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por estarem, assim de perfeito acordo, subscrevem o presente, em 02 (duas) vias, na presença de 02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(duas) testemunhas, para que surta todos os efeitos legais.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Jutaí (AM), 04 de fevereiro de 2025.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município de jutai/am</w:t>
      </w:r>
      <w:r>
        <w:rPr>
          <w:rFonts w:ascii="Arial" w:eastAsia="Arial" w:hAnsi="Arial" w:cs="Arial"/>
          <w:smallCap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Arial" w:eastAsia="Arial" w:hAnsi="Arial" w:cs="Arial"/>
          <w:smallCaps w:val="0"/>
          <w:color w:val="9892C9"/>
          <w:spacing w:val="0"/>
          <w:w w:val="100"/>
          <w:position w:val="0"/>
          <w:shd w:val="clear" w:color="auto" w:fill="auto"/>
          <w:lang w:val="pt-PT" w:eastAsia="pt-PT" w:bidi="pt-PT"/>
        </w:rPr>
        <w:t>G</w:t>
      </w:r>
      <w:bookmarkEnd w:id="1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MERCEDES MENDES VARGAS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Municipal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LOCATÁRIO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FRANCISCO COELHO RODRIGUES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LOCADOR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DO CONTRATO</w:t>
      </w:r>
    </w:p>
    <w:p>
      <w:pPr>
        <w:pStyle w:val="Style28"/>
        <w:keepNext/>
        <w:keepLines/>
        <w:widowControl w:val="0"/>
        <w:shd w:val="clear" w:color="auto" w:fill="auto"/>
        <w:tabs>
          <w:tab w:pos="2012" w:val="left"/>
        </w:tabs>
        <w:bidi w:val="0"/>
        <w:spacing w:before="0"/>
        <w:ind w:right="0" w:firstLine="0"/>
        <w:jc w:val="both"/>
      </w:pPr>
      <w:bookmarkStart w:id="2" w:name="bookmark2"/>
      <w:r>
        <w:rPr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Oaa/vcà</w:t>
      </w:r>
      <w:r>
        <w:rPr>
          <w:smallCaps w:val="0"/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ab/>
        <w:t xml:space="preserve">Li </w: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mp Jz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0" w:line="288" w:lineRule="auto"/>
        <w:ind w:left="0" w:right="398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DANIEL GIDEAN LIMA DE SOUZA CPF: 054.603122-64 - Matrícula n° 6317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DO CONTRATO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DEAN WESLLEY A. PEREIRA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CPF: 011.721.202-42 - Matrícula n° 6144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TESTEMUNHAS: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3346" w:val="left"/>
        </w:tabs>
        <w:bidi w:val="0"/>
        <w:spacing w:before="0" w:after="40" w:line="240" w:lineRule="auto"/>
        <w:ind w:left="4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1) </w:t>
      </w:r>
      <w:r>
        <w:rPr>
          <w:u w:val="single"/>
        </w:rPr>
        <w:t xml:space="preserve"> </w:t>
        <w:tab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RG ou CPF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3364" w:val="left"/>
        </w:tabs>
        <w:bidi w:val="0"/>
        <w:spacing w:before="0" w:after="40" w:line="240" w:lineRule="auto"/>
        <w:ind w:left="4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2) </w:t>
      </w:r>
      <w:r>
        <w:rPr>
          <w:u w:val="single"/>
        </w:rPr>
        <w:t xml:space="preserve"> </w:t>
        <w:tab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RG ou CPF</w:t>
      </w:r>
    </w:p>
    <w:sectPr>
      <w:headerReference w:type="default" r:id="rId27"/>
      <w:footerReference w:type="default" r:id="rId28"/>
      <w:headerReference w:type="even" r:id="rId29"/>
      <w:footerReference w:type="even" r:id="rId30"/>
      <w:headerReference w:type="first" r:id="rId31"/>
      <w:footerReference w:type="first" r:id="rId32"/>
      <w:footnotePr>
        <w:pos w:val="pageBottom"/>
        <w:numFmt w:val="decimal"/>
        <w:numRestart w:val="continuous"/>
      </w:footnotePr>
      <w:pgSz w:w="11900" w:h="16840"/>
      <w:pgMar w:top="1287" w:left="1405" w:right="1298" w:bottom="919" w:header="0" w:footer="3" w:gutter="0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6138545</wp:posOffset>
              </wp:positionH>
              <wp:positionV relativeFrom="page">
                <wp:posOffset>10578465</wp:posOffset>
              </wp:positionV>
              <wp:extent cx="548640" cy="9144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864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483.35000000000002pt;margin-top:832.95000000000005pt;width:43.200000000000003pt;height:7.20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6138545</wp:posOffset>
              </wp:positionH>
              <wp:positionV relativeFrom="page">
                <wp:posOffset>10578465</wp:posOffset>
              </wp:positionV>
              <wp:extent cx="548640" cy="9144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864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483.35000000000002pt;margin-top:832.95000000000005pt;width:43.200000000000003pt;height:7.20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6142355</wp:posOffset>
              </wp:positionH>
              <wp:positionV relativeFrom="page">
                <wp:posOffset>10163175</wp:posOffset>
              </wp:positionV>
              <wp:extent cx="544830" cy="95250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483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483.64999999999998pt;margin-top:800.25pt;width:42.899999999999999pt;height:7.5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6142355</wp:posOffset>
              </wp:positionH>
              <wp:positionV relativeFrom="page">
                <wp:posOffset>10163175</wp:posOffset>
              </wp:positionV>
              <wp:extent cx="544830" cy="95250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483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4" type="#_x0000_t202" style="position:absolute;margin-left:483.64999999999998pt;margin-top:800.25pt;width:42.899999999999999pt;height:7.5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6169025</wp:posOffset>
              </wp:positionH>
              <wp:positionV relativeFrom="page">
                <wp:posOffset>10166985</wp:posOffset>
              </wp:positionV>
              <wp:extent cx="544830" cy="91440"/>
              <wp:wrapNone/>
              <wp:docPr id="48" name="Shape 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483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4" type="#_x0000_t202" style="position:absolute;margin-left:485.75pt;margin-top:800.54999999999995pt;width:42.899999999999999pt;height:7.2000000000000002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6149975</wp:posOffset>
              </wp:positionH>
              <wp:positionV relativeFrom="page">
                <wp:posOffset>10166985</wp:posOffset>
              </wp:positionV>
              <wp:extent cx="544830" cy="91440"/>
              <wp:wrapNone/>
              <wp:docPr id="60" name="Shape 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483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6" type="#_x0000_t202" style="position:absolute;margin-left:484.25pt;margin-top:800.54999999999995pt;width:42.899999999999999pt;height:7.2000000000000002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6149975</wp:posOffset>
              </wp:positionH>
              <wp:positionV relativeFrom="page">
                <wp:posOffset>10166985</wp:posOffset>
              </wp:positionV>
              <wp:extent cx="544830" cy="91440"/>
              <wp:wrapNone/>
              <wp:docPr id="70" name="Shape 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483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6" type="#_x0000_t202" style="position:absolute;margin-left:484.25pt;margin-top:800.54999999999995pt;width:42.899999999999999pt;height:7.2000000000000002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6157595</wp:posOffset>
              </wp:positionH>
              <wp:positionV relativeFrom="page">
                <wp:posOffset>10163175</wp:posOffset>
              </wp:positionV>
              <wp:extent cx="544830" cy="91440"/>
              <wp:wrapNone/>
              <wp:docPr id="82" name="Shape 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483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8" type="#_x0000_t202" style="position:absolute;margin-left:484.85000000000002pt;margin-top:800.25pt;width:42.899999999999999pt;height:7.2000000000000002pt;z-index:-1887440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6146165</wp:posOffset>
              </wp:positionH>
              <wp:positionV relativeFrom="page">
                <wp:posOffset>10165080</wp:posOffset>
              </wp:positionV>
              <wp:extent cx="544830" cy="91440"/>
              <wp:wrapNone/>
              <wp:docPr id="92" name="Shape 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483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8" type="#_x0000_t202" style="position:absolute;margin-left:483.94999999999999pt;margin-top:800.39999999999998pt;width:42.899999999999999pt;height:7.2000000000000002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6153785</wp:posOffset>
              </wp:positionH>
              <wp:positionV relativeFrom="page">
                <wp:posOffset>10159365</wp:posOffset>
              </wp:positionV>
              <wp:extent cx="552450" cy="95250"/>
              <wp:wrapNone/>
              <wp:docPr id="102" name="Shape 1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245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8" type="#_x0000_t202" style="position:absolute;margin-left:484.55000000000001pt;margin-top:799.95000000000005pt;width:43.5pt;height:7.5pt;z-index:-1887439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328295</wp:posOffset>
              </wp:positionH>
              <wp:positionV relativeFrom="page">
                <wp:posOffset>542925</wp:posOffset>
              </wp:positionV>
              <wp:extent cx="19050" cy="4191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050" cy="41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5.850000000000001pt;margin-top:42.75pt;width:1.5pt;height:3.2999999999999998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328295</wp:posOffset>
              </wp:positionH>
              <wp:positionV relativeFrom="page">
                <wp:posOffset>542925</wp:posOffset>
              </wp:positionV>
              <wp:extent cx="19050" cy="4191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050" cy="41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25.850000000000001pt;margin-top:42.75pt;width:1.5pt;height:3.2999999999999998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1957070</wp:posOffset>
              </wp:positionH>
              <wp:positionV relativeFrom="page">
                <wp:posOffset>243205</wp:posOffset>
              </wp:positionV>
              <wp:extent cx="3501390" cy="51054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0139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154.09999999999999pt;margin-top:19.149999999999999pt;width:275.69999999999999pt;height:40.200000000000003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5911850</wp:posOffset>
              </wp:positionH>
              <wp:positionV relativeFrom="page">
                <wp:posOffset>365125</wp:posOffset>
              </wp:positionV>
              <wp:extent cx="739140" cy="35814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9140" cy="3581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37870" cy="359410"/>
                                <wp:docPr id="16" name="Picutre 1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" name="Picture 1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37870" cy="3594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465.5pt;margin-top:28.75pt;width:58.200000000000003pt;height:28.199999999999999pt;z-index:-18874405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37870" cy="359410"/>
                          <wp:docPr id="18" name="Picutre 1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37870" cy="3594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1880870</wp:posOffset>
              </wp:positionH>
              <wp:positionV relativeFrom="page">
                <wp:posOffset>871855</wp:posOffset>
              </wp:positionV>
              <wp:extent cx="3813810" cy="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38138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48.09999999999999pt;margin-top:68.650000000000006pt;width:300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926465</wp:posOffset>
              </wp:positionH>
              <wp:positionV relativeFrom="page">
                <wp:posOffset>238125</wp:posOffset>
              </wp:positionV>
              <wp:extent cx="392430" cy="44577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243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45135"/>
                                <wp:docPr id="21" name="Picutre 2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72.950000000000003pt;margin-top:18.75pt;width:30.899999999999999pt;height:35.100000000000001pt;z-index:-18874405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45135"/>
                          <wp:docPr id="23" name="Picutre 2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1970405</wp:posOffset>
              </wp:positionH>
              <wp:positionV relativeFrom="page">
                <wp:posOffset>253365</wp:posOffset>
              </wp:positionV>
              <wp:extent cx="3497580" cy="510540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9758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155.15000000000001pt;margin-top:19.949999999999999pt;width:275.39999999999998pt;height:40.200000000000003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5925185</wp:posOffset>
              </wp:positionH>
              <wp:positionV relativeFrom="page">
                <wp:posOffset>462915</wp:posOffset>
              </wp:positionV>
              <wp:extent cx="723900" cy="270510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270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 ,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863AC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PT" w:eastAsia="pt-PT" w:bidi="pt-PT"/>
                            </w:rPr>
                            <w:t>JUTÀI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466.55000000000001pt;margin-top:36.450000000000003pt;width:57.pt;height:21.300000000000001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 ,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863AC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PT" w:eastAsia="pt-PT" w:bidi="pt-PT"/>
                      </w:rPr>
                      <w:t>JUTÀI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926465</wp:posOffset>
              </wp:positionH>
              <wp:positionV relativeFrom="page">
                <wp:posOffset>238125</wp:posOffset>
              </wp:positionV>
              <wp:extent cx="392430" cy="44577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243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45135"/>
                                <wp:docPr id="31" name="Picutre 3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1" name="Picture 3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72.950000000000003pt;margin-top:18.75pt;width:30.899999999999999pt;height:35.100000000000001pt;z-index:-18874404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45135"/>
                          <wp:docPr id="33" name="Picutre 3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3" name="Picture 3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1970405</wp:posOffset>
              </wp:positionH>
              <wp:positionV relativeFrom="page">
                <wp:posOffset>253365</wp:posOffset>
              </wp:positionV>
              <wp:extent cx="3497580" cy="510540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9758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155.15000000000001pt;margin-top:19.949999999999999pt;width:275.39999999999998pt;height:40.200000000000003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5925185</wp:posOffset>
              </wp:positionH>
              <wp:positionV relativeFrom="page">
                <wp:posOffset>462915</wp:posOffset>
              </wp:positionV>
              <wp:extent cx="723900" cy="27051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270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 ,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863AC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PT" w:eastAsia="pt-PT" w:bidi="pt-PT"/>
                            </w:rPr>
                            <w:t>JUTÀI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2" type="#_x0000_t202" style="position:absolute;margin-left:466.55000000000001pt;margin-top:36.450000000000003pt;width:57.pt;height:21.300000000000001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 ,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863AC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PT" w:eastAsia="pt-PT" w:bidi="pt-PT"/>
                      </w:rPr>
                      <w:t>JUTÀI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937895</wp:posOffset>
              </wp:positionH>
              <wp:positionV relativeFrom="page">
                <wp:posOffset>238125</wp:posOffset>
              </wp:positionV>
              <wp:extent cx="388620" cy="453390"/>
              <wp:wrapNone/>
              <wp:docPr id="40" name="Shape 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533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50850"/>
                                <wp:docPr id="41" name="Picutre 4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1" name="Picture 4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73.849999999999994pt;margin-top:18.75pt;width:30.600000000000001pt;height:35.700000000000003pt;z-index:-18874403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50850"/>
                          <wp:docPr id="43" name="Picutre 4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3" name="Picture 4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1978025</wp:posOffset>
              </wp:positionH>
              <wp:positionV relativeFrom="page">
                <wp:posOffset>253365</wp:posOffset>
              </wp:positionV>
              <wp:extent cx="3497580" cy="506730"/>
              <wp:wrapNone/>
              <wp:docPr id="44" name="Shape 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9758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0" type="#_x0000_t202" style="position:absolute;margin-left:155.75pt;margin-top:19.949999999999999pt;width:275.39999999999998pt;height:39.899999999999999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5940425</wp:posOffset>
              </wp:positionH>
              <wp:positionV relativeFrom="page">
                <wp:posOffset>382905</wp:posOffset>
              </wp:positionV>
              <wp:extent cx="723900" cy="346710"/>
              <wp:wrapNone/>
              <wp:docPr id="46" name="Shape 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346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 Jb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863AC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PT" w:eastAsia="pt-PT" w:bidi="pt-PT"/>
                            </w:rPr>
                            <w:t>JUT.x.l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2" type="#_x0000_t202" style="position:absolute;margin-left:467.75pt;margin-top:30.149999999999999pt;width:57.pt;height:27.300000000000001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 Jb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863AC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PT" w:eastAsia="pt-PT" w:bidi="pt-PT"/>
                      </w:rPr>
                      <w:t>JUT.x.l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943610</wp:posOffset>
              </wp:positionH>
              <wp:positionV relativeFrom="page">
                <wp:posOffset>234315</wp:posOffset>
              </wp:positionV>
              <wp:extent cx="388620" cy="449580"/>
              <wp:wrapNone/>
              <wp:docPr id="52" name="Shape 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50850"/>
                                <wp:docPr id="53" name="Picutre 5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3" name="Picture 5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9" type="#_x0000_t202" style="position:absolute;margin-left:74.299999999999997pt;margin-top:18.449999999999999pt;width:30.600000000000001pt;height:35.399999999999999pt;z-index:-18874402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50850"/>
                          <wp:docPr id="55" name="Picutre 5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5" name="Picture 5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1983740</wp:posOffset>
              </wp:positionH>
              <wp:positionV relativeFrom="page">
                <wp:posOffset>253365</wp:posOffset>
              </wp:positionV>
              <wp:extent cx="3497580" cy="510540"/>
              <wp:wrapNone/>
              <wp:docPr id="56" name="Shape 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9758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2" type="#_x0000_t202" style="position:absolute;margin-left:156.19999999999999pt;margin-top:19.949999999999999pt;width:275.39999999999998pt;height:40.200000000000003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5938520</wp:posOffset>
              </wp:positionH>
              <wp:positionV relativeFrom="page">
                <wp:posOffset>390525</wp:posOffset>
              </wp:positionV>
              <wp:extent cx="731520" cy="350520"/>
              <wp:wrapNone/>
              <wp:docPr id="58" name="Shape 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505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 Jb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863AC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PT" w:eastAsia="pt-PT" w:bidi="pt-PT"/>
                            </w:rPr>
                            <w:t>JUT.i.l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4" type="#_x0000_t202" style="position:absolute;margin-left:467.60000000000002pt;margin-top:30.75pt;width:57.600000000000001pt;height:27.600000000000001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 Jb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863AC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PT" w:eastAsia="pt-PT" w:bidi="pt-PT"/>
                      </w:rPr>
                      <w:t>JUT.i.l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943610</wp:posOffset>
              </wp:positionH>
              <wp:positionV relativeFrom="page">
                <wp:posOffset>234315</wp:posOffset>
              </wp:positionV>
              <wp:extent cx="388620" cy="44958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50850"/>
                                <wp:docPr id="63" name="Picutre 6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3" name="Picture 6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89" type="#_x0000_t202" style="position:absolute;margin-left:74.299999999999997pt;margin-top:18.449999999999999pt;width:30.600000000000001pt;height:35.399999999999999pt;z-index:-18874401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50850"/>
                          <wp:docPr id="65" name="Picutre 6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5" name="Picture 6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1983740</wp:posOffset>
              </wp:positionH>
              <wp:positionV relativeFrom="page">
                <wp:posOffset>253365</wp:posOffset>
              </wp:positionV>
              <wp:extent cx="3497580" cy="510540"/>
              <wp:wrapNone/>
              <wp:docPr id="66" name="Shape 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9758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2" type="#_x0000_t202" style="position:absolute;margin-left:156.19999999999999pt;margin-top:19.949999999999999pt;width:275.39999999999998pt;height:40.200000000000003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5938520</wp:posOffset>
              </wp:positionH>
              <wp:positionV relativeFrom="page">
                <wp:posOffset>390525</wp:posOffset>
              </wp:positionV>
              <wp:extent cx="731520" cy="350520"/>
              <wp:wrapNone/>
              <wp:docPr id="68" name="Shape 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505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 Jb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863AC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PT" w:eastAsia="pt-PT" w:bidi="pt-PT"/>
                            </w:rPr>
                            <w:t>JUT.i.l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4" type="#_x0000_t202" style="position:absolute;margin-left:467.60000000000002pt;margin-top:30.75pt;width:57.600000000000001pt;height:27.600000000000001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 Jb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863AC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PT" w:eastAsia="pt-PT" w:bidi="pt-PT"/>
                      </w:rPr>
                      <w:t>JUT.i.l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127635</wp:posOffset>
              </wp:positionV>
              <wp:extent cx="594360" cy="563880"/>
              <wp:wrapNone/>
              <wp:docPr id="74" name="Shape 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563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97535" cy="567055"/>
                                <wp:docPr id="75" name="Picutre 7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" name="Picture 7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97535" cy="56705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01" type="#_x0000_t202" style="position:absolute;margin-left:57.049999999999997pt;margin-top:10.050000000000001pt;width:46.799999999999997pt;height:44.399999999999999pt;z-index:-18874401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97535" cy="567055"/>
                          <wp:docPr id="77" name="Picutre 7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7" name="Picture 7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97535" cy="56705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1970405</wp:posOffset>
              </wp:positionH>
              <wp:positionV relativeFrom="page">
                <wp:posOffset>253365</wp:posOffset>
              </wp:positionV>
              <wp:extent cx="3501390" cy="510540"/>
              <wp:wrapNone/>
              <wp:docPr id="78" name="Shape 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0139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4" type="#_x0000_t202" style="position:absolute;margin-left:155.15000000000001pt;margin-top:19.949999999999999pt;width:275.69999999999999pt;height:40.200000000000003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5932805</wp:posOffset>
              </wp:positionH>
              <wp:positionV relativeFrom="page">
                <wp:posOffset>459105</wp:posOffset>
              </wp:positionV>
              <wp:extent cx="723900" cy="274320"/>
              <wp:wrapNone/>
              <wp:docPr id="80" name="Shape 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863AC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PT" w:eastAsia="pt-PT" w:bidi="pt-PT"/>
                            </w:rPr>
                            <w:t>JUTAÍ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6" type="#_x0000_t202" style="position:absolute;margin-left:467.14999999999998pt;margin-top:36.149999999999999pt;width:57.pt;height:21.600000000000001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863AC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PT" w:eastAsia="pt-PT" w:bidi="pt-PT"/>
                      </w:rPr>
                      <w:t>JUTAÍ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934085</wp:posOffset>
              </wp:positionH>
              <wp:positionV relativeFrom="page">
                <wp:posOffset>236220</wp:posOffset>
              </wp:positionV>
              <wp:extent cx="388620" cy="445770"/>
              <wp:wrapNone/>
              <wp:docPr id="84" name="Shape 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45135"/>
                                <wp:docPr id="85" name="Picutre 8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5" name="Picture 8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11" type="#_x0000_t202" style="position:absolute;margin-left:73.549999999999997pt;margin-top:18.600000000000001pt;width:30.600000000000001pt;height:35.100000000000001pt;z-index:-18874400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45135"/>
                          <wp:docPr id="87" name="Picutre 8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7" name="Picture 8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1974215</wp:posOffset>
              </wp:positionH>
              <wp:positionV relativeFrom="page">
                <wp:posOffset>255270</wp:posOffset>
              </wp:positionV>
              <wp:extent cx="3497580" cy="506730"/>
              <wp:wrapNone/>
              <wp:docPr id="88" name="Shape 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9758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4" type="#_x0000_t202" style="position:absolute;margin-left:155.44999999999999pt;margin-top:20.100000000000001pt;width:275.39999999999998pt;height:39.899999999999999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5928995</wp:posOffset>
              </wp:positionH>
              <wp:positionV relativeFrom="page">
                <wp:posOffset>434340</wp:posOffset>
              </wp:positionV>
              <wp:extent cx="723900" cy="300990"/>
              <wp:wrapNone/>
              <wp:docPr id="90" name="Shape 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300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C9146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■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C9146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C9146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-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C9146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?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C9146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'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863AC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PT" w:eastAsia="pt-PT" w:bidi="pt-PT"/>
                            </w:rPr>
                            <w:t>JUTÀI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6" type="#_x0000_t202" style="position:absolute;margin-left:466.85000000000002pt;margin-top:34.200000000000003pt;width:57.pt;height:23.699999999999999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4C9146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■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4C9146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vertAlign w:val="superscript"/>
                        <w:lang w:val="pt-PT" w:eastAsia="pt-PT" w:bidi="pt-PT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4C9146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-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4C9146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vertAlign w:val="superscript"/>
                        <w:lang w:val="pt-PT" w:eastAsia="pt-PT" w:bidi="pt-PT"/>
                      </w:rPr>
                      <w:t>?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4C9146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'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863AC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PT" w:eastAsia="pt-PT" w:bidi="pt-PT"/>
                      </w:rPr>
                      <w:t>JUTÀI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930275</wp:posOffset>
              </wp:positionH>
              <wp:positionV relativeFrom="page">
                <wp:posOffset>238125</wp:posOffset>
              </wp:positionV>
              <wp:extent cx="384810" cy="445770"/>
              <wp:wrapNone/>
              <wp:docPr id="94" name="Shape 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95" name="Picutre 9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9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21" type="#_x0000_t202" style="position:absolute;margin-left:73.25pt;margin-top:18.75pt;width:30.300000000000001pt;height:35.100000000000001pt;z-index:-18874399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97" name="Picutre 9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9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1966595</wp:posOffset>
              </wp:positionH>
              <wp:positionV relativeFrom="page">
                <wp:posOffset>260985</wp:posOffset>
              </wp:positionV>
              <wp:extent cx="3501390" cy="506730"/>
              <wp:wrapNone/>
              <wp:docPr id="98" name="Shape 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0139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4" type="#_x0000_t202" style="position:absolute;margin-left:154.84999999999999pt;margin-top:20.550000000000001pt;width:275.69999999999999pt;height:39.899999999999999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5921375</wp:posOffset>
              </wp:positionH>
              <wp:positionV relativeFrom="page">
                <wp:posOffset>398145</wp:posOffset>
              </wp:positionV>
              <wp:extent cx="731520" cy="358140"/>
              <wp:wrapNone/>
              <wp:docPr id="100" name="Shape 1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581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C9146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3^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863AC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PT" w:eastAsia="pt-PT" w:bidi="pt-PT"/>
                            </w:rPr>
                            <w:t>JUTÁl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6" type="#_x0000_t202" style="position:absolute;margin-left:466.25pt;margin-top:31.350000000000001pt;width:57.600000000000001pt;height:28.199999999999999pt;z-index:-1887439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4C9146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3^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863AC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PT" w:eastAsia="pt-PT" w:bidi="pt-PT"/>
                      </w:rPr>
                      <w:t>JUTÁl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decimal"/>
      <w:lvlText w:val="3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decimal"/>
      <w:lvlText w:val="3.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2"/>
      <w:numFmt w:val="decimal"/>
      <w:lvlText w:val="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2"/>
      <w:numFmt w:val="decimal"/>
      <w:lvlText w:val="3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4">
    <w:multiLevelType w:val="multilevel"/>
    <w:lvl w:ilvl="0">
      <w:start w:val="1"/>
      <w:numFmt w:val="decimal"/>
      <w:lvlText w:val="3.3.9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6">
    <w:multiLevelType w:val="multilevel"/>
    <w:lvl w:ilvl="0">
      <w:start w:val="1"/>
      <w:numFmt w:val="decimal"/>
      <w:lvlText w:val="6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8">
    <w:multiLevelType w:val="multilevel"/>
    <w:lvl w:ilvl="0">
      <w:start w:val="1"/>
      <w:numFmt w:val="decimal"/>
      <w:lvlText w:val="7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0">
    <w:multiLevelType w:val="multilevel"/>
    <w:lvl w:ilvl="0">
      <w:start w:val="1"/>
      <w:numFmt w:val="decimal"/>
      <w:lvlText w:val="7.6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</w:abstractNum>
  <w:abstractNum w:abstractNumId="22">
    <w:multiLevelType w:val="multilevel"/>
    <w:lvl w:ilvl="0">
      <w:start w:val="1"/>
      <w:numFmt w:val="decimal"/>
      <w:lvlText w:val="7.6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4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6">
    <w:multiLevelType w:val="multilevel"/>
    <w:lvl w:ilvl="0">
      <w:start w:val="2"/>
      <w:numFmt w:val="decimal"/>
      <w:lvlText w:val="7.6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</w:abstractNum>
  <w:abstractNum w:abstractNumId="28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0">
    <w:multiLevelType w:val="multilevel"/>
    <w:lvl w:ilvl="0">
      <w:start w:val="2"/>
      <w:numFmt w:val="decimal"/>
      <w:lvlText w:val="7.6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2">
    <w:multiLevelType w:val="multilevel"/>
    <w:lvl w:ilvl="0">
      <w:start w:val="1"/>
      <w:numFmt w:val="decimal"/>
      <w:lvlText w:val="8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4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8">
    <w:multiLevelType w:val="multilevel"/>
    <w:lvl w:ilvl="0">
      <w:start w:val="1"/>
      <w:numFmt w:val="lowerRoman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0">
    <w:multiLevelType w:val="multilevel"/>
    <w:lvl w:ilvl="0">
      <w:start w:val="1"/>
      <w:numFmt w:val="decimal"/>
      <w:lvlText w:val="11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4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8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0">
    <w:multiLevelType w:val="multilevel"/>
    <w:lvl w:ilvl="0">
      <w:start w:val="3"/>
      <w:numFmt w:val="decimal"/>
      <w:lvlText w:val="1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2">
    <w:multiLevelType w:val="multilevel"/>
    <w:lvl w:ilvl="0">
      <w:start w:val="1"/>
      <w:numFmt w:val="decimal"/>
      <w:lvlText w:val="13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4">
    <w:multiLevelType w:val="multilevel"/>
    <w:lvl w:ilvl="0">
      <w:start w:val="1"/>
      <w:numFmt w:val="decimal"/>
      <w:lvlText w:val="13.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6">
    <w:multiLevelType w:val="multilevel"/>
    <w:lvl w:ilvl="0">
      <w:start w:val="1"/>
      <w:numFmt w:val="decimal"/>
      <w:lvlText w:val="13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8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0">
    <w:multiLevelType w:val="multilevel"/>
    <w:lvl w:ilvl="0">
      <w:start w:val="1"/>
      <w:numFmt w:val="decimal"/>
      <w:lvlText w:val="1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  <w:num w:numId="45">
    <w:abstractNumId w:val="44"/>
  </w:num>
  <w:num w:numId="47">
    <w:abstractNumId w:val="46"/>
  </w:num>
  <w:num w:numId="49">
    <w:abstractNumId w:val="48"/>
  </w:num>
  <w:num w:numId="51">
    <w:abstractNumId w:val="50"/>
  </w:num>
  <w:num w:numId="53">
    <w:abstractNumId w:val="52"/>
  </w:num>
  <w:num w:numId="55">
    <w:abstractNumId w:val="54"/>
  </w:num>
  <w:num w:numId="57">
    <w:abstractNumId w:val="56"/>
  </w:num>
  <w:num w:numId="59">
    <w:abstractNumId w:val="58"/>
  </w:num>
  <w:num w:numId="61">
    <w:abstractNumId w:val="6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|1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Body text|2_"/>
    <w:basedOn w:val="DefaultParagraphFont"/>
    <w:link w:val="Style10"/>
    <w:rPr>
      <w:b/>
      <w:bCs/>
      <w:i w:val="0"/>
      <w:iCs w:val="0"/>
      <w:smallCaps w:val="0"/>
      <w:strike w:val="0"/>
      <w:u w:val="none"/>
    </w:rPr>
  </w:style>
  <w:style w:type="character" w:customStyle="1" w:styleId="CharStyle15">
    <w:name w:val="Body text|4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19">
    <w:name w:val="Heading #1|1_"/>
    <w:basedOn w:val="DefaultParagraphFont"/>
    <w:link w:val="Style18"/>
    <w:rPr>
      <w:rFonts w:ascii="Arial" w:eastAsia="Arial" w:hAnsi="Arial" w:cs="Arial"/>
      <w:b/>
      <w:bCs/>
      <w:i w:val="0"/>
      <w:iCs w:val="0"/>
      <w:smallCaps/>
      <w:strike w:val="0"/>
      <w:color w:val="4863AC"/>
      <w:sz w:val="50"/>
      <w:szCs w:val="50"/>
      <w:u w:val="single"/>
    </w:rPr>
  </w:style>
  <w:style w:type="character" w:customStyle="1" w:styleId="CharStyle24">
    <w:name w:val="Heading #2|1_"/>
    <w:basedOn w:val="DefaultParagraphFont"/>
    <w:link w:val="Style23"/>
    <w:rPr>
      <w:b w:val="0"/>
      <w:bCs w:val="0"/>
      <w:i w:val="0"/>
      <w:iCs w:val="0"/>
      <w:smallCaps/>
      <w:strike w:val="0"/>
      <w:sz w:val="30"/>
      <w:szCs w:val="30"/>
      <w:u w:val="none"/>
    </w:rPr>
  </w:style>
  <w:style w:type="character" w:customStyle="1" w:styleId="CharStyle29">
    <w:name w:val="Heading #3|1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/>
      <w:strike w:val="0"/>
      <w:color w:val="4863AC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4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line="305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Body text|2"/>
    <w:basedOn w:val="Normal"/>
    <w:link w:val="CharStyle11"/>
    <w:pPr>
      <w:widowControl w:val="0"/>
      <w:shd w:val="clear" w:color="auto" w:fill="FFFFFF"/>
      <w:spacing w:after="170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14">
    <w:name w:val="Body text|4"/>
    <w:basedOn w:val="Normal"/>
    <w:link w:val="CharStyle15"/>
    <w:pPr>
      <w:widowControl w:val="0"/>
      <w:shd w:val="clear" w:color="auto" w:fill="FFFFFF"/>
      <w:ind w:left="480" w:firstLine="80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18">
    <w:name w:val="Heading #1|1"/>
    <w:basedOn w:val="Normal"/>
    <w:link w:val="CharStyle19"/>
    <w:pPr>
      <w:widowControl w:val="0"/>
      <w:shd w:val="clear" w:color="auto" w:fill="FFFFFF"/>
      <w:spacing w:after="400" w:line="180" w:lineRule="auto"/>
      <w:ind w:left="480" w:firstLine="80"/>
      <w:outlineLvl w:val="0"/>
    </w:pPr>
    <w:rPr>
      <w:rFonts w:ascii="Arial" w:eastAsia="Arial" w:hAnsi="Arial" w:cs="Arial"/>
      <w:b/>
      <w:bCs/>
      <w:i w:val="0"/>
      <w:iCs w:val="0"/>
      <w:smallCaps/>
      <w:strike w:val="0"/>
      <w:color w:val="4863AC"/>
      <w:sz w:val="50"/>
      <w:szCs w:val="50"/>
      <w:u w:val="single"/>
    </w:rPr>
  </w:style>
  <w:style w:type="paragraph" w:customStyle="1" w:styleId="Style23">
    <w:name w:val="Heading #2|1"/>
    <w:basedOn w:val="Normal"/>
    <w:link w:val="CharStyle24"/>
    <w:pPr>
      <w:widowControl w:val="0"/>
      <w:shd w:val="clear" w:color="auto" w:fill="FFFFFF"/>
      <w:ind w:right="340"/>
      <w:jc w:val="center"/>
      <w:outlineLvl w:val="1"/>
    </w:pPr>
    <w:rPr>
      <w:b w:val="0"/>
      <w:bCs w:val="0"/>
      <w:i w:val="0"/>
      <w:iCs w:val="0"/>
      <w:smallCaps/>
      <w:strike w:val="0"/>
      <w:sz w:val="30"/>
      <w:szCs w:val="30"/>
      <w:u w:val="none"/>
    </w:rPr>
  </w:style>
  <w:style w:type="paragraph" w:customStyle="1" w:styleId="Style28">
    <w:name w:val="Heading #3|1"/>
    <w:basedOn w:val="Normal"/>
    <w:link w:val="CharStyle29"/>
    <w:pPr>
      <w:widowControl w:val="0"/>
      <w:shd w:val="clear" w:color="auto" w:fill="FFFFFF"/>
      <w:spacing w:after="40" w:line="192" w:lineRule="auto"/>
      <w:ind w:left="200"/>
      <w:outlineLvl w:val="2"/>
    </w:pPr>
    <w:rPr>
      <w:rFonts w:ascii="Arial" w:eastAsia="Arial" w:hAnsi="Arial" w:cs="Arial"/>
      <w:b w:val="0"/>
      <w:bCs w:val="0"/>
      <w:i w:val="0"/>
      <w:iCs w:val="0"/>
      <w:smallCaps/>
      <w:strike w:val="0"/>
      <w:color w:val="4863AC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header" Target="header6.xml"/><Relationship Id="rId18" Type="http://schemas.openxmlformats.org/officeDocument/2006/relationships/footer" Target="footer6.xm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Relationship Id="rId21" Type="http://schemas.openxmlformats.org/officeDocument/2006/relationships/header" Target="header7.xml"/><Relationship Id="rId22" Type="http://schemas.openxmlformats.org/officeDocument/2006/relationships/footer" Target="footer7.xml"/><Relationship Id="rId23" Type="http://schemas.openxmlformats.org/officeDocument/2006/relationships/header" Target="header8.xml"/><Relationship Id="rId24" Type="http://schemas.openxmlformats.org/officeDocument/2006/relationships/footer" Target="footer8.xml"/><Relationship Id="rId25" Type="http://schemas.openxmlformats.org/officeDocument/2006/relationships/image" Target="media/image7.jpeg"/><Relationship Id="rId26" Type="http://schemas.openxmlformats.org/officeDocument/2006/relationships/image" Target="media/image7.jpeg" TargetMode="External"/><Relationship Id="rId27" Type="http://schemas.openxmlformats.org/officeDocument/2006/relationships/header" Target="header9.xml"/><Relationship Id="rId28" Type="http://schemas.openxmlformats.org/officeDocument/2006/relationships/footer" Target="footer9.xml"/><Relationship Id="rId29" Type="http://schemas.openxmlformats.org/officeDocument/2006/relationships/header" Target="header10.xml"/><Relationship Id="rId30" Type="http://schemas.openxmlformats.org/officeDocument/2006/relationships/footer" Target="footer10.xml"/><Relationship Id="rId31" Type="http://schemas.openxmlformats.org/officeDocument/2006/relationships/header" Target="header11.xml"/><Relationship Id="rId32" Type="http://schemas.openxmlformats.org/officeDocument/2006/relationships/footer" Target="footer11.xm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header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.jpeg"/><Relationship Id="rId2" Type="http://schemas.openxmlformats.org/officeDocument/2006/relationships/image" Target="media/image6.jpeg" TargetMode="External"/></Relationships>
</file>

<file path=word/_rels/header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.jpeg"/><Relationship Id="rId2" Type="http://schemas.openxmlformats.org/officeDocument/2006/relationships/image" Target="media/image6.jpeg" TargetMode="External"/></Relationships>
</file>

<file path=word/_rels/header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8.jpeg"/><Relationship Id="rId2" Type="http://schemas.openxmlformats.org/officeDocument/2006/relationships/image" Target="media/image8.jpeg" TargetMode="External"/></Relationships>
</file>

<file path=word/_rels/header1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.jpeg"/><Relationship Id="rId2" Type="http://schemas.openxmlformats.org/officeDocument/2006/relationships/image" Target="media/image9.jpeg" TargetMode="External"/></Relationships>
</file>

<file path=word/_rels/header1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0.jpeg"/><Relationship Id="rId2" Type="http://schemas.openxmlformats.org/officeDocument/2006/relationships/image" Target="media/image10.jpeg" TargetMode="External"/></Relationships>
</file>