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 Jb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righ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jut:.i</w:t>
      </w:r>
      <w:bookmarkEnd w:id="0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340" w:line="240" w:lineRule="auto"/>
        <w:ind w:left="680" w:right="0" w:hanging="38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 DE CONTRATO N° 013/2025 - CCSC/PMJ</w:t>
      </w:r>
      <w:bookmarkEnd w:id="1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88" w:lineRule="auto"/>
        <w:ind w:left="4820" w:right="0" w:firstLine="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TERMO DE CONTRATO PARA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LOCAÇÃO DE IMÓVEL,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CELEBRADO ENTRE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MUNICÍPIO DE JUTAÍ - PREFEITURA 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 O SR.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DÁRIO EDWARD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LASMAR PINTO.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680" w:right="0" w:hanging="3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Preâmbulo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324" w:lineRule="auto"/>
        <w:ind w:left="28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O MUNICÍPIO DE JUTAÍ - PREFEITURA MUNICIPAL,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sede à Rua Costa e Silva, n° 119-E, Cep; 69.660-000, Centro Jutaí - AM, inscrito no CNPJ sob n° 04.285.896/0001-53, doravante denominado simplesmente LOCATÁRIO, neste ato representado pela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Municipal,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MERCEDES MENDES VARGAS,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brasileira, residente e domiciliada na Rua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Andreazza, n° 730, bairro São José, Jutaí/AM, portadora da Cédula de Identidade RG sob o n° 1442255-7/SSP-AM, inscrita no CPF sob o n° 801.535.262-20, de acordo com atribuição de competência contida no art. 91 da Lei Orgânica do município; e de outro, 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DÁRIO EDWARD LASMAR PINTO,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 no CPF sob o n° 020.214.432-13, daqui por diante denominado(a)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LOCADOR,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residente e domiciliado na Travessa Olavo Bilac, n° 59, bairro Santo Antônio, Cidade de Jutaí/AM Jutaí/AM.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93" w:lineRule="auto"/>
        <w:ind w:left="28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Tendo em vista o que consta no Processo Administrativo n° 017/2025- SEMMAS, e em observância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disposições da Lei n° 14.133/2021 e Decreto Municipal n° 013/2024, resolvem celebrar o presente Termo de Contrato, decorrente 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Inexigibilidade de Licitação n° 011/2025,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mediante as cláusulas e condições a seguir enunciadas: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680" w:right="0" w:hanging="38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PRIMEIRA: DA LEGALIDADE</w:t>
      </w:r>
      <w:bookmarkEnd w:id="2"/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4" w:val="left"/>
        </w:tabs>
        <w:bidi w:val="0"/>
        <w:spacing w:before="0" w:after="280"/>
        <w:ind w:left="680" w:right="0" w:hanging="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contrato é firmado com base no art. 74, V da Lei n° 14.133/2021, que dispõe ser inexigível a licitação quando inviável a competição, em especial nos casos de locação de imóvel cujas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características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instalações e de localização tomem necessária sua escolha c/c art. 154, V do Decreto Municipal n° 013/2024- GP, que regulamenta as contratações diretas, especificam ente do cumprimento dos requisitos documentais para a locação de imóvel no âmbito do Município de Jutaí (AM), em atenção à Lei n° 14.133/2021.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680" w:right="0" w:hanging="38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CLÁSULA SEGUNDA: ORIGEM DO CONTRATO</w:t>
      </w:r>
      <w:bookmarkEnd w:id="3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2.1.0 presente contrato decorre do Processo Administrativo n° 017/2025 - SEMMAS, referente a -—Inexigibilidade de Licitação n° 011/2025 - CCSC/PMJ.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52" w:val="left"/>
        </w:tabs>
        <w:bidi w:val="0"/>
        <w:spacing w:before="0" w:after="280" w:line="300" w:lineRule="auto"/>
        <w:ind w:left="680" w:right="0" w:hanging="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São anexos a este instrumento e vinculam a esta contratação, independentemente de transcrição: o Termo de Referência (TR), Estudo Técnico Preliminar (ETP) e toda documentação relativa ao processo administrativo mencionado.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680" w:right="0" w:hanging="380"/>
        <w:jc w:val="both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TERCEIRA: DO OBJETO</w:t>
      </w:r>
      <w:bookmarkEnd w:id="4"/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52" w:val="left"/>
        </w:tabs>
        <w:bidi w:val="0"/>
        <w:spacing w:before="0" w:after="280" w:line="276" w:lineRule="auto"/>
        <w:ind w:left="680" w:right="0" w:hanging="3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presente Termo de Contrato tem por objeto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Locação de um imóvel, situado na Travessa Olavo Bilac, n° 59-A, Bairro Santo Antônio, Cidade de Jutaí/AM para o Setor Administrativo e Funcional da Cooperativa de Reciclagem no Município de Jutaí/AM,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CLÁUSULA QUARTA: DO VALOR DO CONTRATO E DA FORMA DE PAGAMENTO</w:t>
      </w:r>
    </w:p>
    <w:p>
      <w:pPr>
        <w:pStyle w:val="Style11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484" w:val="left"/>
        </w:tabs>
        <w:bidi w:val="0"/>
        <w:spacing w:before="0" w:after="0"/>
        <w:ind w:left="0" w:right="0" w:firstLine="0"/>
        <w:jc w:val="left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valor do contrato:</w:t>
      </w:r>
      <w:bookmarkEnd w:id="5"/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06" w:val="left"/>
        </w:tabs>
        <w:bidi w:val="0"/>
        <w:spacing w:before="0" w:after="0" w:line="302" w:lineRule="auto"/>
        <w:ind w:left="720" w:right="0" w:hanging="5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valor global do contrato é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RS 44.000,00 (quarenta mil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sendo 11 (onze) parcelas mensais no valor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RS 4.000,00 (quatro mil reais).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12" w:val="left"/>
        </w:tabs>
        <w:bidi w:val="0"/>
        <w:spacing w:before="0" w:after="0" w:line="302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valor acima estão incluídas todas as despesas ordinárias diretas e indiretas decorrentes da locação do imóvel, inclusive tributos e/ou impostos, encargos sociais, seguro e outros necessários ao cumprimento integral do objeto da contratação.</w:t>
      </w:r>
    </w:p>
    <w:p>
      <w:pPr>
        <w:pStyle w:val="Style11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484" w:val="left"/>
        </w:tabs>
        <w:bidi w:val="0"/>
        <w:spacing w:before="0" w:after="0"/>
        <w:ind w:left="0" w:right="0" w:firstLine="0"/>
        <w:jc w:val="left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Forma de Pagamento:</w:t>
      </w:r>
      <w:bookmarkEnd w:id="6"/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12" w:val="left"/>
        </w:tabs>
        <w:bidi w:val="0"/>
        <w:spacing w:before="0" w:after="0" w:line="302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realizado através de ordem bancária, para crédito em banco, agência e conta corrente.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12" w:val="left"/>
        </w:tabs>
        <w:bidi w:val="0"/>
        <w:spacing w:before="0" w:after="0" w:line="302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Dados Bancários para recebimento do pagamento: Instituição Bancária: Bradesco, Agência: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5042-3 Conta Corrente: 0404629-3, titular: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DÁRIO EDWARD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LASMAR PINTO.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12" w:val="left"/>
        </w:tabs>
        <w:bidi w:val="0"/>
        <w:spacing w:before="0" w:after="0" w:line="264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efetuado mensalmente, até o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(quinto) dia útil subsequente ao mês de competência da locação, na quantia mensal.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12" w:val="left"/>
        </w:tabs>
        <w:bidi w:val="0"/>
        <w:spacing w:before="0" w:after="0" w:line="264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ocorrido o recebimento da nota fiscal ou fatura quando o fiscal atestar a regularidade da documentação pertinente ao mês faturado.</w:t>
      </w:r>
    </w:p>
    <w:p>
      <w:pPr>
        <w:pStyle w:val="Style11"/>
        <w:keepNext/>
        <w:keepLines/>
        <w:widowControl w:val="0"/>
        <w:numPr>
          <w:ilvl w:val="1"/>
          <w:numId w:val="11"/>
        </w:numPr>
        <w:shd w:val="clear" w:color="auto" w:fill="auto"/>
        <w:tabs>
          <w:tab w:pos="490" w:val="left"/>
        </w:tabs>
        <w:bidi w:val="0"/>
        <w:spacing w:before="0" w:after="0"/>
        <w:ind w:left="0" w:right="0" w:firstLine="0"/>
        <w:jc w:val="left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Condições de Pagamento:</w:t>
      </w:r>
      <w:bookmarkEnd w:id="7"/>
    </w:p>
    <w:p>
      <w:pPr>
        <w:pStyle w:val="Style13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12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setor competente para proceder o pagamento deve verificar se a Nota Fiscal ou Fatura apresentada expressa os elementos necessários e essenciais do documento, tais como: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29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prazo de validade;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29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data da emissão;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29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dados do contrato e do órgão contratante;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29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período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execução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29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 pagar; 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t) eventual destaque do valor de retenções tributárias cabíveis.</w:t>
      </w:r>
    </w:p>
    <w:p>
      <w:pPr>
        <w:pStyle w:val="Style13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12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erro na apresentação da Nota Fiscal/Fatura, ou circunstância que impeça a liquidação da despesa, o pagamento ficará sobrestado até que a contratada providencie as medidas saneadoras. Nesta hipótese, o prazo para pagamento iniciar-se-á após a comprovação da regularização da situação, não acarretando qualquer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 contratante;</w:t>
      </w:r>
    </w:p>
    <w:p>
      <w:pPr>
        <w:pStyle w:val="Style13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12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Nota Fiscal ou Fatura deverá ser obrigatoriamente acompanhada da comprovação da regularidade fiscal, constatada por meio de consulta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on-line,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mediante consulta aos sítios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oficiais ou à documentação mencionada no art. 68 da Lei N° 14.133/2021.</w:t>
      </w:r>
    </w:p>
    <w:p>
      <w:pPr>
        <w:pStyle w:val="Style13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12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à emissão de nota de empenho e a cada pagamento, a Administração deverá realizar consulta para: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29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verificar a manutenção das condições de habilitação exigidas na contratação;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29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identificar possível razão que impeça a participação em contratações, no âmbito do órgão ou entidade, proibição de contratar com o Poder Público, bem como ocorrências impeditivas indiretas.</w:t>
      </w:r>
    </w:p>
    <w:p>
      <w:pPr>
        <w:pStyle w:val="Style13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12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>
      <w:pPr>
        <w:pStyle w:val="Style13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12" w:val="left"/>
        </w:tabs>
        <w:bidi w:val="0"/>
        <w:spacing w:before="0" w:after="0"/>
        <w:ind w:left="720" w:right="0" w:hanging="560"/>
        <w:jc w:val="both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98" w:left="1205" w:right="1275" w:bottom="124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havendo regularização ou sendo a defesa considerada improcedente, a contratante deverá comunicar aos órgãos responsáveis pela fiscalização da regularidade fiscal quanto à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contratada, bem como quanto à existência de pagamento a ser efetuado, para que sejam acionados os meios pertinentes e necessários para garantir o recebimento de seus créditos.</w:t>
      </w:r>
    </w:p>
    <w:p>
      <w:pPr>
        <w:pStyle w:val="Style13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24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Persistindo a irregularidade, a contratante deverá adotar as medidas necessárias à rescisão contratual nos autos do processo administrativo correspondente, assegurada à contratada a ampla defesa.</w:t>
      </w:r>
    </w:p>
    <w:p>
      <w:pPr>
        <w:pStyle w:val="Style13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24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a efetiva execução do objeto, os pagamentos serão realizados normalmente, até que se decida pela rescisão do contrato, caso a contratada não regularize sua situação.</w:t>
      </w:r>
    </w:p>
    <w:p>
      <w:pPr>
        <w:pStyle w:val="Style13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24" w:val="left"/>
        </w:tabs>
        <w:bidi w:val="0"/>
        <w:spacing w:before="0" w:after="0"/>
        <w:ind w:left="860" w:right="0" w:hanging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do pagamento, será efetuada a retenção tributária prevista na legislação aplicável.</w:t>
      </w:r>
    </w:p>
    <w:p>
      <w:pPr>
        <w:pStyle w:val="Style13"/>
        <w:keepNext w:val="0"/>
        <w:keepLines w:val="0"/>
        <w:widowControl w:val="0"/>
        <w:numPr>
          <w:ilvl w:val="3"/>
          <w:numId w:val="11"/>
        </w:numPr>
        <w:shd w:val="clear" w:color="auto" w:fill="auto"/>
        <w:tabs>
          <w:tab w:pos="986" w:val="left"/>
        </w:tabs>
        <w:bidi w:val="0"/>
        <w:spacing w:before="0" w:after="280"/>
        <w:ind w:left="860" w:right="0" w:hanging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Independentemente do percentual de tributo inserido na planilha, no pagamento serão retidos na fonte os percentuais estabelecidos na legislação vigente.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QUINTA: DA VIGÊNCIA E PRORROGAÇÃO CONTRATUAL</w:t>
      </w:r>
      <w:bookmarkEnd w:id="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98" w:lineRule="auto"/>
        <w:ind w:left="400" w:right="0" w:hanging="4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5.1.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 prazo contratual terá vigência de 11 (onze) meses, contados de 04 de fevereiro de 2025 a 31 de dezembro de 2025, sem interrupção, podendo ser renovado e/ou prorrogado por conveniência da Administração, em período igual, nos termos do art. 108 da Lei n° 14.133/2021, mediante assinatura de Termo Aditivo.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SEXTA: OBRIGAÇÕES DO CONTRATADO</w:t>
      </w:r>
      <w:bookmarkEnd w:id="9"/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9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a entrega do imóvel em perfeitas condições de uso, no prazo indicado na solicitação formal feita pelo Contratante;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9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Responsabilizar-se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pelos vícios ocultos anteriores a assinatura do contrato, desde que constatados por laudo técnico;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9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Atender prontamente a quaisquer exigências da Administração, inerentes a problemas estruturais, como infiltrações, rachaduras, problemas na fundação, rede elétrica e hidráulica.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9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Comunicar a Administração, no prazo de 24 (vinte e quatro) horas que antecede a data de entrega do imóvel se houver motivos que impossibilitem o cumprimento do prazo previsto, com a devida comprovação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consequentemente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datar nova data, sem prejuízo;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96" w:val="left"/>
        </w:tabs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Responsabilizarem-se pelas despesas dos tributos fiscais, seguros e quaisquer outras que incidam o venham a incidir sobre o imóvel;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SÉTIMA: OBRIGAÇÕES DO CONTRATANTE</w:t>
      </w:r>
      <w:bookmarkEnd w:id="10"/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90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Acompanhar e fiscalizar o cumprimento das obrigações da Contratada, por meio de servidores especialmente designados (Fiscal e Gestor de Contrato);</w:t>
      </w:r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90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o pagamento no prazo previsto, respeitando a ordem cronológica, após a entrega da nota fiscal no setor competente;</w:t>
      </w:r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90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Atestar nas notas fiscais e/ou fatura referente a esta inexigibilidade de licitação.</w:t>
      </w:r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90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Prestar à CONTRATADA toda e qualquer informação, por esta solicitada, necessária à perfeita execução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90" w:val="left"/>
        </w:tabs>
        <w:bidi w:val="0"/>
        <w:spacing w:before="0" w:after="26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Notificar, por escrito, à CONTRATADA da aplicação de qualquer sanção.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7.6 - DO ACOMPANHAMENTO DA FISCALIZAÇÃO</w:t>
      </w:r>
      <w:bookmarkEnd w:id="11"/>
    </w:p>
    <w:p>
      <w:pPr>
        <w:pStyle w:val="Style13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658" w:val="left"/>
        </w:tabs>
        <w:bidi w:val="0"/>
        <w:spacing w:before="0" w:after="28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designado para representar a Secretaria Municipal de Desenvolvimento e Meio Ambiente, servidor(a) nomeado(a) por este documento, para acompanhar e fiscalizar a execução do presente Contrato.</w:t>
      </w:r>
    </w:p>
    <w:p>
      <w:pPr>
        <w:pStyle w:val="Style11"/>
        <w:keepNext/>
        <w:keepLines/>
        <w:widowControl w:val="0"/>
        <w:numPr>
          <w:ilvl w:val="0"/>
          <w:numId w:val="21"/>
        </w:numPr>
        <w:shd w:val="clear" w:color="auto" w:fill="auto"/>
        <w:tabs>
          <w:tab w:pos="664" w:val="left"/>
        </w:tabs>
        <w:bidi w:val="0"/>
        <w:spacing w:before="0" w:after="0"/>
        <w:ind w:left="0" w:right="0" w:firstLine="0"/>
        <w:jc w:val="both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FISCAL DO CONTRATO</w:t>
      </w:r>
      <w:bookmarkEnd w:id="12"/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20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execução do contrato deverá ser acompanhada e fiscalizada pelo(s) fiscal(is) do contrato, 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substitutos (Lei n° 14.133/2021, art. 117,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c/c art. 30 do Decreto Municipal n° 13, de 10 de abril de 2024);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8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fiscalização da contratação será exercida por servidor(a) designado(a) por meio de Portaria, ao qual competirá dirimir as dúvidas que surgirem no curso da execução do contrato, e de tudo dará ciência à Administração Pública;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7.Ó.2.3. A fiscalização de que trata este item não exclui nem reduz a responsabilidade do contratado(a) pelos danos causados diretamente à Administração ou a terceiros em razão da execução do contrato, e não excluirá nem reduzirá essa responsabilidade a fiscalização ou o acompanhamento pelo contratante, nos termos do art. 120 da Lei Federal n° 14.133/21;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7.Ó.2.4. Caberá à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Sra. Maria Juliana de Lima Teixeira,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998.456.012-00, servidora pública na função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Engenheira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Ambiental, matrícula n° 12191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FISCAL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os arts. 117 e 118 da Lei n° 14.133/2021 c/c art. 30 do Decreto Municipal n° 013/2024- GP, com as seguintes atribuições: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91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prestar apoio técnico e operacional ao gestor do contrato, com a realização das tarefas de controle dos prazos relacionados ao contrato, à formalização de apostilamentos e termos aditivos, ao acompanhamento do empenho e pagamento, além de garantias e glosas;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91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manutenção das condições de habilitação da contratada, com a solicitação dos documentos comprobatórios pertinentes, caso necessário;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38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atuar tempestivamente na solução de eventuais problemas relacionados ao descumprimento das obrigações contratuais e reportar ao gestor do contrato, para que tome as providências cabíveis, quando ultrapassar a sua competência;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56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notificações à contratada para a correção de rotinas ou de qualquer inexatidão ou irregularidade constatada, com a definição de prazo para a correção;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56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ao gestor do contrato, em tempo hábil, a situação que demandar decisão ou adoção de medidas que ultrapassem a sua competência, para que adote as medidas necessárias e saneadoras, se for o caso;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56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imediatamente ao gestor do contrato quaisquer ocorrências que possam inviabilizar a execução do contrato nas datas estabelecidas;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22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fiscalizar a execução do contrato, para que sejam cumpridas as condições estabelecidas, de modo a assegurar os melhores resultados para a administração, com a conferência das notas fiscais e das documentações exigidas para o pagamento e, após o ateste, encaminhar ao gestor de contrato para ratificação;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00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se os profissionais indicados na licitação, sobretudo os apontados nos atestados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capacitação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técnica ou para fins de pontuação da proposta técnica (licitações pelo tipo técnica e preço), efetivamente participam da execução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00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o(a) contratado(a) respeita as normas pertinentes à segurança do trabalho e demais regras trabalhistas;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56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o cronograma de execução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50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houve subcontratação ou cessão contratual em desacordo com o contrato ou fora das hipóteses admitidas em lei;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22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quantidade e a qualidade dos materiais e insumos empregados na execução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00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 contratado toma as precauções necessárias para evitar que a execução do contrato eventualmente cause danos a terceiros;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18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participar da atualização do relatório de riscos durante a fase de gestão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18" w:val="left"/>
        </w:tabs>
        <w:bidi w:val="0"/>
        <w:spacing w:before="0" w:after="4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realizar o recebimento provisório do objeto do contrato, mediante termo detalhado que comprove o cumprimento das exigências contratuais;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1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informar, mensalmente, por escrito, ao gestor do contrato, todas as ocorrências relacionadas à execução do contrato, com a descrição do que for necessário para a regularização das faltas ou dos defeitos observados;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8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auxiliar o gestor do contrato com as informações necessárias, na elaboração do documento comprobatório da avaliação realizada na fiscalização do cumprimento de obrigações assumidas pelo contratado;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56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ao gestor do contrato, em tempo hábil, a proximidade do término do contrato sob sua responsabilidade, com vistas à renovação tempestiva ou à prorrogação contratual.</w:t>
      </w:r>
    </w:p>
    <w:p>
      <w:pPr>
        <w:pStyle w:val="Style11"/>
        <w:keepNext/>
        <w:keepLines/>
        <w:widowControl w:val="0"/>
        <w:numPr>
          <w:ilvl w:val="0"/>
          <w:numId w:val="27"/>
        </w:numPr>
        <w:shd w:val="clear" w:color="auto" w:fill="auto"/>
        <w:tabs>
          <w:tab w:pos="620" w:val="left"/>
        </w:tabs>
        <w:bidi w:val="0"/>
        <w:spacing w:before="0" w:after="0"/>
        <w:ind w:left="0" w:right="0" w:firstLine="0"/>
        <w:jc w:val="both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</w:t>
      </w:r>
      <w:bookmarkEnd w:id="13"/>
    </w:p>
    <w:p>
      <w:pPr>
        <w:pStyle w:val="Style13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782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Caberá ao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Sr. Diego Pereira Oliveira,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002.613.052-12, servidor público na função de Assessor Executivo, matrícula n° 12144,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GESTORA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 art. 29 do Decreto Municipal n° 013/2024- GP, com as seguintes atribuições:</w:t>
      </w:r>
    </w:p>
    <w:p>
      <w:pPr>
        <w:pStyle w:val="Style13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271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coordenar a atividade de fiscalização;</w:t>
      </w:r>
    </w:p>
    <w:p>
      <w:pPr>
        <w:pStyle w:val="Style13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271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instruir e manter atualizado o processo administrativo de acompanhamento e fiscalização com a documentação pertinente e os registros da execução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44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emitir, mensalmente, relatório relativo aos atos fiscalizatórios realizados, atestando pontual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atendimento, total ou parcial, da regularidade do cumprimento de cada uma das obrigações tratadas neste Decreto, conforme modelo de avaliação, controle e fiscalização constantes nos modelos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Procuradoria ou Assessoria jurídica do Município;</w:t>
      </w:r>
    </w:p>
    <w:p>
      <w:pPr>
        <w:pStyle w:val="Style13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62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analisar e conduzir a solicitação de repactuação do objeto, reajuste financeiro, reequilíbrio físico- financeiro, acréscimo/supressão de metas, interrupção de serviços, prorrogação, pagamentos, extinção dos contratos, dentre outros, emitindo parecer, que deverá ser submetido ao ordenador de despesa do município (prefeito ou secretários);</w:t>
      </w:r>
    </w:p>
    <w:p>
      <w:pPr>
        <w:pStyle w:val="Style13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56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o cumprimento da lei federal n° 14.611, de 03 de julho de 2023, e a Lei Estadual n° 5.185, de 25 de maio de 2020, que estabelece a exigência de garantia de igualdade salarial entre homens e mulheres,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empresas que contratarem com o Poder Público Estadual;</w:t>
      </w:r>
    </w:p>
    <w:p>
      <w:pPr>
        <w:pStyle w:val="Style13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50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constante manutenção das condições de habilitação da contratada;</w:t>
      </w:r>
    </w:p>
    <w:p>
      <w:pPr>
        <w:pStyle w:val="Style13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428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anuir com o recebimento definitivo do objeto do contrato, que deverá ser instruído com termo detalhado que comprove o atendimento das exigências contratuais;</w:t>
      </w:r>
    </w:p>
    <w:p>
      <w:pPr>
        <w:pStyle w:val="Style13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494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a atuação do fiscal do contrato ou dos terceiros contratados, mediante seus registros;</w:t>
      </w:r>
    </w:p>
    <w:p>
      <w:pPr>
        <w:pStyle w:val="Style13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494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relatório mensal, relativo aos atos fiscalizatórios realizados, a ser enviado ao ordenador de despesa do município ou secretarias);</w:t>
      </w:r>
    </w:p>
    <w:p>
      <w:pPr>
        <w:pStyle w:val="Style13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50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à Administração sobre eventuais vícios, irregularidades ou baixa qualidade dos serviços prestados pela contratada, propor soluções para a regularização das faltas e problemas observados e sanções que entender cabíveis, de acordo com as disposições contidas neste Decreto;</w:t>
      </w:r>
    </w:p>
    <w:p>
      <w:pPr>
        <w:pStyle w:val="Style13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50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notificar a contratada, por meio de seu representante legal ou preposto formalmente designado, nos termos do artigo 118 da Lei Federal n.° 14.133, de l.° de abril de 2021, para a imediata correção de eventuais vícios ou inadimplemento de quaisquer valores devidos por força do contrato, de lei ou convenção coletiva de trabalho, apurados por si ou pelo fiscal do contrato,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fazendo-o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sempre por escrito, mediante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representante da empresa contratada;</w:t>
      </w:r>
    </w:p>
    <w:p>
      <w:pPr>
        <w:pStyle w:val="Style13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422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à autoridade máxima do órgão sobre indício de irregularidade no recolhimento das contribuições previdenciárias e de FGTS, após conclusão do procedimento administrativo de responsabilização, para informação ao Ministério da Previdência Social, à Receita Federal - RFB e ao Ministério do Trabalho e Emprego;</w:t>
      </w:r>
    </w:p>
    <w:p>
      <w:pPr>
        <w:pStyle w:val="Style13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513" w:val="left"/>
        </w:tabs>
        <w:bidi w:val="0"/>
        <w:spacing w:before="0" w:after="0" w:line="302" w:lineRule="auto"/>
        <w:ind w:left="0" w:right="0" w:firstLine="0"/>
        <w:jc w:val="both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8" w:left="1205" w:right="1275" w:bottom="1246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enviar à Procuradoria Geral do Município, sempre que requisitado, por quaisquer meios, 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13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informações e documentos referentes ao contrato sob sua responsabilidade.</w:t>
      </w:r>
    </w:p>
    <w:p>
      <w:pPr>
        <w:pStyle w:val="Style13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834" w:val="left"/>
        </w:tabs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Quando houver indícios de irregularidades 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do(a) contratado(a), é dever do gestor do contrato apurar, mediante procedimento administrativo de responsabilização do contratado, asseguradas a ampla defesa e o contraditório.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bookmarkStart w:id="14" w:name="bookmark1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OITAVA: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14"/>
    </w:p>
    <w:p>
      <w:pPr>
        <w:pStyle w:val="Style13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04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despesa decorrente deste contrato correrá à conta dos recursos previsto no orçamento Municipal para o exercício de 2025, conforme abaixo: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32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Unidade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Orçamentária: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02.07.01 -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Secretaria Municipal de Meio Ambiente e Rec. Sustentáveis/SEMMAS;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83" w:lineRule="auto"/>
        <w:ind w:left="32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Atividade: 02.07.01 -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Secretaria Municipal de Meio Ambiente e Rec. Sustentáveis/SEMMAS;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Elemento de Despesa: 3.3.90.36 -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Outros Serviços de Terceiros - Pessoa Física;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Fonte de Recursos: 1.500 -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Recursos Próprio.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5" w:name="bookmark1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NONA: DAS SANÇÕES PELO INADIMPLEMENTO</w:t>
      </w:r>
      <w:bookmarkEnd w:id="15"/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588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Comete infração administrativa, nos termos da Lei n° 14.133, de 2021, o Contratado que:</w:t>
      </w:r>
    </w:p>
    <w:p>
      <w:pPr>
        <w:pStyle w:val="Style13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contrato;</w:t>
      </w:r>
    </w:p>
    <w:p>
      <w:pPr>
        <w:pStyle w:val="Style13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 que cause grave dano à Administração ou ao funcionamento dos serviços públicos ou ao interesse coletivo;</w:t>
      </w:r>
    </w:p>
    <w:p>
      <w:pPr>
        <w:pStyle w:val="Style13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total do contrato;</w:t>
      </w:r>
    </w:p>
    <w:p>
      <w:pPr>
        <w:pStyle w:val="Style13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deixar de entregar a documentação exigida para o certame;</w:t>
      </w:r>
    </w:p>
    <w:p>
      <w:pPr>
        <w:pStyle w:val="Style13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mantiver a proposta, salvo em decorrência de fato superveniente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justificado;</w:t>
      </w:r>
    </w:p>
    <w:p>
      <w:pPr>
        <w:pStyle w:val="Style13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celebrar o contrato ou não entregar a documentação exigida para a contratação, quando convocado dentro do prazo de validade de sua proposta;</w:t>
      </w:r>
    </w:p>
    <w:p>
      <w:pPr>
        <w:pStyle w:val="Style13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ensejar o retardamento da execução ou da entrega do objeto da contratação sem motivo justificado;</w:t>
      </w:r>
    </w:p>
    <w:p>
      <w:pPr>
        <w:pStyle w:val="Style13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apresentar declaração ou documentação falsa exigida para o certame ou prestar declaração falsa durante a dispensa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execução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fraudar a contratação ou praticar ato fraudulento na execução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comportar-se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modo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cometer fraude de qualquer natureza;</w:t>
      </w:r>
    </w:p>
    <w:p>
      <w:pPr>
        <w:pStyle w:val="Style13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atos ilícitos com vistas a frustrar os objetivos do certame;</w:t>
      </w:r>
    </w:p>
    <w:p>
      <w:pPr>
        <w:pStyle w:val="Style13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 lesivo previsto no art.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n° 12.846,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agosto de 2013.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60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Serão aplicadas ao responsável pelas infrações administrativas acima descritas as seguintes sanções:</w:t>
      </w:r>
    </w:p>
    <w:p>
      <w:pPr>
        <w:pStyle w:val="Style13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26" w:val="left"/>
        </w:tabs>
        <w:bidi w:val="0"/>
        <w:spacing w:before="0" w:after="0" w:line="307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Advertência, quando o Contratado der causa à inexecução parcial do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§2°, da Lei);</w:t>
      </w:r>
    </w:p>
    <w:p>
      <w:pPr>
        <w:pStyle w:val="Style13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26" w:val="left"/>
        </w:tabs>
        <w:bidi w:val="0"/>
        <w:spacing w:before="0" w:after="0" w:line="307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Impedimento de licitar e contratar, quando praticadas as condutas descritas nas alíneas b, c, d, e, f e g do subitem acima deste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§4°, da Lei);</w:t>
      </w:r>
    </w:p>
    <w:p>
      <w:pPr>
        <w:pStyle w:val="Style13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26" w:val="left"/>
        </w:tabs>
        <w:bidi w:val="0"/>
        <w:spacing w:before="0" w:after="0" w:line="307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Declaração de inidoneidade para licitar e contratar, quando praticadas as condutas descritas nas alíneas h, i, j, k e 1 do subitem acima deste Contrato, bem como nas alíneas b, c, d, e, f e g, que justifiquem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§5°, da Lei)</w:t>
      </w:r>
    </w:p>
    <w:p>
      <w:pPr>
        <w:pStyle w:val="Style13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52" w:val="left"/>
        </w:tabs>
        <w:bidi w:val="0"/>
        <w:spacing w:before="0" w:after="0" w:line="307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Multa: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76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8" w:left="1205" w:right="1275" w:bottom="1246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(a) moratória de 0,5% (cinco décimos por cento) por dia de atraso injustificado sobre o valor da parcela inadimplida, até o limite de 30 (trinta) dias;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8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right"/>
      </w:pPr>
      <w:bookmarkStart w:id="16" w:name="bookmark16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jut:.i</w:t>
      </w:r>
      <w:bookmarkEnd w:id="1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(b) O atraso superior a 30 (trinta) dias autoriza a Administração a promover a rescisão do contrato por descumprimento ou cumprimento irregular de suas cláusulas, conforme dispõe o inciso I doart. 137 da Lei n. 14.133, de 2021.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569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aplicação das sanções previstas neste Contrato não exclui, em hipótese alguma, a obrigação de reparação integral do dano causado ao Contratante (art. 156, §9°)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569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Todas as sanções previstas neste Contrato poderão ser aplicadas cumulativamente com a multa (art. 156, §7°).</w:t>
      </w:r>
    </w:p>
    <w:p>
      <w:pPr>
        <w:pStyle w:val="Style13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731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Antes da aplicação da multa será facultada a defesa do interessado no prazo de 15 (quinze) dias úteis, contado da data de sua intimação (art. 157)</w:t>
      </w:r>
    </w:p>
    <w:p>
      <w:pPr>
        <w:pStyle w:val="Style13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73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 a multa aplicada e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cabíveis forem superiores ao valor do pagamento eventualmente devido pelo Contratante ao Contratado, além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desse valor, a diferença será descontada da garantia prestada ou será cobrada judicialmente (art. 156, §8°).</w:t>
      </w:r>
    </w:p>
    <w:p>
      <w:pPr>
        <w:pStyle w:val="Style13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73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encaminhamento à cobrança judicial, a multa poderá ser recolhida administrativamente no prazo máximo de 05 (cinco) dias, a contar da data do recebimento da comunicação enviada pela autoridade competente.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569" w:val="left"/>
        </w:tabs>
        <w:bidi w:val="0"/>
        <w:spacing w:before="0" w:after="3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aplicação das sanções realizar-se-á em processo administrativo que assegure o contraditório e a ampla defesa ao Contratado,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procedimento previsto no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parágrafos do art. 158 da Lei n° 14.133, de 2021, para as penalidades de impedimento de licitar e contratar e de declaração de inidoneidade para licitar ou contratar.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545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aplicação das sanções serão considerados (art. 156, §1°):</w:t>
      </w:r>
    </w:p>
    <w:p>
      <w:pPr>
        <w:pStyle w:val="Style13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472" w:val="left"/>
        </w:tabs>
        <w:bidi w:val="0"/>
        <w:spacing w:before="0" w:after="0" w:line="302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natureza e a gravidade da infração cometida;</w:t>
      </w:r>
    </w:p>
    <w:p>
      <w:pPr>
        <w:pStyle w:val="Style13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472" w:val="left"/>
        </w:tabs>
        <w:bidi w:val="0"/>
        <w:spacing w:before="0" w:after="0" w:line="302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peculiaridades do caso concreto;</w:t>
      </w:r>
    </w:p>
    <w:p>
      <w:pPr>
        <w:pStyle w:val="Style13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472" w:val="left"/>
        </w:tabs>
        <w:bidi w:val="0"/>
        <w:spacing w:before="0" w:after="0" w:line="302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circunstâncias agravantes ou atenuantes;</w:t>
      </w:r>
    </w:p>
    <w:p>
      <w:pPr>
        <w:pStyle w:val="Style13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472" w:val="left"/>
        </w:tabs>
        <w:bidi w:val="0"/>
        <w:spacing w:before="0" w:after="0" w:line="302" w:lineRule="auto"/>
        <w:ind w:left="7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danos que dela provierem para o Contratante;</w:t>
      </w:r>
    </w:p>
    <w:p>
      <w:pPr>
        <w:pStyle w:val="Style13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472" w:val="left"/>
        </w:tabs>
        <w:bidi w:val="0"/>
        <w:spacing w:before="0" w:after="0" w:line="302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implantação ou o aperfeiçoamento de programa de integridade, conforme normas e orientações dos órgãos de controle.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569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atos previstos como infrações administrativas na Lei n° 14.133, de 2021, ou em outras leis de licitações e contratos da Administração Pública que também sejam tipificados como atos lesivos na Lei n° 12.846, de 2013, serão apurados e julgados conjuntamente, nos mesmos autos, observados o rito procedimental e autoridade competente definidos na referida Lei (art. 159)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593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160)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569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deverá, no prazo máximo 15 (quinze) dias úteis, contado da data de aplicação da sanção, informar e manter atualizados os dados relativos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sanções por ela aplicadas, para fins de publicidade no Cadastro Nacional de Empresas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Suspensas (CEIS) e no Cadastro Nacional de Empresas Punidas (CNEP), instituídos no âmbito do Poder Executivo Federal. (Art. 161)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716" w:val="left"/>
        </w:tabs>
        <w:bidi w:val="0"/>
        <w:spacing w:before="0" w:after="2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sanções de impedimento de licitar e contratar e declaração de inidoneidade para licitar ou contratar são passíveis de reabilitação na forma do art. 163 da Lei n° 14.133/21.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7" w:name="bookmark1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DÉCIMA: DA RESCISÃO</w:t>
      </w:r>
      <w:bookmarkEnd w:id="17"/>
    </w:p>
    <w:p>
      <w:pPr>
        <w:pStyle w:val="Style13"/>
        <w:keepNext w:val="0"/>
        <w:keepLines w:val="0"/>
        <w:widowControl w:val="0"/>
        <w:numPr>
          <w:ilvl w:val="1"/>
          <w:numId w:val="37"/>
        </w:numPr>
        <w:shd w:val="clear" w:color="auto" w:fill="auto"/>
        <w:tabs>
          <w:tab w:pos="551" w:val="left"/>
        </w:tabs>
        <w:bidi w:val="0"/>
        <w:spacing w:before="0" w:after="46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se extingue quando cumpridas as obrigações de ambas as partes, ainda que isso ocorra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858" w:left="1352" w:right="1398" w:bottom="582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7 de 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antes do prazo estipulado para tanto.</w:t>
      </w:r>
    </w:p>
    <w:p>
      <w:pPr>
        <w:pStyle w:val="Style13"/>
        <w:keepNext w:val="0"/>
        <w:keepLines w:val="0"/>
        <w:widowControl w:val="0"/>
        <w:numPr>
          <w:ilvl w:val="1"/>
          <w:numId w:val="37"/>
        </w:numPr>
        <w:shd w:val="clear" w:color="auto" w:fill="auto"/>
        <w:tabs>
          <w:tab w:pos="59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as obrigações não forem cumpridas no prazo estipulado, a vigência ficará prorrogada até a conclusão do objeto, caso em que deverá a Administração providenciar a readequação do cronograma fixado para o contrato, pu da forma que a administração pública melhor solucionar.</w:t>
      </w:r>
    </w:p>
    <w:p>
      <w:pPr>
        <w:pStyle w:val="Style13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735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a não conclusão do contrato referida no item anterior decorrer de culpa do contratado:</w:t>
      </w:r>
    </w:p>
    <w:p>
      <w:pPr>
        <w:pStyle w:val="Style13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327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ficará ele constituído em mora, sendo-lhe aplicáveis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sanções administrativas; e</w:t>
      </w:r>
    </w:p>
    <w:p>
      <w:pPr>
        <w:pStyle w:val="Style13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339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poderá a Administração optar pela extinção do contrato e, nesse caso, adotará as medidas admitidas em lei para a continuidade da execução contratual.</w:t>
      </w:r>
    </w:p>
    <w:p>
      <w:pPr>
        <w:pStyle w:val="Style13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747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Caso a notificação da não-continuidade do contrato de que trata este subitem ocorra com menos de 2 (dois) meses da data de aniversário, a extinção contratual ocorrerá após 2 (dois) meses da data da comunicação.</w:t>
      </w:r>
    </w:p>
    <w:p>
      <w:pPr>
        <w:pStyle w:val="Style13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59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pode ser extinto antes de cumpridas as obrigações nele estipuladas, ou antes do prazo nele fixado, por algum dos motivos previstos no artigo 137 da Lei n° 14.133/21, bem como amigavelmente, assegurados o contraditório e a ampla defesa.</w:t>
      </w:r>
    </w:p>
    <w:p>
      <w:pPr>
        <w:pStyle w:val="Style13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735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Nesta hipótese, aplicam-se também os artigos 138 e 139 da mesma Lei.</w:t>
      </w:r>
    </w:p>
    <w:p>
      <w:pPr>
        <w:pStyle w:val="Style13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753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alteração social ou a modificação da finalidade ou da estrutura da empresa não ensejará a rescisão se não restringir sua capacidade de concluir o contrato.</w:t>
      </w:r>
    </w:p>
    <w:p>
      <w:pPr>
        <w:pStyle w:val="Style13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915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 operação implicar mudança da pessoa jurídica contratada, deverá ser formalizado termo aditivo para alteração subjetiva.</w:t>
      </w:r>
    </w:p>
    <w:p>
      <w:pPr>
        <w:pStyle w:val="Style13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59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termo de rescisão, sempre que possível, será precedido:</w:t>
      </w:r>
    </w:p>
    <w:p>
      <w:pPr>
        <w:pStyle w:val="Style13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891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Balanço dos eventos contratuais já cumpridos ou parcialmente cumpridos;</w:t>
      </w:r>
    </w:p>
    <w:p>
      <w:pPr>
        <w:pStyle w:val="Style13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729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Relação dos pagamentos já efetuados e ainda devidos;</w:t>
      </w:r>
    </w:p>
    <w:p>
      <w:pPr>
        <w:pStyle w:val="Style13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729" w:val="left"/>
        </w:tabs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multas.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8" w:name="bookmark1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PRIMEIRA: DA OBSERVÂNCIA À LGPD</w:t>
      </w:r>
      <w:bookmarkEnd w:id="18"/>
    </w:p>
    <w:p>
      <w:pPr>
        <w:pStyle w:val="Style13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603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O(A) CONTRATADO(A) declara expresso CONSENTIMENTO que O CONTRATANTE irá coletar tratar e compartilhar os dados necessários ao cumprimento do contrato,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LGPD, os dados necessários para cumprimento de obrigações legais,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II e III da LGPD, bem como os dados, se necessários para proteção ao crédito, conforme autorizado pelo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LGPD.</w:t>
      </w:r>
    </w:p>
    <w:p>
      <w:pPr>
        <w:pStyle w:val="Style13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603" w:val="left"/>
        </w:tabs>
        <w:bidi w:val="0"/>
        <w:spacing w:before="0" w:after="2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fica obrigada a comunicar O(A) CONTRATADO(A) em até 24 (vinte e quatro) horas qualquer incidente de acessos não autorizados aos dados pessoais, situações acidentais ou ilícitas de destruição,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alteração, comunicação ou qualquer forma de tratamento inadequado ou ilícito, bem como adotar as providências dispostas no art. 48 da Lei Geral de Proteção de Dados.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9" w:name="bookmark1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SEGUNDA: DA PUBLICIDADE DO CONTRATO</w:t>
      </w:r>
      <w:bookmarkEnd w:id="19"/>
    </w:p>
    <w:p>
      <w:pPr>
        <w:pStyle w:val="Style13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594" w:val="left"/>
        </w:tabs>
        <w:bidi w:val="0"/>
        <w:spacing w:before="0" w:after="2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atenção à divulgação no Portal Nacional de Contratações Públicas (PNCP) que é condição indispensável para a eficácia do contrato e de seus aditamentos, será a presenta TERMO DE CONTRATO publicada dentro do prazo de 10 (dez) dias úteis, contados da data de sua assinatura,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caso de contratação direta, nos termos do art. 94, II da Lei n° 14.133/2021.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20" w:name="bookmark2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TERCEIRA: DO FORO</w:t>
      </w:r>
      <w:bookmarkEnd w:id="2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13.1 É competente o Foro da Comarca de Jutaí/AM, com preferência sobre qualquer outro,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privilegiado, para dirimir as ações originárias deste TERMO DE CONTRATO, em atendimento ao disposto no conforme art. 92, §1° da Lei n° 14.133/21.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leader="dot" w:pos="5312" w:val="left"/>
        </w:tabs>
        <w:bidi w:val="0"/>
        <w:spacing w:before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™</w:t>
      </w:r>
      <w:r>
        <w:rPr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11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699" w:left="1378" w:right="1384" w:bottom="58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Página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8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140" w:firstLine="0"/>
        <w:jc w:val="center"/>
        <w:rPr>
          <w:sz w:val="22"/>
          <w:szCs w:val="22"/>
        </w:rPr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904875</wp:posOffset>
            </wp:positionH>
            <wp:positionV relativeFrom="paragraph">
              <wp:posOffset>12700</wp:posOffset>
            </wp:positionV>
            <wp:extent cx="365760" cy="420370"/>
            <wp:wrapSquare wrapText="right"/>
            <wp:docPr id="58" name="Shape 5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box 5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6576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5865495</wp:posOffset>
                </wp:positionH>
                <wp:positionV relativeFrom="paragraph">
                  <wp:posOffset>127000</wp:posOffset>
                </wp:positionV>
                <wp:extent cx="781050" cy="392430"/>
                <wp:wrapSquare wrapText="left"/>
                <wp:docPr id="60" name="Shape 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050" cy="392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PREFEITURA DE £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JUTi.l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6" type="#_x0000_t202" style="position:absolute;margin-left:461.85000000000002pt;margin-top:10.pt;width:61.5pt;height:30.899999999999999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PREFEITURA DE £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JUTi.l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14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MUNICÍPIO DE JUTAÍ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400" w:line="240" w:lineRule="auto"/>
        <w:ind w:left="0" w:right="140" w:firstLine="0"/>
        <w:jc w:val="center"/>
      </w:pPr>
      <w:bookmarkStart w:id="21" w:name="bookmark2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CENTRAL DE COMPRAS, SERVIÇOS E CONTRATOS</w:t>
      </w:r>
      <w:bookmarkEnd w:id="21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por estarem, assim de perfeito acordo, subscrevem o presente, em 02 (duas) vias, na presença de 02 (duas) testemunhas, para que surta todos os efeitos legais.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6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Jutaí (AM), 04 de fevereiro de 2025.</w:t>
      </w:r>
    </w:p>
    <w:p>
      <w:pPr>
        <w:widowControl w:val="0"/>
        <w:spacing w:line="1" w:lineRule="exact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417" w:left="1335" w:right="1397" w:bottom="1680" w:header="0" w:footer="3" w:gutter="0"/>
          <w:cols w:space="720"/>
          <w:noEndnote/>
          <w:rtlGutter w:val="0"/>
          <w:docGrid w:linePitch="360"/>
        </w:sectPr>
      </w:pPr>
      <w:r>
        <w:drawing>
          <wp:anchor distT="1483360" distB="304800" distL="0" distR="0" simplePos="0" relativeHeight="125829381" behindDoc="0" locked="0" layoutInCell="1" allowOverlap="1">
            <wp:simplePos x="0" y="0"/>
            <wp:positionH relativeFrom="page">
              <wp:posOffset>1472565</wp:posOffset>
            </wp:positionH>
            <wp:positionV relativeFrom="paragraph">
              <wp:posOffset>1483360</wp:posOffset>
            </wp:positionV>
            <wp:extent cx="1090930" cy="658495"/>
            <wp:wrapTopAndBottom/>
            <wp:docPr id="66" name="Shape 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box 67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09093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18590" distB="354330" distL="0" distR="0" simplePos="0" relativeHeight="125829382" behindDoc="0" locked="0" layoutInCell="1" allowOverlap="1">
            <wp:simplePos x="0" y="0"/>
            <wp:positionH relativeFrom="page">
              <wp:posOffset>4951095</wp:posOffset>
            </wp:positionH>
            <wp:positionV relativeFrom="paragraph">
              <wp:posOffset>1418590</wp:posOffset>
            </wp:positionV>
            <wp:extent cx="847090" cy="676910"/>
            <wp:wrapTopAndBottom/>
            <wp:docPr id="68" name="Shape 6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box 69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847090" cy="6769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41450" distB="220980" distL="0" distR="0" simplePos="0" relativeHeight="125829383" behindDoc="0" locked="0" layoutInCell="1" allowOverlap="1">
            <wp:simplePos x="0" y="0"/>
            <wp:positionH relativeFrom="page">
              <wp:posOffset>2546985</wp:posOffset>
            </wp:positionH>
            <wp:positionV relativeFrom="paragraph">
              <wp:posOffset>1441450</wp:posOffset>
            </wp:positionV>
            <wp:extent cx="3218815" cy="786130"/>
            <wp:wrapTopAndBottom/>
            <wp:docPr id="70" name="Shape 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box 71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218815" cy="7861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3385185</wp:posOffset>
                </wp:positionH>
                <wp:positionV relativeFrom="paragraph">
                  <wp:posOffset>2279650</wp:posOffset>
                </wp:positionV>
                <wp:extent cx="712470" cy="167640"/>
                <wp:wrapNone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247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LOCADOR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266.55000000000001pt;margin-top:179.5pt;width:56.100000000000001pt;height:13.1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LOCADOR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2607945</wp:posOffset>
                </wp:positionH>
                <wp:positionV relativeFrom="paragraph">
                  <wp:posOffset>622300</wp:posOffset>
                </wp:positionV>
                <wp:extent cx="2327910" cy="815340"/>
                <wp:wrapNone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27910" cy="815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MUNICÍPIO DE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JUTAÍ/AMLj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MERCEDES MENDES VARGAS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Prefeita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Municipal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LOCATÁRIO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205.34999999999999pt;margin-top:49.pt;width:183.30000000000001pt;height:64.200000000000003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MUNICÍPIO DE </w:t>
                      </w: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JUTAÍ/AMLj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MERCEDES MENDES VARGAS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Prefeita </w:t>
                      </w: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Municipal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LOCATÁRIO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190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7" w:left="0" w:right="0" w:bottom="16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DO CONTRATO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de 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Maria Junana de Lima Teixeira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Engenheira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Ambiental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 n° 998.456.012-00, Matrícula n° 12191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7" w:left="1335" w:right="1397" w:bottom="1680" w:header="0" w:footer="3" w:gutter="0"/>
          <w:cols w:space="720"/>
          <w:noEndnote/>
          <w:rtlGutter w:val="0"/>
          <w:docGrid w:linePitch="360"/>
        </w:sectPr>
      </w:pPr>
      <w:r>
        <w:drawing>
          <wp:anchor distT="320040" distB="0" distL="0" distR="982980" simplePos="0" relativeHeight="125829384" behindDoc="0" locked="0" layoutInCell="1" allowOverlap="1">
            <wp:simplePos x="0" y="0"/>
            <wp:positionH relativeFrom="page">
              <wp:posOffset>741045</wp:posOffset>
            </wp:positionH>
            <wp:positionV relativeFrom="paragraph">
              <wp:posOffset>320040</wp:posOffset>
            </wp:positionV>
            <wp:extent cx="524510" cy="311150"/>
            <wp:wrapTopAndBottom/>
            <wp:docPr id="76" name="Shape 7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box 77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524510" cy="3111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1255395</wp:posOffset>
                </wp:positionH>
                <wp:positionV relativeFrom="paragraph">
                  <wp:posOffset>331470</wp:posOffset>
                </wp:positionV>
                <wp:extent cx="990600" cy="297180"/>
                <wp:wrapNone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971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i/>
                                <w:iCs/>
                                <w:color w:val="3D3279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Cd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Pereira Oliveira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98.849999999999994pt;margin-top:26.100000000000001pt;width:78.pt;height:23.39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i/>
                          <w:iCs/>
                          <w:color w:val="3D3279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Cd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0"/>
                        <w:jc w:val="righ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Pereira Oliveira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266700" distB="72390" distL="0" distR="0" simplePos="0" relativeHeight="125829385" behindDoc="0" locked="0" layoutInCell="1" allowOverlap="1">
            <wp:simplePos x="0" y="0"/>
            <wp:positionH relativeFrom="page">
              <wp:posOffset>2238375</wp:posOffset>
            </wp:positionH>
            <wp:positionV relativeFrom="paragraph">
              <wp:posOffset>266700</wp:posOffset>
            </wp:positionV>
            <wp:extent cx="207010" cy="292735"/>
            <wp:wrapTopAndBottom/>
            <wp:docPr id="80" name="Shape 8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box 81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20701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Cargo: Assessor Executivo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7" w:left="1335" w:right="1397" w:bottom="168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CPFn° 002.613.052-12, Matrícula n° 12144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41" w:left="0" w:right="0" w:bottom="8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 w:val="0"/>
        <w:keepLines w:val="0"/>
        <w:framePr w:w="978" w:h="264" w:wrap="none" w:vAnchor="text" w:hAnchor="page" w:x="210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RG ou CPF</w:t>
      </w:r>
    </w:p>
    <w:p>
      <w:pPr>
        <w:pStyle w:val="Style27"/>
        <w:keepNext w:val="0"/>
        <w:keepLines w:val="0"/>
        <w:framePr w:w="216" w:h="252" w:wrap="none" w:vAnchor="text" w:hAnchor="page" w:x="1738" w:y="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2)</w:t>
      </w:r>
    </w:p>
    <w:p>
      <w:pPr>
        <w:pStyle w:val="Style27"/>
        <w:keepNext w:val="0"/>
        <w:keepLines w:val="0"/>
        <w:framePr w:w="4038" w:h="654" w:wrap="none" w:vAnchor="text" w:hAnchor="page" w:x="2086" w:y="1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Nome:</w:t>
      </w:r>
    </w:p>
    <w:p>
      <w:pPr>
        <w:pStyle w:val="Style27"/>
        <w:keepNext w:val="0"/>
        <w:keepLines w:val="0"/>
        <w:framePr w:w="4038" w:h="654" w:wrap="none" w:vAnchor="text" w:hAnchor="page" w:x="2086" w:y="1197"/>
        <w:widowControl w:val="0"/>
        <w:shd w:val="clear" w:color="auto" w:fill="auto"/>
        <w:tabs>
          <w:tab w:pos="3816" w:val="left"/>
        </w:tabs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RGouCPF </w:t>
      </w:r>
      <w:r>
        <w:rPr>
          <w:rFonts w:ascii="Times New Roman" w:eastAsia="Times New Roman" w:hAnsi="Times New Roman" w:cs="Times New Roman"/>
          <w:b w:val="0"/>
          <w:bCs w:val="0"/>
          <w:color w:val="7E78CC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OOg.U^U- 50</w:t>
        <w:tab/>
        <w:t>~</w:t>
      </w:r>
    </w:p>
    <w:p>
      <w:pPr>
        <w:widowControl w:val="0"/>
        <w:spacing w:line="360" w:lineRule="exact"/>
      </w:pPr>
      <w:r>
        <w:drawing>
          <wp:anchor distT="441960" distB="381000" distL="167640" distR="441960" simplePos="0" relativeHeight="62914736" behindDoc="1" locked="0" layoutInCell="1" allowOverlap="1">
            <wp:simplePos x="0" y="0"/>
            <wp:positionH relativeFrom="page">
              <wp:posOffset>1270635</wp:posOffset>
            </wp:positionH>
            <wp:positionV relativeFrom="paragraph">
              <wp:posOffset>454660</wp:posOffset>
            </wp:positionV>
            <wp:extent cx="2176145" cy="341630"/>
            <wp:wrapNone/>
            <wp:docPr id="82" name="Shape 8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box 83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2176145" cy="341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41" w:left="801" w:right="1397" w:bottom="84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1961515</wp:posOffset>
              </wp:positionH>
              <wp:positionV relativeFrom="page">
                <wp:posOffset>9968230</wp:posOffset>
              </wp:positionV>
              <wp:extent cx="3939540" cy="23241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32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54.44999999999999pt;margin-top:784.89999999999998pt;width:310.19999999999999pt;height:18.30000000000000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475615</wp:posOffset>
              </wp:positionH>
              <wp:positionV relativeFrom="page">
                <wp:posOffset>9842500</wp:posOffset>
              </wp:positionV>
              <wp:extent cx="6751320" cy="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13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7.450000000000003pt;margin-top:775.pt;width:531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2060575</wp:posOffset>
              </wp:positionH>
              <wp:positionV relativeFrom="page">
                <wp:posOffset>10450830</wp:posOffset>
              </wp:positionV>
              <wp:extent cx="3939540" cy="22479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162.25pt;margin-top:822.89999999999998pt;width:310.19999999999999pt;height:17.699999999999999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574675</wp:posOffset>
              </wp:positionH>
              <wp:positionV relativeFrom="page">
                <wp:posOffset>10325100</wp:posOffset>
              </wp:positionV>
              <wp:extent cx="6747510" cy="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475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5.25pt;margin-top:813.pt;width:531.2999999999999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1969135</wp:posOffset>
              </wp:positionH>
              <wp:positionV relativeFrom="page">
                <wp:posOffset>9979660</wp:posOffset>
              </wp:positionV>
              <wp:extent cx="3935730" cy="22098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5730" cy="220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e-maii.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ccsc.jutai2025@gmaiI.com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155.05000000000001pt;margin-top:785.79999999999995pt;width:309.89999999999998pt;height:17.399999999999999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e-maii.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ccsc.jutai2025@gmaiI.com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479425</wp:posOffset>
              </wp:positionH>
              <wp:positionV relativeFrom="page">
                <wp:posOffset>9852025</wp:posOffset>
              </wp:positionV>
              <wp:extent cx="6755130" cy="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7.75pt;margin-top:775.7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1974850</wp:posOffset>
              </wp:positionH>
              <wp:positionV relativeFrom="page">
                <wp:posOffset>9972040</wp:posOffset>
              </wp:positionV>
              <wp:extent cx="3939540" cy="22860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e-mail'.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6" type="#_x0000_t202" style="position:absolute;margin-left:155.5pt;margin-top:785.20000000000005pt;width:310.19999999999999pt;height:18.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e-mail'.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485140</wp:posOffset>
              </wp:positionH>
              <wp:positionV relativeFrom="page">
                <wp:posOffset>9850120</wp:posOffset>
              </wp:positionV>
              <wp:extent cx="6758940" cy="0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89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200000000000003pt;margin-top:775.60000000000002pt;width:532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2060575</wp:posOffset>
              </wp:positionH>
              <wp:positionV relativeFrom="page">
                <wp:posOffset>10450830</wp:posOffset>
              </wp:positionV>
              <wp:extent cx="3939540" cy="22479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162.25pt;margin-top:822.89999999999998pt;width:310.19999999999999pt;height:17.699999999999999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574675</wp:posOffset>
              </wp:positionH>
              <wp:positionV relativeFrom="page">
                <wp:posOffset>10325100</wp:posOffset>
              </wp:positionV>
              <wp:extent cx="6747510" cy="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475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5.25pt;margin-top:813.pt;width:531.2999999999999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1987550</wp:posOffset>
              </wp:positionH>
              <wp:positionV relativeFrom="page">
                <wp:posOffset>10169525</wp:posOffset>
              </wp:positionV>
              <wp:extent cx="3939540" cy="224790"/>
              <wp:wrapNone/>
              <wp:docPr id="56" name="Shape 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2" type="#_x0000_t202" style="position:absolute;margin-left:156.5pt;margin-top:800.75pt;width:310.19999999999999pt;height:17.699999999999999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1983105</wp:posOffset>
              </wp:positionH>
              <wp:positionV relativeFrom="page">
                <wp:posOffset>10159365</wp:posOffset>
              </wp:positionV>
              <wp:extent cx="3939540" cy="224790"/>
              <wp:wrapNone/>
              <wp:docPr id="64" name="Shape 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ccsc.jutai2025@gmaiI.com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0" type="#_x0000_t202" style="position:absolute;margin-left:156.15000000000001pt;margin-top:799.95000000000005pt;width:310.19999999999999pt;height:17.699999999999999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ccsc.jutai2025@gmaiI.com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871855</wp:posOffset>
              </wp:positionH>
              <wp:positionV relativeFrom="page">
                <wp:posOffset>88900</wp:posOffset>
              </wp:positionV>
              <wp:extent cx="388620" cy="4495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8.650000000000006pt;margin-top:7.pt;width:30.600000000000001pt;height:35.399999999999999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1805305</wp:posOffset>
              </wp:positionH>
              <wp:positionV relativeFrom="page">
                <wp:posOffset>127000</wp:posOffset>
              </wp:positionV>
              <wp:extent cx="3669030" cy="5067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903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42.15000000000001pt;margin-top:10.pt;width:288.89999999999998pt;height:39.8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5862955</wp:posOffset>
              </wp:positionH>
              <wp:positionV relativeFrom="page">
                <wp:posOffset>317500</wp:posOffset>
              </wp:positionV>
              <wp:extent cx="723900" cy="27432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367AD"/>
                              <w:spacing w:val="0"/>
                              <w:w w:val="100"/>
                              <w:position w:val="0"/>
                              <w:sz w:val="34"/>
                              <w:szCs w:val="34"/>
                              <w:shd w:val="clear" w:color="auto" w:fill="auto"/>
                              <w:lang w:val="pt-BR" w:eastAsia="pt-BR" w:bidi="pt-BR"/>
                            </w:rPr>
                            <w:t>JUTxl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461.64999999999998pt;margin-top:25.pt;width:57.pt;height:21.60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367AD"/>
                        <w:spacing w:val="0"/>
                        <w:w w:val="100"/>
                        <w:position w:val="0"/>
                        <w:sz w:val="34"/>
                        <w:szCs w:val="34"/>
                        <w:shd w:val="clear" w:color="auto" w:fill="auto"/>
                        <w:lang w:val="pt-BR" w:eastAsia="pt-BR" w:bidi="pt-BR"/>
                      </w:rPr>
                      <w:t>JUTxl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967105</wp:posOffset>
              </wp:positionH>
              <wp:positionV relativeFrom="page">
                <wp:posOffset>283845</wp:posOffset>
              </wp:positionV>
              <wp:extent cx="384810" cy="44958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13" name="Picutre 1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76.150000000000006pt;margin-top:22.350000000000001pt;width:30.300000000000001pt;height:35.399999999999999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15" name="Picutre 1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1896745</wp:posOffset>
              </wp:positionH>
              <wp:positionV relativeFrom="page">
                <wp:posOffset>321945</wp:posOffset>
              </wp:positionV>
              <wp:extent cx="3665220" cy="50673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522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149.34999999999999pt;margin-top:25.350000000000001pt;width:288.60000000000002pt;height:39.89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871855</wp:posOffset>
              </wp:positionH>
              <wp:positionV relativeFrom="page">
                <wp:posOffset>88900</wp:posOffset>
              </wp:positionV>
              <wp:extent cx="384810" cy="44958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22" name="Picutre 2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68.650000000000006pt;margin-top:7.pt;width:30.300000000000001pt;height:35.399999999999999pt;z-index:-18874404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24" name="Picutre 2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1801495</wp:posOffset>
              </wp:positionH>
              <wp:positionV relativeFrom="page">
                <wp:posOffset>127000</wp:posOffset>
              </wp:positionV>
              <wp:extent cx="3672840" cy="50292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141.84999999999999pt;margin-top:10.pt;width:289.19999999999999pt;height:39.60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5855335</wp:posOffset>
              </wp:positionH>
              <wp:positionV relativeFrom="page">
                <wp:posOffset>241300</wp:posOffset>
              </wp:positionV>
              <wp:extent cx="731520" cy="34671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46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 Jb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367AD"/>
                              <w:spacing w:val="0"/>
                              <w:w w:val="100"/>
                              <w:position w:val="0"/>
                              <w:sz w:val="34"/>
                              <w:szCs w:val="34"/>
                              <w:shd w:val="clear" w:color="auto" w:fill="auto"/>
                              <w:lang w:val="pt-PT" w:eastAsia="pt-PT" w:bidi="pt-PT"/>
                            </w:rPr>
                            <w:t>JUTÀl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461.05000000000001pt;margin-top:19.pt;width:57.600000000000001pt;height:27.300000000000001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 Jb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367AD"/>
                        <w:spacing w:val="0"/>
                        <w:w w:val="100"/>
                        <w:position w:val="0"/>
                        <w:sz w:val="34"/>
                        <w:szCs w:val="34"/>
                        <w:shd w:val="clear" w:color="auto" w:fill="auto"/>
                        <w:lang w:val="pt-PT" w:eastAsia="pt-PT" w:bidi="pt-PT"/>
                      </w:rPr>
                      <w:t>JUTÀl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873760</wp:posOffset>
              </wp:positionH>
              <wp:positionV relativeFrom="page">
                <wp:posOffset>92710</wp:posOffset>
              </wp:positionV>
              <wp:extent cx="388620" cy="44577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33" name="Picutre 3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" name="Picture 3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68.799999999999997pt;margin-top:7.2999999999999998pt;width:30.600000000000001pt;height:35.100000000000001pt;z-index:-18874404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35" name="Picutre 3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5" name="Picture 3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1807210</wp:posOffset>
              </wp:positionH>
              <wp:positionV relativeFrom="page">
                <wp:posOffset>127000</wp:posOffset>
              </wp:positionV>
              <wp:extent cx="3669030" cy="50673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903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142.30000000000001pt;margin-top:10.pt;width:288.89999999999998pt;height:39.899999999999999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5864860</wp:posOffset>
              </wp:positionH>
              <wp:positionV relativeFrom="page">
                <wp:posOffset>313690</wp:posOffset>
              </wp:positionV>
              <wp:extent cx="731520" cy="27051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270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367AD"/>
                              <w:spacing w:val="0"/>
                              <w:w w:val="100"/>
                              <w:position w:val="0"/>
                              <w:sz w:val="34"/>
                              <w:szCs w:val="34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JUTAÍ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461.80000000000001pt;margin-top:24.699999999999999pt;width:57.600000000000001pt;height:21.300000000000001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367AD"/>
                        <w:spacing w:val="0"/>
                        <w:w w:val="100"/>
                        <w:position w:val="0"/>
                        <w:sz w:val="34"/>
                        <w:szCs w:val="34"/>
                        <w:u w:val="single"/>
                        <w:shd w:val="clear" w:color="auto" w:fill="auto"/>
                        <w:lang w:val="pt-PT" w:eastAsia="pt-PT" w:bidi="pt-PT"/>
                      </w:rPr>
                      <w:t>JUTAÍ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967105</wp:posOffset>
              </wp:positionH>
              <wp:positionV relativeFrom="page">
                <wp:posOffset>283845</wp:posOffset>
              </wp:positionV>
              <wp:extent cx="384810" cy="44958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44" name="Picutre 4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4" name="Picture 4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0" type="#_x0000_t202" style="position:absolute;margin-left:76.150000000000006pt;margin-top:22.350000000000001pt;width:30.300000000000001pt;height:35.399999999999999pt;z-index:-18874403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46" name="Picutre 4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6" name="Picture 4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1896745</wp:posOffset>
              </wp:positionH>
              <wp:positionV relativeFrom="page">
                <wp:posOffset>321945</wp:posOffset>
              </wp:positionV>
              <wp:extent cx="3665220" cy="50673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522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149.34999999999999pt;margin-top:25.350000000000001pt;width:288.60000000000002pt;height:39.899999999999999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1823720</wp:posOffset>
              </wp:positionH>
              <wp:positionV relativeFrom="page">
                <wp:posOffset>320675</wp:posOffset>
              </wp:positionV>
              <wp:extent cx="3672840" cy="506730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8" type="#_x0000_t202" style="position:absolute;margin-left:143.59999999999999pt;margin-top:25.25pt;width:289.19999999999999pt;height:39.899999999999999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5881370</wp:posOffset>
              </wp:positionH>
              <wp:positionV relativeFrom="page">
                <wp:posOffset>503555</wp:posOffset>
              </wp:positionV>
              <wp:extent cx="731520" cy="274320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367AD"/>
                              <w:spacing w:val="0"/>
                              <w:w w:val="100"/>
                              <w:position w:val="0"/>
                              <w:sz w:val="34"/>
                              <w:szCs w:val="34"/>
                              <w:shd w:val="clear" w:color="auto" w:fill="auto"/>
                              <w:lang w:val="pt-PT" w:eastAsia="pt-PT" w:bidi="pt-PT"/>
                            </w:rPr>
                            <w:t>JUT.x.1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0" type="#_x0000_t202" style="position:absolute;margin-left:463.10000000000002pt;margin-top:39.649999999999999pt;width:57.600000000000001pt;height:21.60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367AD"/>
                        <w:spacing w:val="0"/>
                        <w:w w:val="100"/>
                        <w:position w:val="0"/>
                        <w:sz w:val="34"/>
                        <w:szCs w:val="34"/>
                        <w:shd w:val="clear" w:color="auto" w:fill="auto"/>
                        <w:lang w:val="pt-PT" w:eastAsia="pt-PT" w:bidi="pt-PT"/>
                      </w:rPr>
                      <w:t>JUT.x.1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508635</wp:posOffset>
              </wp:positionH>
              <wp:positionV relativeFrom="page">
                <wp:posOffset>230505</wp:posOffset>
              </wp:positionV>
              <wp:extent cx="144780" cy="4953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4780" cy="495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% •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8" type="#_x0000_t202" style="position:absolute;margin-left:40.049999999999997pt;margin-top:18.149999999999999pt;width:11.4pt;height:3.8999999999999999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% •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2"/>
      <w:numFmt w:val="decimal"/>
      <w:lvlText w:val="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decimal"/>
      <w:lvlText w:val="4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decimal"/>
      <w:lvlText w:val="4.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decimal"/>
      <w:lvlText w:val="4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3"/>
      <w:numFmt w:val="decimal"/>
      <w:lvlText w:val="%1.%2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3">
      <w:start w:val="1"/>
      <w:numFmt w:val="decimal"/>
      <w:lvlText w:val="%1.%2.%3.%4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decimal"/>
      <w:lvlText w:val="6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8">
    <w:multiLevelType w:val="multilevel"/>
    <w:lvl w:ilvl="0">
      <w:start w:val="1"/>
      <w:numFmt w:val="decimal"/>
      <w:lvlText w:val="7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0">
    <w:multiLevelType w:val="multilevel"/>
    <w:lvl w:ilvl="0">
      <w:start w:val="1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2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4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6">
    <w:multiLevelType w:val="multilevel"/>
    <w:lvl w:ilvl="0">
      <w:start w:val="2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8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2">
    <w:multiLevelType w:val="multilevel"/>
    <w:lvl w:ilvl="0">
      <w:start w:val="2"/>
      <w:numFmt w:val="decimal"/>
      <w:lvlText w:val="7.6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4">
    <w:multiLevelType w:val="multilevel"/>
    <w:lvl w:ilvl="0">
      <w:start w:val="1"/>
      <w:numFmt w:val="decimal"/>
      <w:lvlText w:val="8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6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0">
    <w:multiLevelType w:val="multilevel"/>
    <w:lvl w:ilvl="0">
      <w:start w:val="1"/>
      <w:numFmt w:val="lowerRoman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2">
    <w:multiLevelType w:val="multilevel"/>
    <w:lvl w:ilvl="0">
      <w:start w:val="1"/>
      <w:numFmt w:val="decimal"/>
      <w:lvlText w:val="11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4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6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0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2">
    <w:multiLevelType w:val="multilevel"/>
    <w:lvl w:ilvl="0">
      <w:start w:val="3"/>
      <w:numFmt w:val="decimal"/>
      <w:lvlText w:val="1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4">
    <w:multiLevelType w:val="multilevel"/>
    <w:lvl w:ilvl="0">
      <w:start w:val="1"/>
      <w:numFmt w:val="decimal"/>
      <w:lvlText w:val="13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6">
    <w:multiLevelType w:val="multilevel"/>
    <w:lvl w:ilvl="0">
      <w:start w:val="1"/>
      <w:numFmt w:val="decimal"/>
      <w:lvlText w:val="13.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8">
    <w:multiLevelType w:val="multilevel"/>
    <w:lvl w:ilvl="0">
      <w:start w:val="1"/>
      <w:numFmt w:val="decimal"/>
      <w:lvlText w:val="13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0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2">
    <w:multiLevelType w:val="multilevel"/>
    <w:lvl w:ilvl="0">
      <w:start w:val="1"/>
      <w:numFmt w:val="decimal"/>
      <w:lvlText w:val="1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  <w:num w:numId="61">
    <w:abstractNumId w:val="60"/>
  </w:num>
  <w:num w:numId="63">
    <w:abstractNumId w:val="6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/>
      <w:bCs/>
      <w:i w:val="0"/>
      <w:iCs w:val="0"/>
      <w:smallCaps/>
      <w:strike w:val="0"/>
      <w:color w:val="4367AD"/>
      <w:sz w:val="48"/>
      <w:szCs w:val="48"/>
      <w:u w:val="none"/>
    </w:rPr>
  </w:style>
  <w:style w:type="character" w:customStyle="1" w:styleId="CharStyle12">
    <w:name w:val="Heading #2|1_"/>
    <w:basedOn w:val="DefaultParagraphFont"/>
    <w:link w:val="Style1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Body text|1_"/>
    <w:basedOn w:val="DefaultParagraphFont"/>
    <w:link w:val="Style13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Body text|3_"/>
    <w:basedOn w:val="DefaultParagraphFont"/>
    <w:link w:val="Style20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23">
    <w:name w:val="Body text|6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6AA65A"/>
      <w:sz w:val="13"/>
      <w:szCs w:val="13"/>
      <w:u w:val="none"/>
    </w:rPr>
  </w:style>
  <w:style w:type="character" w:customStyle="1" w:styleId="CharStyle26">
    <w:name w:val="Body text|4_"/>
    <w:basedOn w:val="DefaultParagraphFont"/>
    <w:link w:val="Style25"/>
    <w:rPr>
      <w:rFonts w:ascii="Arial" w:eastAsia="Arial" w:hAnsi="Arial" w:cs="Arial"/>
      <w:b/>
      <w:bCs/>
      <w:i w:val="0"/>
      <w:iCs w:val="0"/>
      <w:smallCaps w:val="0"/>
      <w:strike w:val="0"/>
      <w:color w:val="4367AD"/>
      <w:sz w:val="34"/>
      <w:szCs w:val="34"/>
      <w:u w:val="none"/>
    </w:rPr>
  </w:style>
  <w:style w:type="character" w:customStyle="1" w:styleId="CharStyle28">
    <w:name w:val="Picture caption|1_"/>
    <w:basedOn w:val="DefaultParagraphFont"/>
    <w:link w:val="Style27"/>
    <w:rPr>
      <w:b/>
      <w:bCs/>
      <w:i w:val="0"/>
      <w:iCs w:val="0"/>
      <w:smallCaps w:val="0"/>
      <w:strike w:val="0"/>
      <w:u w:val="none"/>
    </w:rPr>
  </w:style>
  <w:style w:type="character" w:customStyle="1" w:styleId="CharStyle35">
    <w:name w:val="Body text|5_"/>
    <w:basedOn w:val="DefaultParagraphFont"/>
    <w:link w:val="Style34"/>
    <w:rPr>
      <w:b w:val="0"/>
      <w:bCs w:val="0"/>
      <w:i w:val="0"/>
      <w:iCs w:val="0"/>
      <w:smallCaps w:val="0"/>
      <w:strike w:val="0"/>
      <w:color w:val="3D3279"/>
      <w:sz w:val="36"/>
      <w:szCs w:val="36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line="235" w:lineRule="auto"/>
      <w:ind w:left="140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420" w:line="233" w:lineRule="auto"/>
      <w:jc w:val="right"/>
      <w:outlineLvl w:val="0"/>
    </w:pPr>
    <w:rPr>
      <w:rFonts w:ascii="Arial" w:eastAsia="Arial" w:hAnsi="Arial" w:cs="Arial"/>
      <w:b/>
      <w:bCs/>
      <w:i w:val="0"/>
      <w:iCs w:val="0"/>
      <w:smallCaps/>
      <w:strike w:val="0"/>
      <w:color w:val="4367AD"/>
      <w:sz w:val="48"/>
      <w:szCs w:val="48"/>
      <w:u w:val="none"/>
    </w:rPr>
  </w:style>
  <w:style w:type="paragraph" w:customStyle="1" w:styleId="Style11">
    <w:name w:val="Heading #2|1"/>
    <w:basedOn w:val="Normal"/>
    <w:link w:val="CharStyle12"/>
    <w:pPr>
      <w:widowControl w:val="0"/>
      <w:shd w:val="clear" w:color="auto" w:fill="FFFFFF"/>
      <w:spacing w:line="276" w:lineRule="auto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  <w:spacing w:line="305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Body text|3"/>
    <w:basedOn w:val="Normal"/>
    <w:link w:val="CharStyle21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2">
    <w:name w:val="Body text|6"/>
    <w:basedOn w:val="Normal"/>
    <w:link w:val="CharStyle23"/>
    <w:pPr>
      <w:widowControl w:val="0"/>
      <w:shd w:val="clear" w:color="auto" w:fill="FFFFFF"/>
      <w:spacing w:after="140"/>
      <w:ind w:left="38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AA65A"/>
      <w:sz w:val="13"/>
      <w:szCs w:val="13"/>
      <w:u w:val="none"/>
    </w:rPr>
  </w:style>
  <w:style w:type="paragraph" w:customStyle="1" w:styleId="Style25">
    <w:name w:val="Body text|4"/>
    <w:basedOn w:val="Normal"/>
    <w:link w:val="CharStyle26"/>
    <w:pPr>
      <w:widowControl w:val="0"/>
      <w:shd w:val="clear" w:color="auto" w:fill="FFFFFF"/>
      <w:spacing w:line="194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4367AD"/>
      <w:sz w:val="34"/>
      <w:szCs w:val="34"/>
      <w:u w:val="none"/>
    </w:rPr>
  </w:style>
  <w:style w:type="paragraph" w:customStyle="1" w:styleId="Style27">
    <w:name w:val="Picture caption|1"/>
    <w:basedOn w:val="Normal"/>
    <w:link w:val="CharStyle28"/>
    <w:pPr>
      <w:widowControl w:val="0"/>
      <w:shd w:val="clear" w:color="auto" w:fill="FFFFFF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34">
    <w:name w:val="Body text|5"/>
    <w:basedOn w:val="Normal"/>
    <w:link w:val="CharStyle35"/>
    <w:pPr>
      <w:widowControl w:val="0"/>
      <w:shd w:val="clear" w:color="auto" w:fill="FFFFFF"/>
      <w:ind w:left="2140"/>
    </w:pPr>
    <w:rPr>
      <w:b w:val="0"/>
      <w:bCs w:val="0"/>
      <w:i w:val="0"/>
      <w:iCs w:val="0"/>
      <w:smallCaps w:val="0"/>
      <w:strike w:val="0"/>
      <w:color w:val="3D3279"/>
      <w:sz w:val="36"/>
      <w:szCs w:val="3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image" Target="media/image6.jpeg"/><Relationship Id="rId22" Type="http://schemas.openxmlformats.org/officeDocument/2006/relationships/image" Target="media/image6.jpeg" TargetMode="External"/><Relationship Id="rId23" Type="http://schemas.openxmlformats.org/officeDocument/2006/relationships/image" Target="media/image7.jpeg"/><Relationship Id="rId24" Type="http://schemas.openxmlformats.org/officeDocument/2006/relationships/image" Target="media/image7.jpeg" TargetMode="External"/><Relationship Id="rId25" Type="http://schemas.openxmlformats.org/officeDocument/2006/relationships/image" Target="media/image8.jpeg"/><Relationship Id="rId26" Type="http://schemas.openxmlformats.org/officeDocument/2006/relationships/image" Target="media/image8.jpeg" TargetMode="External"/><Relationship Id="rId27" Type="http://schemas.openxmlformats.org/officeDocument/2006/relationships/image" Target="media/image9.jpeg"/><Relationship Id="rId28" Type="http://schemas.openxmlformats.org/officeDocument/2006/relationships/image" Target="media/image9.jpeg" TargetMode="External"/><Relationship Id="rId29" Type="http://schemas.openxmlformats.org/officeDocument/2006/relationships/image" Target="media/image10.jpeg"/><Relationship Id="rId30" Type="http://schemas.openxmlformats.org/officeDocument/2006/relationships/image" Target="media/image10.jpeg" TargetMode="External"/><Relationship Id="rId31" Type="http://schemas.openxmlformats.org/officeDocument/2006/relationships/image" Target="media/image11.jpeg"/><Relationship Id="rId32" Type="http://schemas.openxmlformats.org/officeDocument/2006/relationships/image" Target="media/image11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