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360" w:line="240" w:lineRule="auto"/>
        <w:ind w:right="0" w:hanging="360"/>
        <w:jc w:val="both"/>
      </w:pPr>
      <w:bookmarkStart w:id="0" w:name="bookmark0"/>
      <w:r>
        <w:rPr>
          <w:rFonts w:ascii="Times New Roman" w:eastAsia="Times New Roman" w:hAnsi="Times New Roman" w:cs="Times New Roman"/>
          <w:color w:val="000000"/>
          <w:spacing w:val="0"/>
          <w:w w:val="100"/>
          <w:position w:val="0"/>
          <w:shd w:val="clear" w:color="auto" w:fill="auto"/>
          <w:lang w:val="pt-PT" w:eastAsia="pt-PT" w:bidi="pt-PT"/>
        </w:rPr>
        <w:t>TERMO DE CONTRATO N° 002/2025 - CCSC/PMJ</w:t>
      </w:r>
      <w:bookmarkEnd w:id="0"/>
    </w:p>
    <w:p>
      <w:pPr>
        <w:pStyle w:val="Style10"/>
        <w:keepNext w:val="0"/>
        <w:keepLines w:val="0"/>
        <w:widowControl w:val="0"/>
        <w:shd w:val="clear" w:color="auto" w:fill="auto"/>
        <w:bidi w:val="0"/>
        <w:spacing w:before="0" w:after="280" w:line="290" w:lineRule="auto"/>
        <w:ind w:left="4560" w:right="0" w:firstLine="0"/>
        <w:jc w:val="both"/>
        <w:rPr>
          <w:sz w:val="22"/>
          <w:szCs w:val="22"/>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TERMO DE CONTRATO QUE ENTRE SI CELEBRAM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O MUNICÍPIO DE JUTAÍ - PREFEITURA MUNICIPAL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E A SRA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MARILIA NUNES DA SILVA</w:t>
      </w:r>
    </w:p>
    <w:p>
      <w:pPr>
        <w:pStyle w:val="Style10"/>
        <w:keepNext w:val="0"/>
        <w:keepLines w:val="0"/>
        <w:widowControl w:val="0"/>
        <w:shd w:val="clear" w:color="auto" w:fill="auto"/>
        <w:bidi w:val="0"/>
        <w:spacing w:before="0" w:after="300" w:line="240" w:lineRule="auto"/>
        <w:ind w:left="360" w:right="0" w:hanging="360"/>
        <w:jc w:val="both"/>
        <w:rPr>
          <w:sz w:val="22"/>
          <w:szCs w:val="22"/>
        </w:rPr>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Preâmbulo</w:t>
      </w:r>
    </w:p>
    <w:p>
      <w:pPr>
        <w:pStyle w:val="Style10"/>
        <w:keepNext w:val="0"/>
        <w:keepLines w:val="0"/>
        <w:widowControl w:val="0"/>
        <w:shd w:val="clear" w:color="auto" w:fill="auto"/>
        <w:bidi w:val="0"/>
        <w:spacing w:before="0" w:after="220" w:line="295"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O MUNICÍPIO DE JUTAÍ - PREFEITURA MUNICIPAL,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com sede à Rua Costa e Silva, n° 119-E,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69.660-000, Centro Jutaí - AM, inscrito no CNPJ sob n° 04.285.896/0001-53, doravante denominado simplesmente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CONTRATANTE,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neste ato representado pela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Prefeita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Municipal, senhora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MERCEDES MENDES VARGAS,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brasileira, residente e domiciliada na Rua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Mario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Andreazza, n° 730, bairro São José, Jutaí/AM, portadora da Cédula de Identidade RG sob o n° 1442255-7/SSP-AM, inscrita no CPF sob o n° 801.535.262-20, de acordo com atribuição de competência contida no art. 91 da Lei Orgânica do município; e a senhora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MARILIA NUNES DA SILVA,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inscrita no CPF sob o n° 347.441.182-91, portadora do RG n° 9287418 SSP/AM, residente e domiciliada na rua Lauro Sodre, n° 198, Adrianópolis,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69.057-490, Manaus/AM, doravante denominada simplesmente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CONTRATADA.</w:t>
      </w:r>
    </w:p>
    <w:p>
      <w:pPr>
        <w:pStyle w:val="Style10"/>
        <w:keepNext w:val="0"/>
        <w:keepLines w:val="0"/>
        <w:widowControl w:val="0"/>
        <w:shd w:val="clear" w:color="auto" w:fill="auto"/>
        <w:bidi w:val="0"/>
        <w:spacing w:before="0" w:after="30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Tendo em vista o que consta no Processo Administrativo n° 006/2025-SEMAD, e em observância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disposições da Lei n° 14.133/2021 e Decreto Municipal n° 013/2024, resolvem celebrar o presente Termo de Contrato, decorrente da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Dispensa de Licitação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n° 001/2025, </w:t>
      </w:r>
      <w:r>
        <w:rPr>
          <w:rFonts w:ascii="Times New Roman" w:eastAsia="Times New Roman" w:hAnsi="Times New Roman" w:cs="Times New Roman"/>
          <w:color w:val="000000"/>
          <w:spacing w:val="0"/>
          <w:w w:val="100"/>
          <w:position w:val="0"/>
          <w:shd w:val="clear" w:color="auto" w:fill="auto"/>
          <w:lang w:val="pt-PT" w:eastAsia="pt-PT" w:bidi="pt-PT"/>
        </w:rPr>
        <w:t>mediante as cláusulas e condições a seguir enunciadas:</w:t>
      </w:r>
    </w:p>
    <w:p>
      <w:pPr>
        <w:pStyle w:val="Style2"/>
        <w:keepNext/>
        <w:keepLines/>
        <w:widowControl w:val="0"/>
        <w:shd w:val="clear" w:color="auto" w:fill="auto"/>
        <w:bidi w:val="0"/>
        <w:spacing w:before="0" w:after="0"/>
        <w:ind w:right="0" w:hanging="360"/>
        <w:jc w:val="both"/>
      </w:pPr>
      <w:bookmarkStart w:id="1" w:name="bookmark1"/>
      <w:r>
        <w:rPr>
          <w:rFonts w:ascii="Times New Roman" w:eastAsia="Times New Roman" w:hAnsi="Times New Roman" w:cs="Times New Roman"/>
          <w:color w:val="000000"/>
          <w:spacing w:val="0"/>
          <w:w w:val="100"/>
          <w:position w:val="0"/>
          <w:shd w:val="clear" w:color="auto" w:fill="auto"/>
          <w:lang w:val="pt-PT" w:eastAsia="pt-PT" w:bidi="pt-PT"/>
        </w:rPr>
        <w:t>CLÁUSULA PRIMEIRA: DA LEGALIDADE</w:t>
      </w:r>
      <w:bookmarkEnd w:id="1"/>
    </w:p>
    <w:p>
      <w:pPr>
        <w:pStyle w:val="Style10"/>
        <w:keepNext w:val="0"/>
        <w:keepLines w:val="0"/>
        <w:widowControl w:val="0"/>
        <w:shd w:val="clear" w:color="auto" w:fill="auto"/>
        <w:bidi w:val="0"/>
        <w:spacing w:before="0" w:after="280"/>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1.1.0 presente contrato é firmado com base no artigo 75, inciso II da Lei n° 14.133/2021, que dispõe ser dispensável a licitação para contratação de bens e serviços, no limite do disposto na Lei Federal c/c os artigos 144 e seguintes do Decreto Municipal n° 013/2024- GP, que regulamentam as contratações diretas mediante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lang w:val="pt-PT" w:eastAsia="pt-PT" w:bidi="pt-PT"/>
        </w:rPr>
        <w:t>no âmbito do Município de Jutaí (AM), em atenção à Lei n° 14.133/2021.</w:t>
      </w:r>
    </w:p>
    <w:p>
      <w:pPr>
        <w:pStyle w:val="Style2"/>
        <w:keepNext/>
        <w:keepLines/>
        <w:widowControl w:val="0"/>
        <w:shd w:val="clear" w:color="auto" w:fill="auto"/>
        <w:bidi w:val="0"/>
        <w:spacing w:before="0" w:after="0"/>
        <w:ind w:right="0" w:hanging="360"/>
        <w:jc w:val="both"/>
      </w:pPr>
      <w:bookmarkStart w:id="2" w:name="bookmark2"/>
      <w:r>
        <w:rPr>
          <w:rFonts w:ascii="Times New Roman" w:eastAsia="Times New Roman" w:hAnsi="Times New Roman" w:cs="Times New Roman"/>
          <w:color w:val="000000"/>
          <w:spacing w:val="0"/>
          <w:w w:val="100"/>
          <w:position w:val="0"/>
          <w:shd w:val="clear" w:color="auto" w:fill="auto"/>
          <w:lang w:val="pt-PT" w:eastAsia="pt-PT" w:bidi="pt-PT"/>
        </w:rPr>
        <w:t>CLÁSULA SEGUNDA: ORIGEM DO CONTRATO</w:t>
      </w:r>
      <w:bookmarkEnd w:id="2"/>
    </w:p>
    <w:p>
      <w:pPr>
        <w:pStyle w:val="Style10"/>
        <w:keepNext w:val="0"/>
        <w:keepLines w:val="0"/>
        <w:widowControl w:val="0"/>
        <w:shd w:val="clear" w:color="auto" w:fill="auto"/>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2.1.0 presente contrato decorre do Processo Administrativo n° 006/2025 - SEMAD, referente a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lang w:val="pt-PT" w:eastAsia="pt-PT" w:bidi="pt-PT"/>
        </w:rPr>
        <w:t>n° 001/2025- CCSC/PMJ.</w:t>
      </w:r>
    </w:p>
    <w:p>
      <w:pPr>
        <w:pStyle w:val="Style10"/>
        <w:keepNext w:val="0"/>
        <w:keepLines w:val="0"/>
        <w:widowControl w:val="0"/>
        <w:numPr>
          <w:ilvl w:val="0"/>
          <w:numId w:val="1"/>
        </w:numPr>
        <w:shd w:val="clear" w:color="auto" w:fill="auto"/>
        <w:tabs>
          <w:tab w:pos="446" w:val="left"/>
        </w:tabs>
        <w:bidi w:val="0"/>
        <w:spacing w:before="0" w:after="26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São anexos a este instrumento e vinculam a esta contratação, independentemente de transcrição: o Termo de Referência (TR), Estudo Técnico Preliminar (ETP) e toda documentação relativa ao processo administrativo mencionado.</w:t>
      </w:r>
    </w:p>
    <w:p>
      <w:pPr>
        <w:pStyle w:val="Style2"/>
        <w:keepNext/>
        <w:keepLines/>
        <w:widowControl w:val="0"/>
        <w:shd w:val="clear" w:color="auto" w:fill="auto"/>
        <w:bidi w:val="0"/>
        <w:spacing w:before="0" w:after="0"/>
        <w:ind w:right="0" w:hanging="360"/>
        <w:jc w:val="both"/>
      </w:pPr>
      <w:bookmarkStart w:id="3" w:name="bookmark3"/>
      <w:r>
        <w:rPr>
          <w:rFonts w:ascii="Times New Roman" w:eastAsia="Times New Roman" w:hAnsi="Times New Roman" w:cs="Times New Roman"/>
          <w:color w:val="000000"/>
          <w:spacing w:val="0"/>
          <w:w w:val="100"/>
          <w:position w:val="0"/>
          <w:shd w:val="clear" w:color="auto" w:fill="auto"/>
          <w:lang w:val="pt-PT" w:eastAsia="pt-PT" w:bidi="pt-PT"/>
        </w:rPr>
        <w:t>CLÁUSULA TERCEIRA: DO OBJETO</w:t>
      </w:r>
      <w:bookmarkEnd w:id="3"/>
    </w:p>
    <w:p>
      <w:pPr>
        <w:pStyle w:val="Style10"/>
        <w:keepNext w:val="0"/>
        <w:keepLines w:val="0"/>
        <w:widowControl w:val="0"/>
        <w:shd w:val="clear" w:color="auto" w:fill="auto"/>
        <w:bidi w:val="0"/>
        <w:spacing w:before="0" w:after="0" w:line="283" w:lineRule="auto"/>
        <w:ind w:left="360" w:right="0" w:hanging="360"/>
        <w:jc w:val="both"/>
        <w:rPr>
          <w:sz w:val="22"/>
          <w:szCs w:val="22"/>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3.1.0 presente Termo de Contrato tem por objeto a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contratação de serviços de digitação, organização, classificação de documentos (faturas, recibos, relatórios financeiros) e apoio administrativo, com a finalidade de garantir que todas as informações financeiras estejam acessí-veis e bem estruturadas para Secretaria Municipal de Finanças do Município de Jutaí/AM.</w:t>
      </w:r>
    </w:p>
    <w:p>
      <w:pPr>
        <w:pStyle w:val="Style10"/>
        <w:keepNext w:val="0"/>
        <w:keepLines w:val="0"/>
        <w:widowControl w:val="0"/>
        <w:shd w:val="clear" w:color="auto" w:fill="auto"/>
        <w:bidi w:val="0"/>
        <w:spacing w:before="0" w:after="340"/>
        <w:ind w:left="360" w:right="0" w:hanging="360"/>
        <w:jc w:val="both"/>
        <w:rPr>
          <w:sz w:val="22"/>
          <w:szCs w:val="22"/>
        </w:rPr>
      </w:pPr>
      <w:r>
        <w:drawing>
          <wp:anchor distT="0" distB="0" distL="0" distR="0" simplePos="0" relativeHeight="125829378" behindDoc="0" locked="0" layoutInCell="1" allowOverlap="1">
            <wp:simplePos x="0" y="0"/>
            <wp:positionH relativeFrom="page">
              <wp:posOffset>4444365</wp:posOffset>
            </wp:positionH>
            <wp:positionV relativeFrom="paragraph">
              <wp:posOffset>330200</wp:posOffset>
            </wp:positionV>
            <wp:extent cx="2566670" cy="737870"/>
            <wp:wrapTight wrapText="bothSides">
              <wp:wrapPolygon>
                <wp:start x="0" y="0"/>
                <wp:lineTo x="21600" y="0"/>
                <wp:lineTo x="21600" y="21600"/>
                <wp:lineTo x="0" y="21600"/>
                <wp:lineTo x="0" y="0"/>
              </wp:wrapPolygon>
            </wp:wrapT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566670" cy="737870"/>
                    </a:xfrm>
                    <a:prstGeom prst="rect"/>
                  </pic:spPr>
                </pic:pic>
              </a:graphicData>
            </a:graphic>
          </wp:anchor>
        </w:drawing>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3.2.Os serviços serão executados conforme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detalhamento </w:t>
      </w:r>
      <w:r>
        <w:rPr>
          <w:rFonts w:ascii="Times New Roman" w:eastAsia="Times New Roman" w:hAnsi="Times New Roman" w:cs="Times New Roman"/>
          <w:color w:val="000000"/>
          <w:spacing w:val="0"/>
          <w:w w:val="100"/>
          <w:position w:val="0"/>
          <w:sz w:val="22"/>
          <w:szCs w:val="22"/>
          <w:shd w:val="clear" w:color="auto" w:fill="auto"/>
          <w:lang w:val="pt-PT" w:eastAsia="pt-PT" w:bidi="pt-PT"/>
        </w:rPr>
        <w:t>e condições constantes no Termo de Referência e seus anexos, que integram esta avença independente de transcrição e que se</w:t>
        <w:br w:type="page"/>
      </w:r>
      <w:r>
        <w:rPr>
          <w:rFonts w:ascii="Times New Roman" w:eastAsia="Times New Roman" w:hAnsi="Times New Roman" w:cs="Times New Roman"/>
          <w:color w:val="000000"/>
          <w:spacing w:val="0"/>
          <w:w w:val="100"/>
          <w:position w:val="0"/>
          <w:sz w:val="22"/>
          <w:szCs w:val="22"/>
          <w:shd w:val="clear" w:color="auto" w:fill="auto"/>
          <w:lang w:val="pt-PT" w:eastAsia="pt-PT" w:bidi="pt-PT"/>
        </w:rPr>
        <w:t>encontram rubricadas pelas partes para surtir todos os efeitos legais e jurídicos.</w:t>
      </w:r>
    </w:p>
    <w:p>
      <w:pPr>
        <w:pStyle w:val="Style10"/>
        <w:keepNext w:val="0"/>
        <w:keepLines w:val="0"/>
        <w:widowControl w:val="0"/>
        <w:shd w:val="clear" w:color="auto" w:fill="auto"/>
        <w:bidi w:val="0"/>
        <w:spacing w:before="0" w:after="340" w:line="240" w:lineRule="auto"/>
        <w:ind w:left="720" w:right="0" w:hanging="72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CLÁUSULA QUARTA: DO VALOR DO CONTRATO E DA FORMA DE PAGAMENTO</w:t>
      </w:r>
    </w:p>
    <w:p>
      <w:pPr>
        <w:pStyle w:val="Style10"/>
        <w:keepNext w:val="0"/>
        <w:keepLines w:val="0"/>
        <w:widowControl w:val="0"/>
        <w:numPr>
          <w:ilvl w:val="0"/>
          <w:numId w:val="3"/>
        </w:numPr>
        <w:shd w:val="clear" w:color="auto" w:fill="auto"/>
        <w:tabs>
          <w:tab w:pos="505" w:val="left"/>
        </w:tabs>
        <w:bidi w:val="0"/>
        <w:spacing w:before="0" w:after="0" w:line="276" w:lineRule="auto"/>
        <w:ind w:left="720" w:right="0" w:hanging="72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 valor do contrato:</w:t>
      </w:r>
    </w:p>
    <w:p>
      <w:pPr>
        <w:pStyle w:val="Style10"/>
        <w:keepNext w:val="0"/>
        <w:keepLines w:val="0"/>
        <w:widowControl w:val="0"/>
        <w:numPr>
          <w:ilvl w:val="0"/>
          <w:numId w:val="5"/>
        </w:numPr>
        <w:shd w:val="clear" w:color="auto" w:fill="auto"/>
        <w:tabs>
          <w:tab w:pos="732" w:val="left"/>
        </w:tabs>
        <w:bidi w:val="0"/>
        <w:spacing w:before="0" w:after="0" w:line="240" w:lineRule="auto"/>
        <w:ind w:left="720" w:right="0" w:hanging="720"/>
        <w:jc w:val="both"/>
        <w:rPr>
          <w:sz w:val="22"/>
          <w:szCs w:val="22"/>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O valor global do contrato é de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R$ 60.041,63 (sessenta mil, quarenta e um reais e sessenta e três centavos),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sendo 11 (onze) parcelas mensais no valor de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R$ 5.458,33 (cinco mil, quatrocentos e cinquenta e oito reais e trinta e três centavos).</w:t>
      </w:r>
    </w:p>
    <w:p>
      <w:pPr>
        <w:pStyle w:val="Style10"/>
        <w:keepNext w:val="0"/>
        <w:keepLines w:val="0"/>
        <w:widowControl w:val="0"/>
        <w:numPr>
          <w:ilvl w:val="0"/>
          <w:numId w:val="5"/>
        </w:numPr>
        <w:shd w:val="clear" w:color="auto" w:fill="auto"/>
        <w:tabs>
          <w:tab w:pos="732" w:val="left"/>
        </w:tabs>
        <w:bidi w:val="0"/>
        <w:spacing w:before="0" w:after="0" w:line="298" w:lineRule="auto"/>
        <w:ind w:left="72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Style2"/>
        <w:keepNext/>
        <w:keepLines/>
        <w:widowControl w:val="0"/>
        <w:numPr>
          <w:ilvl w:val="0"/>
          <w:numId w:val="3"/>
        </w:numPr>
        <w:shd w:val="clear" w:color="auto" w:fill="auto"/>
        <w:tabs>
          <w:tab w:pos="673" w:val="left"/>
        </w:tabs>
        <w:bidi w:val="0"/>
        <w:spacing w:before="0" w:after="0"/>
        <w:ind w:left="720" w:right="0" w:hanging="720"/>
        <w:jc w:val="both"/>
      </w:pPr>
      <w:bookmarkStart w:id="4" w:name="bookmark4"/>
      <w:r>
        <w:rPr>
          <w:rFonts w:ascii="Times New Roman" w:eastAsia="Times New Roman" w:hAnsi="Times New Roman" w:cs="Times New Roman"/>
          <w:color w:val="000000"/>
          <w:spacing w:val="0"/>
          <w:w w:val="100"/>
          <w:position w:val="0"/>
          <w:shd w:val="clear" w:color="auto" w:fill="auto"/>
          <w:lang w:val="pt-PT" w:eastAsia="pt-PT" w:bidi="pt-PT"/>
        </w:rPr>
        <w:t>Forma de Pagamento:</w:t>
      </w:r>
      <w:bookmarkEnd w:id="4"/>
    </w:p>
    <w:p>
      <w:pPr>
        <w:pStyle w:val="Style10"/>
        <w:keepNext w:val="0"/>
        <w:keepLines w:val="0"/>
        <w:widowControl w:val="0"/>
        <w:shd w:val="clear" w:color="auto" w:fill="auto"/>
        <w:bidi w:val="0"/>
        <w:spacing w:before="0" w:after="0"/>
        <w:ind w:left="720" w:right="0" w:hanging="560"/>
        <w:jc w:val="both"/>
      </w:pP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4.2.1.0 </w:t>
      </w:r>
      <w:r>
        <w:rPr>
          <w:rFonts w:ascii="Times New Roman" w:eastAsia="Times New Roman" w:hAnsi="Times New Roman" w:cs="Times New Roman"/>
          <w:color w:val="000000"/>
          <w:spacing w:val="0"/>
          <w:w w:val="100"/>
          <w:position w:val="0"/>
          <w:shd w:val="clear" w:color="auto" w:fill="auto"/>
          <w:lang w:val="pt-PT" w:eastAsia="pt-PT" w:bidi="pt-PT"/>
        </w:rPr>
        <w:t>pagamento será realizado através de ordem bancária, para crédito em banco, agência e conta corrente indicados pelo contratado.</w:t>
      </w:r>
    </w:p>
    <w:p>
      <w:pPr>
        <w:pStyle w:val="Style10"/>
        <w:keepNext w:val="0"/>
        <w:keepLines w:val="0"/>
        <w:widowControl w:val="0"/>
        <w:numPr>
          <w:ilvl w:val="0"/>
          <w:numId w:val="7"/>
        </w:numPr>
        <w:shd w:val="clear" w:color="auto" w:fill="auto"/>
        <w:tabs>
          <w:tab w:pos="732" w:val="left"/>
        </w:tabs>
        <w:bidi w:val="0"/>
        <w:spacing w:before="0" w:after="0" w:line="288" w:lineRule="auto"/>
        <w:ind w:left="720" w:right="0" w:hanging="72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O pagamento será efetuado mensalmente, até o 5</w:t>
      </w:r>
      <w:r>
        <w:rPr>
          <w:rFonts w:ascii="Times New Roman" w:eastAsia="Times New Roman" w:hAnsi="Times New Roman" w:cs="Times New Roman"/>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 (quinto) dia útil subsequente ao mês de prestação dos serviços, na quantia mensal.</w:t>
      </w:r>
    </w:p>
    <w:p>
      <w:pPr>
        <w:pStyle w:val="Style10"/>
        <w:keepNext w:val="0"/>
        <w:keepLines w:val="0"/>
        <w:widowControl w:val="0"/>
        <w:numPr>
          <w:ilvl w:val="0"/>
          <w:numId w:val="7"/>
        </w:numPr>
        <w:shd w:val="clear" w:color="auto" w:fill="auto"/>
        <w:tabs>
          <w:tab w:pos="732" w:val="left"/>
        </w:tabs>
        <w:bidi w:val="0"/>
        <w:spacing w:before="0" w:after="0" w:line="276" w:lineRule="auto"/>
        <w:ind w:left="720" w:right="0" w:hanging="720"/>
        <w:jc w:val="both"/>
        <w:rPr>
          <w:sz w:val="22"/>
          <w:szCs w:val="22"/>
        </w:rPr>
      </w:pPr>
      <w:r>
        <w:rPr>
          <w:rFonts w:ascii="Times New Roman" w:eastAsia="Times New Roman" w:hAnsi="Times New Roman" w:cs="Times New Roman"/>
          <w:b/>
          <w:bCs/>
          <w:color w:val="000000"/>
          <w:spacing w:val="0"/>
          <w:w w:val="100"/>
          <w:position w:val="0"/>
          <w:sz w:val="22"/>
          <w:szCs w:val="22"/>
          <w:u w:val="single"/>
          <w:shd w:val="clear" w:color="auto" w:fill="auto"/>
          <w:lang w:val="pt-PT" w:eastAsia="pt-PT" w:bidi="pt-PT"/>
        </w:rPr>
        <w:t>Dados Bancários para recebimento do pagamento: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2"/>
          <w:szCs w:val="22"/>
          <w:shd w:val="clear" w:color="auto" w:fill="auto"/>
          <w:lang w:val="pt-PT" w:eastAsia="pt-PT" w:bidi="pt-PT"/>
        </w:rPr>
        <w:t>Instituição: Banco Bradesco,</w:t>
      </w:r>
    </w:p>
    <w:p>
      <w:pPr>
        <w:pStyle w:val="Style10"/>
        <w:keepNext w:val="0"/>
        <w:keepLines w:val="0"/>
        <w:widowControl w:val="0"/>
        <w:shd w:val="clear" w:color="auto" w:fill="auto"/>
        <w:bidi w:val="0"/>
        <w:spacing w:before="0" w:after="0" w:line="276" w:lineRule="auto"/>
        <w:ind w:left="1100" w:right="0" w:hanging="36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Agência n° 0320, Conta Corrente n° 669032-7, Titular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MAR1LIA NUNES DA SILVA.</w:t>
      </w:r>
    </w:p>
    <w:p>
      <w:pPr>
        <w:pStyle w:val="Style2"/>
        <w:keepNext/>
        <w:keepLines/>
        <w:widowControl w:val="0"/>
        <w:numPr>
          <w:ilvl w:val="0"/>
          <w:numId w:val="3"/>
        </w:numPr>
        <w:shd w:val="clear" w:color="auto" w:fill="auto"/>
        <w:tabs>
          <w:tab w:pos="709" w:val="left"/>
        </w:tabs>
        <w:bidi w:val="0"/>
        <w:spacing w:before="0" w:after="0"/>
        <w:ind w:left="720" w:right="0" w:hanging="720"/>
        <w:jc w:val="both"/>
      </w:pPr>
      <w:bookmarkStart w:id="5" w:name="bookmark5"/>
      <w:r>
        <w:rPr>
          <w:rFonts w:ascii="Times New Roman" w:eastAsia="Times New Roman" w:hAnsi="Times New Roman" w:cs="Times New Roman"/>
          <w:color w:val="000000"/>
          <w:spacing w:val="0"/>
          <w:w w:val="100"/>
          <w:position w:val="0"/>
          <w:shd w:val="clear" w:color="auto" w:fill="auto"/>
          <w:lang w:val="pt-PT" w:eastAsia="pt-PT" w:bidi="pt-PT"/>
        </w:rPr>
        <w:t>Condições de Pagamento:</w:t>
      </w:r>
      <w:bookmarkEnd w:id="5"/>
    </w:p>
    <w:p>
      <w:pPr>
        <w:pStyle w:val="Style10"/>
        <w:keepNext w:val="0"/>
        <w:keepLines w:val="0"/>
        <w:widowControl w:val="0"/>
        <w:numPr>
          <w:ilvl w:val="0"/>
          <w:numId w:val="9"/>
        </w:numPr>
        <w:shd w:val="clear" w:color="auto" w:fill="auto"/>
        <w:tabs>
          <w:tab w:pos="821" w:val="left"/>
        </w:tabs>
        <w:bidi w:val="0"/>
        <w:spacing w:before="0" w:after="0" w:line="264" w:lineRule="auto"/>
        <w:ind w:left="72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A emissão da Nota Fiscal/Fatura será precedida do recebimento definitivo do objeto da contratação, conforme disposto neste instrumento</w:t>
      </w:r>
    </w:p>
    <w:p>
      <w:pPr>
        <w:pStyle w:val="Style10"/>
        <w:keepNext w:val="0"/>
        <w:keepLines w:val="0"/>
        <w:widowControl w:val="0"/>
        <w:shd w:val="clear" w:color="auto" w:fill="auto"/>
        <w:bidi w:val="0"/>
        <w:spacing w:before="0" w:after="0" w:line="264" w:lineRule="auto"/>
        <w:ind w:left="72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4.3.2.0 setor competente para proceder o pagamento deve verificar se a Nota Fiscal ou Fatura apresentada expressa os elementos necessários e essenciais do documento, tais como:</w:t>
      </w:r>
    </w:p>
    <w:p>
      <w:pPr>
        <w:pStyle w:val="Style10"/>
        <w:keepNext w:val="0"/>
        <w:keepLines w:val="0"/>
        <w:widowControl w:val="0"/>
        <w:numPr>
          <w:ilvl w:val="0"/>
          <w:numId w:val="11"/>
        </w:numPr>
        <w:shd w:val="clear" w:color="auto" w:fill="auto"/>
        <w:tabs>
          <w:tab w:pos="1135" w:val="left"/>
        </w:tabs>
        <w:bidi w:val="0"/>
        <w:spacing w:before="0" w:after="0" w:line="276" w:lineRule="auto"/>
        <w:ind w:left="110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o prazo de validade;</w:t>
      </w:r>
    </w:p>
    <w:p>
      <w:pPr>
        <w:pStyle w:val="Style10"/>
        <w:keepNext w:val="0"/>
        <w:keepLines w:val="0"/>
        <w:widowControl w:val="0"/>
        <w:numPr>
          <w:ilvl w:val="0"/>
          <w:numId w:val="11"/>
        </w:numPr>
        <w:shd w:val="clear" w:color="auto" w:fill="auto"/>
        <w:tabs>
          <w:tab w:pos="1135" w:val="left"/>
        </w:tabs>
        <w:bidi w:val="0"/>
        <w:spacing w:before="0" w:after="0" w:line="305" w:lineRule="auto"/>
        <w:ind w:left="110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a data da emissão;</w:t>
      </w:r>
    </w:p>
    <w:p>
      <w:pPr>
        <w:pStyle w:val="Style10"/>
        <w:keepNext w:val="0"/>
        <w:keepLines w:val="0"/>
        <w:widowControl w:val="0"/>
        <w:numPr>
          <w:ilvl w:val="0"/>
          <w:numId w:val="11"/>
        </w:numPr>
        <w:shd w:val="clear" w:color="auto" w:fill="auto"/>
        <w:tabs>
          <w:tab w:pos="1135" w:val="left"/>
        </w:tabs>
        <w:bidi w:val="0"/>
        <w:spacing w:before="0" w:after="0" w:line="276" w:lineRule="auto"/>
        <w:ind w:left="72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os dados do contrato e do órgão contratante;</w:t>
      </w:r>
    </w:p>
    <w:p>
      <w:pPr>
        <w:pStyle w:val="Style10"/>
        <w:keepNext w:val="0"/>
        <w:keepLines w:val="0"/>
        <w:widowControl w:val="0"/>
        <w:numPr>
          <w:ilvl w:val="0"/>
          <w:numId w:val="11"/>
        </w:numPr>
        <w:shd w:val="clear" w:color="auto" w:fill="auto"/>
        <w:tabs>
          <w:tab w:pos="1135" w:val="left"/>
        </w:tabs>
        <w:bidi w:val="0"/>
        <w:spacing w:before="0" w:after="0" w:line="305" w:lineRule="auto"/>
        <w:ind w:left="72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o período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lang w:val="pt-PT" w:eastAsia="pt-PT" w:bidi="pt-PT"/>
        </w:rPr>
        <w:t>de execução do contrato;</w:t>
      </w:r>
    </w:p>
    <w:p>
      <w:pPr>
        <w:pStyle w:val="Style10"/>
        <w:keepNext w:val="0"/>
        <w:keepLines w:val="0"/>
        <w:widowControl w:val="0"/>
        <w:numPr>
          <w:ilvl w:val="0"/>
          <w:numId w:val="11"/>
        </w:numPr>
        <w:shd w:val="clear" w:color="auto" w:fill="auto"/>
        <w:tabs>
          <w:tab w:pos="1135" w:val="left"/>
        </w:tabs>
        <w:bidi w:val="0"/>
        <w:spacing w:before="0" w:after="0" w:line="276" w:lineRule="auto"/>
        <w:ind w:left="110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o valor a pagar; e</w:t>
      </w:r>
    </w:p>
    <w:p>
      <w:pPr>
        <w:pStyle w:val="Style10"/>
        <w:keepNext w:val="0"/>
        <w:keepLines w:val="0"/>
        <w:widowControl w:val="0"/>
        <w:numPr>
          <w:ilvl w:val="0"/>
          <w:numId w:val="11"/>
        </w:numPr>
        <w:shd w:val="clear" w:color="auto" w:fill="auto"/>
        <w:tabs>
          <w:tab w:pos="1135" w:val="left"/>
        </w:tabs>
        <w:bidi w:val="0"/>
        <w:spacing w:before="0" w:after="0" w:line="305" w:lineRule="auto"/>
        <w:ind w:left="72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eventual destaque do valor de retenções tributárias cabíveis.</w:t>
      </w:r>
    </w:p>
    <w:p>
      <w:pPr>
        <w:pStyle w:val="Style10"/>
        <w:keepNext w:val="0"/>
        <w:keepLines w:val="0"/>
        <w:widowControl w:val="0"/>
        <w:numPr>
          <w:ilvl w:val="0"/>
          <w:numId w:val="13"/>
        </w:numPr>
        <w:shd w:val="clear" w:color="auto" w:fill="auto"/>
        <w:tabs>
          <w:tab w:pos="863" w:val="left"/>
        </w:tabs>
        <w:bidi w:val="0"/>
        <w:spacing w:before="0" w:after="0" w:line="305" w:lineRule="auto"/>
        <w:ind w:left="72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para a contratante;</w:t>
      </w:r>
    </w:p>
    <w:p>
      <w:pPr>
        <w:pStyle w:val="Style10"/>
        <w:keepNext w:val="0"/>
        <w:keepLines w:val="0"/>
        <w:widowControl w:val="0"/>
        <w:numPr>
          <w:ilvl w:val="0"/>
          <w:numId w:val="13"/>
        </w:numPr>
        <w:shd w:val="clear" w:color="auto" w:fill="auto"/>
        <w:tabs>
          <w:tab w:pos="863" w:val="left"/>
        </w:tabs>
        <w:bidi w:val="0"/>
        <w:spacing w:before="0" w:after="0" w:line="305" w:lineRule="auto"/>
        <w:ind w:left="72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Nota Fiscal ou Fatura deverá ser obrigatoriamente acompanhada da comprovação da regularidade fiscal, constatada por meio de consulta </w:t>
      </w:r>
      <w:r>
        <w:rPr>
          <w:rFonts w:ascii="Times New Roman" w:eastAsia="Times New Roman" w:hAnsi="Times New Roman" w:cs="Times New Roman"/>
          <w:color w:val="000000"/>
          <w:spacing w:val="0"/>
          <w:w w:val="100"/>
          <w:position w:val="0"/>
          <w:shd w:val="clear" w:color="auto" w:fill="auto"/>
          <w:lang w:val="pt-BR" w:eastAsia="pt-BR" w:bidi="pt-BR"/>
        </w:rPr>
        <w:t xml:space="preserve">on-line, </w:t>
      </w:r>
      <w:r>
        <w:rPr>
          <w:rFonts w:ascii="Times New Roman" w:eastAsia="Times New Roman" w:hAnsi="Times New Roman" w:cs="Times New Roman"/>
          <w:color w:val="000000"/>
          <w:spacing w:val="0"/>
          <w:w w:val="100"/>
          <w:position w:val="0"/>
          <w:shd w:val="clear" w:color="auto" w:fill="auto"/>
          <w:lang w:val="pt-PT" w:eastAsia="pt-PT" w:bidi="pt-PT"/>
        </w:rPr>
        <w:t xml:space="preserve">mediante consulta aos sítios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eletrônicos </w:t>
      </w:r>
      <w:r>
        <w:rPr>
          <w:rFonts w:ascii="Times New Roman" w:eastAsia="Times New Roman" w:hAnsi="Times New Roman" w:cs="Times New Roman"/>
          <w:color w:val="000000"/>
          <w:spacing w:val="0"/>
          <w:w w:val="100"/>
          <w:position w:val="0"/>
          <w:shd w:val="clear" w:color="auto" w:fill="auto"/>
          <w:lang w:val="pt-PT" w:eastAsia="pt-PT" w:bidi="pt-PT"/>
        </w:rPr>
        <w:t>oficiais ou à documentação mencionada no art. 68 da Lei N° 14.133/2021.</w:t>
      </w:r>
    </w:p>
    <w:p>
      <w:pPr>
        <w:pStyle w:val="Style10"/>
        <w:keepNext w:val="0"/>
        <w:keepLines w:val="0"/>
        <w:widowControl w:val="0"/>
        <w:numPr>
          <w:ilvl w:val="0"/>
          <w:numId w:val="13"/>
        </w:numPr>
        <w:shd w:val="clear" w:color="auto" w:fill="auto"/>
        <w:tabs>
          <w:tab w:pos="863" w:val="left"/>
        </w:tabs>
        <w:bidi w:val="0"/>
        <w:spacing w:before="0" w:after="0" w:line="307" w:lineRule="auto"/>
        <w:ind w:left="720" w:right="0" w:hanging="5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à emissão de nota de empenho e a cada pagamento, a Administração deverá realizar consulta para:</w:t>
      </w:r>
    </w:p>
    <w:p>
      <w:pPr>
        <w:pStyle w:val="Style10"/>
        <w:keepNext w:val="0"/>
        <w:keepLines w:val="0"/>
        <w:widowControl w:val="0"/>
        <w:numPr>
          <w:ilvl w:val="0"/>
          <w:numId w:val="15"/>
        </w:numPr>
        <w:shd w:val="clear" w:color="auto" w:fill="auto"/>
        <w:tabs>
          <w:tab w:pos="1135" w:val="left"/>
        </w:tabs>
        <w:bidi w:val="0"/>
        <w:spacing w:before="0" w:after="0" w:line="307" w:lineRule="auto"/>
        <w:ind w:left="72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verificar a manutenção das condições de habilitação exigidas na contratação;</w:t>
      </w:r>
    </w:p>
    <w:p>
      <w:pPr>
        <w:pStyle w:val="Style10"/>
        <w:keepNext w:val="0"/>
        <w:keepLines w:val="0"/>
        <w:widowControl w:val="0"/>
        <w:numPr>
          <w:ilvl w:val="0"/>
          <w:numId w:val="15"/>
        </w:numPr>
        <w:shd w:val="clear" w:color="auto" w:fill="auto"/>
        <w:tabs>
          <w:tab w:pos="1135" w:val="left"/>
        </w:tabs>
        <w:bidi w:val="0"/>
        <w:spacing w:before="0" w:after="0" w:line="307" w:lineRule="auto"/>
        <w:ind w:left="110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identificar possível razão que impeça a participação em contratações, no âmbito do órgão ou entidade, proibição de contratar com o Poder Público, bem como ocorrências impeditivas indiretas.</w:t>
      </w:r>
    </w:p>
    <w:p>
      <w:pPr>
        <w:pStyle w:val="Style10"/>
        <w:keepNext w:val="0"/>
        <w:keepLines w:val="0"/>
        <w:widowControl w:val="0"/>
        <w:numPr>
          <w:ilvl w:val="0"/>
          <w:numId w:val="13"/>
        </w:numPr>
        <w:shd w:val="clear" w:color="auto" w:fill="auto"/>
        <w:tabs>
          <w:tab w:pos="869" w:val="left"/>
        </w:tabs>
        <w:bidi w:val="0"/>
        <w:spacing w:before="0" w:after="0" w:line="305" w:lineRule="auto"/>
        <w:ind w:left="720" w:right="0" w:hanging="560"/>
        <w:jc w:val="both"/>
        <w:sectPr>
          <w:headerReference w:type="default" r:id="rId7"/>
          <w:headerReference w:type="even" r:id="rId8"/>
          <w:headerReference w:type="first" r:id="rId9"/>
          <w:footnotePr>
            <w:pos w:val="pageBottom"/>
            <w:numFmt w:val="decimal"/>
            <w:numRestart w:val="continuous"/>
          </w:footnotePr>
          <w:pgSz w:w="11900" w:h="16840"/>
          <w:pgMar w:top="1653" w:left="1305" w:right="1458" w:bottom="1423" w:header="0" w:footer="3" w:gutter="0"/>
          <w:pgNumType w:start="1"/>
          <w:cols w:space="720"/>
          <w:noEndnote/>
          <w:titlePg/>
          <w:rtlGutter w:val="0"/>
          <w:docGrid w:linePitch="360"/>
        </w:sectPr>
      </w:pPr>
      <w:r>
        <w:drawing>
          <wp:anchor distT="0" distB="0" distL="114300" distR="114300" simplePos="0" relativeHeight="125829379" behindDoc="0" locked="0" layoutInCell="1" allowOverlap="1">
            <wp:simplePos x="0" y="0"/>
            <wp:positionH relativeFrom="page">
              <wp:posOffset>4349115</wp:posOffset>
            </wp:positionH>
            <wp:positionV relativeFrom="margin">
              <wp:posOffset>8743950</wp:posOffset>
            </wp:positionV>
            <wp:extent cx="2249170" cy="78041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0"/>
                    <a:stretch/>
                  </pic:blipFill>
                  <pic:spPr>
                    <a:xfrm>
                      <a:ext cx="2249170" cy="780415"/>
                    </a:xfrm>
                    <a:prstGeom prst="rect"/>
                  </pic:spPr>
                </pic:pic>
              </a:graphicData>
            </a:graphic>
          </wp:anchor>
        </w:drawing>
      </w:r>
      <w:r>
        <w:drawing>
          <wp:anchor distT="0" distB="0" distL="25400" distR="25400" simplePos="0" relativeHeight="125829380" behindDoc="0" locked="0" layoutInCell="1" allowOverlap="1">
            <wp:simplePos x="0" y="0"/>
            <wp:positionH relativeFrom="page">
              <wp:posOffset>6718935</wp:posOffset>
            </wp:positionH>
            <wp:positionV relativeFrom="margin">
              <wp:posOffset>8698230</wp:posOffset>
            </wp:positionV>
            <wp:extent cx="365760" cy="567055"/>
            <wp:wrapSquare wrapText="bothSides"/>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2"/>
                    <a:stretch/>
                  </pic:blipFill>
                  <pic:spPr>
                    <a:xfrm>
                      <a:ext cx="365760" cy="56705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w:t>
      </w:r>
    </w:p>
    <w:p>
      <w:pPr>
        <w:pStyle w:val="Style10"/>
        <w:keepNext w:val="0"/>
        <w:keepLines w:val="0"/>
        <w:widowControl w:val="0"/>
        <w:shd w:val="clear" w:color="auto" w:fill="auto"/>
        <w:tabs>
          <w:tab w:pos="869" w:val="left"/>
        </w:tabs>
        <w:bidi w:val="0"/>
        <w:spacing w:before="0" w:after="0" w:line="305" w:lineRule="auto"/>
        <w:ind w:left="7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da contratante.</w:t>
      </w:r>
    </w:p>
    <w:p>
      <w:pPr>
        <w:pStyle w:val="Style10"/>
        <w:keepNext w:val="0"/>
        <w:keepLines w:val="0"/>
        <w:widowControl w:val="0"/>
        <w:numPr>
          <w:ilvl w:val="0"/>
          <w:numId w:val="13"/>
        </w:numPr>
        <w:shd w:val="clear" w:color="auto" w:fill="auto"/>
        <w:tabs>
          <w:tab w:pos="807" w:val="left"/>
        </w:tabs>
        <w:bidi w:val="0"/>
        <w:spacing w:before="0" w:after="0" w:line="305" w:lineRule="auto"/>
        <w:ind w:left="720" w:right="0" w:hanging="5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Não havendo regularização ou sendo a defesa considerada improcedente, a contratante deverá comunicar aos órgãos responsáveis pela fiscalização da regularidade fiscal quanto à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da contratada, bem como quanto à existência de pagamento a ser efetuado, para que sejam acionados os meios pertinentes e necessários para garantir o recebimento de seus créditos.</w:t>
      </w:r>
    </w:p>
    <w:p>
      <w:pPr>
        <w:pStyle w:val="Style10"/>
        <w:keepNext w:val="0"/>
        <w:keepLines w:val="0"/>
        <w:widowControl w:val="0"/>
        <w:numPr>
          <w:ilvl w:val="0"/>
          <w:numId w:val="13"/>
        </w:numPr>
        <w:shd w:val="clear" w:color="auto" w:fill="auto"/>
        <w:tabs>
          <w:tab w:pos="807" w:val="left"/>
        </w:tabs>
        <w:bidi w:val="0"/>
        <w:spacing w:before="0" w:after="0" w:line="295" w:lineRule="auto"/>
        <w:ind w:left="720" w:right="0" w:hanging="580"/>
        <w:jc w:val="both"/>
      </w:pPr>
      <w:r>
        <w:rPr>
          <w:rFonts w:ascii="Times New Roman" w:eastAsia="Times New Roman" w:hAnsi="Times New Roman" w:cs="Times New Roman"/>
          <w:color w:val="000000"/>
          <w:spacing w:val="0"/>
          <w:w w:val="100"/>
          <w:position w:val="0"/>
          <w:shd w:val="clear" w:color="auto" w:fill="auto"/>
          <w:lang w:val="pt-PT" w:eastAsia="pt-PT" w:bidi="pt-PT"/>
        </w:rPr>
        <w:t>Persistindo a irregularidade, a contratante deverá adotar as medidas necessárias à rescisão contratual nos autos do processo administrativo correspondente, assegurada à contratada a ampla defesa.</w:t>
      </w:r>
    </w:p>
    <w:p>
      <w:pPr>
        <w:pStyle w:val="Style10"/>
        <w:keepNext w:val="0"/>
        <w:keepLines w:val="0"/>
        <w:widowControl w:val="0"/>
        <w:numPr>
          <w:ilvl w:val="0"/>
          <w:numId w:val="13"/>
        </w:numPr>
        <w:shd w:val="clear" w:color="auto" w:fill="auto"/>
        <w:tabs>
          <w:tab w:pos="807" w:val="left"/>
        </w:tabs>
        <w:bidi w:val="0"/>
        <w:spacing w:before="0" w:after="0" w:line="286" w:lineRule="auto"/>
        <w:ind w:left="720" w:right="0" w:hanging="580"/>
        <w:jc w:val="both"/>
      </w:pPr>
      <w:r>
        <w:rPr>
          <w:rFonts w:ascii="Times New Roman" w:eastAsia="Times New Roman" w:hAnsi="Times New Roman" w:cs="Times New Roman"/>
          <w:color w:val="000000"/>
          <w:spacing w:val="0"/>
          <w:w w:val="100"/>
          <w:position w:val="0"/>
          <w:shd w:val="clear" w:color="auto" w:fill="auto"/>
          <w:lang w:val="pt-PT" w:eastAsia="pt-PT" w:bidi="pt-PT"/>
        </w:rPr>
        <w:t>Havendo a efetiva execução do objeto, os pagamentos serão realizados normalmente, até que se decida pela rescisão do contrato, caso a contratada não regularize sua situação.</w:t>
      </w:r>
    </w:p>
    <w:p>
      <w:pPr>
        <w:pStyle w:val="Style10"/>
        <w:keepNext w:val="0"/>
        <w:keepLines w:val="0"/>
        <w:widowControl w:val="0"/>
        <w:numPr>
          <w:ilvl w:val="0"/>
          <w:numId w:val="13"/>
        </w:numPr>
        <w:shd w:val="clear" w:color="auto" w:fill="auto"/>
        <w:tabs>
          <w:tab w:pos="1439" w:val="left"/>
        </w:tabs>
        <w:bidi w:val="0"/>
        <w:spacing w:before="0" w:after="0" w:line="293" w:lineRule="auto"/>
        <w:ind w:left="720" w:right="0" w:hanging="580"/>
        <w:jc w:val="both"/>
      </w:pPr>
      <w:r>
        <w:rPr>
          <w:rFonts w:ascii="Times New Roman" w:eastAsia="Times New Roman" w:hAnsi="Times New Roman" w:cs="Times New Roman"/>
          <w:color w:val="000000"/>
          <w:spacing w:val="0"/>
          <w:w w:val="100"/>
          <w:position w:val="0"/>
          <w:shd w:val="clear" w:color="auto" w:fill="auto"/>
          <w:lang w:val="pt-PT" w:eastAsia="pt-PT" w:bidi="pt-PT"/>
        </w:rPr>
        <w:t>Quando do pagamento, será efetuada a retenção tributária prevista na legislação aplicável.</w:t>
      </w:r>
    </w:p>
    <w:p>
      <w:pPr>
        <w:pStyle w:val="Style10"/>
        <w:keepNext w:val="0"/>
        <w:keepLines w:val="0"/>
        <w:widowControl w:val="0"/>
        <w:numPr>
          <w:ilvl w:val="0"/>
          <w:numId w:val="17"/>
        </w:numPr>
        <w:shd w:val="clear" w:color="auto" w:fill="auto"/>
        <w:tabs>
          <w:tab w:pos="1439" w:val="left"/>
        </w:tabs>
        <w:bidi w:val="0"/>
        <w:spacing w:before="0" w:after="0" w:line="300" w:lineRule="auto"/>
        <w:ind w:left="860" w:right="0" w:hanging="720"/>
        <w:jc w:val="left"/>
      </w:pPr>
      <w:r>
        <w:rPr>
          <w:rFonts w:ascii="Times New Roman" w:eastAsia="Times New Roman" w:hAnsi="Times New Roman" w:cs="Times New Roman"/>
          <w:color w:val="000000"/>
          <w:spacing w:val="0"/>
          <w:w w:val="100"/>
          <w:position w:val="0"/>
          <w:shd w:val="clear" w:color="auto" w:fill="auto"/>
          <w:lang w:val="pt-PT" w:eastAsia="pt-PT" w:bidi="pt-PT"/>
        </w:rPr>
        <w:t>Independentemente do percentual de tributo inserido na planilha, no pagamento serão retidos na fonte os percentuais estabelecidos na legislação vigente.</w:t>
      </w:r>
    </w:p>
    <w:p>
      <w:pPr>
        <w:pStyle w:val="Style10"/>
        <w:keepNext w:val="0"/>
        <w:keepLines w:val="0"/>
        <w:widowControl w:val="0"/>
        <w:numPr>
          <w:ilvl w:val="0"/>
          <w:numId w:val="13"/>
        </w:numPr>
        <w:shd w:val="clear" w:color="auto" w:fill="auto"/>
        <w:tabs>
          <w:tab w:pos="793" w:val="left"/>
        </w:tabs>
        <w:bidi w:val="0"/>
        <w:spacing w:before="0" w:after="300" w:line="300" w:lineRule="auto"/>
        <w:ind w:left="720" w:right="0" w:hanging="72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A contratada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regularmente </w:t>
      </w:r>
      <w:r>
        <w:rPr>
          <w:rFonts w:ascii="Times New Roman" w:eastAsia="Times New Roman" w:hAnsi="Times New Roman" w:cs="Times New Roman"/>
          <w:color w:val="000000"/>
          <w:spacing w:val="0"/>
          <w:w w:val="100"/>
          <w:position w:val="0"/>
          <w:sz w:val="22"/>
          <w:szCs w:val="22"/>
          <w:shd w:val="clear" w:color="auto" w:fill="auto"/>
          <w:lang w:val="pt-PT" w:eastAsia="pt-PT" w:bidi="pt-PT"/>
        </w:rPr>
        <w:t>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Style2"/>
        <w:keepNext/>
        <w:keepLines/>
        <w:widowControl w:val="0"/>
        <w:shd w:val="clear" w:color="auto" w:fill="auto"/>
        <w:bidi w:val="0"/>
        <w:spacing w:before="0" w:after="300"/>
        <w:ind w:right="0" w:hanging="360"/>
        <w:jc w:val="both"/>
      </w:pPr>
      <w:bookmarkStart w:id="6" w:name="bookmark6"/>
      <w:r>
        <w:rPr>
          <w:rFonts w:ascii="Times New Roman" w:eastAsia="Times New Roman" w:hAnsi="Times New Roman" w:cs="Times New Roman"/>
          <w:color w:val="000000"/>
          <w:spacing w:val="0"/>
          <w:w w:val="100"/>
          <w:position w:val="0"/>
          <w:shd w:val="clear" w:color="auto" w:fill="auto"/>
          <w:lang w:val="pt-PT" w:eastAsia="pt-PT" w:bidi="pt-PT"/>
        </w:rPr>
        <w:t>CLÁUSULA QUINTA: DA VIGÊNCIA E PRORROGAÇÃO CONTRATUAL</w:t>
      </w:r>
      <w:bookmarkEnd w:id="6"/>
    </w:p>
    <w:p>
      <w:pPr>
        <w:pStyle w:val="Style10"/>
        <w:keepNext w:val="0"/>
        <w:keepLines w:val="0"/>
        <w:widowControl w:val="0"/>
        <w:shd w:val="clear" w:color="auto" w:fill="auto"/>
        <w:bidi w:val="0"/>
        <w:spacing w:before="0" w:after="52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5.1.0 presente contrato terá vigência de 11 (onze) meses, contados a partir da data de sua assinatura, podendo ser prorrogado de acordo com a necessidade da Administração, na forma do art. 105 e seguintes da Lei n.° 14.133/2021.</w:t>
      </w:r>
    </w:p>
    <w:p>
      <w:pPr>
        <w:pStyle w:val="Style2"/>
        <w:keepNext/>
        <w:keepLines/>
        <w:widowControl w:val="0"/>
        <w:shd w:val="clear" w:color="auto" w:fill="auto"/>
        <w:bidi w:val="0"/>
        <w:spacing w:before="0" w:after="240"/>
        <w:ind w:right="0" w:hanging="360"/>
        <w:jc w:val="both"/>
      </w:pPr>
      <w:bookmarkStart w:id="7" w:name="bookmark7"/>
      <w:r>
        <w:rPr>
          <w:rFonts w:ascii="Times New Roman" w:eastAsia="Times New Roman" w:hAnsi="Times New Roman" w:cs="Times New Roman"/>
          <w:color w:val="000000"/>
          <w:spacing w:val="0"/>
          <w:w w:val="100"/>
          <w:position w:val="0"/>
          <w:shd w:val="clear" w:color="auto" w:fill="auto"/>
          <w:lang w:val="pt-PT" w:eastAsia="pt-PT" w:bidi="pt-PT"/>
        </w:rPr>
        <w:t>CLÁUSULA SEXTA: DA SUBCONTRATAÇÃO</w:t>
      </w:r>
      <w:bookmarkEnd w:id="7"/>
    </w:p>
    <w:p>
      <w:pPr>
        <w:pStyle w:val="Style10"/>
        <w:keepNext w:val="0"/>
        <w:keepLines w:val="0"/>
        <w:widowControl w:val="0"/>
        <w:numPr>
          <w:ilvl w:val="0"/>
          <w:numId w:val="19"/>
        </w:numPr>
        <w:shd w:val="clear" w:color="auto" w:fill="auto"/>
        <w:tabs>
          <w:tab w:pos="463" w:val="left"/>
        </w:tabs>
        <w:bidi w:val="0"/>
        <w:spacing w:before="0" w:after="280" w:line="307"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Não será admitida a subcontratação do objeto contratual.</w:t>
      </w:r>
    </w:p>
    <w:p>
      <w:pPr>
        <w:pStyle w:val="Style2"/>
        <w:keepNext/>
        <w:keepLines/>
        <w:widowControl w:val="0"/>
        <w:shd w:val="clear" w:color="auto" w:fill="auto"/>
        <w:bidi w:val="0"/>
        <w:spacing w:before="0" w:after="0"/>
        <w:ind w:left="0" w:right="0" w:firstLine="0"/>
        <w:jc w:val="both"/>
      </w:pPr>
      <w:bookmarkStart w:id="8" w:name="bookmark8"/>
      <w:r>
        <w:rPr>
          <w:rFonts w:ascii="Times New Roman" w:eastAsia="Times New Roman" w:hAnsi="Times New Roman" w:cs="Times New Roman"/>
          <w:color w:val="000000"/>
          <w:spacing w:val="0"/>
          <w:w w:val="100"/>
          <w:position w:val="0"/>
          <w:shd w:val="clear" w:color="auto" w:fill="auto"/>
          <w:lang w:val="pt-PT" w:eastAsia="pt-PT" w:bidi="pt-PT"/>
        </w:rPr>
        <w:t>CLÁUSULA SÉTIMA: DO REAJUSTE E DO REESTABELECIMENTO DO EQUILÍBRIO ECONÓMICO-FINANCEIRO</w:t>
      </w:r>
      <w:bookmarkEnd w:id="8"/>
    </w:p>
    <w:p>
      <w:pPr>
        <w:pStyle w:val="Style10"/>
        <w:keepNext w:val="0"/>
        <w:keepLines w:val="0"/>
        <w:widowControl w:val="0"/>
        <w:numPr>
          <w:ilvl w:val="0"/>
          <w:numId w:val="21"/>
        </w:numPr>
        <w:shd w:val="clear" w:color="auto" w:fill="auto"/>
        <w:tabs>
          <w:tab w:pos="463" w:val="left"/>
        </w:tabs>
        <w:bidi w:val="0"/>
        <w:spacing w:before="0" w:after="0" w:line="307"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Os preços inicialmente contratados são fixos e irreajustáveis no prazo de um ano contado da data do orçamento estimado.</w:t>
      </w:r>
    </w:p>
    <w:p>
      <w:pPr>
        <w:pStyle w:val="Style10"/>
        <w:keepNext w:val="0"/>
        <w:keepLines w:val="0"/>
        <w:widowControl w:val="0"/>
        <w:numPr>
          <w:ilvl w:val="0"/>
          <w:numId w:val="21"/>
        </w:numPr>
        <w:shd w:val="clear" w:color="auto" w:fill="auto"/>
        <w:tabs>
          <w:tab w:pos="463" w:val="left"/>
        </w:tabs>
        <w:bidi w:val="0"/>
        <w:spacing w:before="0" w:after="0" w:line="307"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Após o interregno de um ano, os preços iniciais poderão ser reajustados, mediante a aplicação, pelo contratante, do 1PCA (índice de Preços ao Consumidor Amplo), exclusivamente, para as obrigações iniciadas e concluídas após a ocorrência da anualidade.</w:t>
      </w:r>
    </w:p>
    <w:p>
      <w:pPr>
        <w:pStyle w:val="Style10"/>
        <w:keepNext w:val="0"/>
        <w:keepLines w:val="0"/>
        <w:widowControl w:val="0"/>
        <w:numPr>
          <w:ilvl w:val="0"/>
          <w:numId w:val="21"/>
        </w:numPr>
        <w:shd w:val="clear" w:color="auto" w:fill="auto"/>
        <w:tabs>
          <w:tab w:pos="463" w:val="left"/>
        </w:tabs>
        <w:bidi w:val="0"/>
        <w:spacing w:before="0" w:after="0" w:line="307"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Nos reajustes subsequentes ao primeiro, o interregno mínimo de um ano será contado a partir dos efeitos financeiros do último reajuste.</w:t>
      </w:r>
    </w:p>
    <w:p>
      <w:pPr>
        <w:pStyle w:val="Style10"/>
        <w:keepNext w:val="0"/>
        <w:keepLines w:val="0"/>
        <w:widowControl w:val="0"/>
        <w:numPr>
          <w:ilvl w:val="0"/>
          <w:numId w:val="21"/>
        </w:numPr>
        <w:shd w:val="clear" w:color="auto" w:fill="auto"/>
        <w:tabs>
          <w:tab w:pos="463" w:val="left"/>
        </w:tabs>
        <w:bidi w:val="0"/>
        <w:spacing w:before="0" w:after="0" w:line="307"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No caso de atraso ou não divulgação do índice de reajustamento, a contratante pagará à contratada a importância calculada pela última variação conhecida, liquidando a diferença correspondente tão logo seja divulgado o índice definitivo.</w:t>
      </w:r>
    </w:p>
    <w:p>
      <w:pPr>
        <w:pStyle w:val="Style10"/>
        <w:keepNext w:val="0"/>
        <w:keepLines w:val="0"/>
        <w:widowControl w:val="0"/>
        <w:numPr>
          <w:ilvl w:val="0"/>
          <w:numId w:val="21"/>
        </w:numPr>
        <w:shd w:val="clear" w:color="auto" w:fill="auto"/>
        <w:tabs>
          <w:tab w:pos="463" w:val="left"/>
        </w:tabs>
        <w:bidi w:val="0"/>
        <w:spacing w:before="0" w:after="0" w:line="307"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Nas aferições finais, o índice utilizado para reajuste será, obrigatoriamente, o definitivo.</w:t>
      </w:r>
    </w:p>
    <w:p>
      <w:pPr>
        <w:pStyle w:val="Style10"/>
        <w:keepNext w:val="0"/>
        <w:keepLines w:val="0"/>
        <w:widowControl w:val="0"/>
        <w:numPr>
          <w:ilvl w:val="0"/>
          <w:numId w:val="21"/>
        </w:numPr>
        <w:shd w:val="clear" w:color="auto" w:fill="auto"/>
        <w:tabs>
          <w:tab w:pos="463" w:val="left"/>
        </w:tabs>
        <w:bidi w:val="0"/>
        <w:spacing w:before="0" w:after="0" w:line="307"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Caso o índice estabelecido para reajustamento venha a ser extinto ou de qualquer forma não possa</w:t>
      </w:r>
    </w:p>
    <w:p>
      <w:pPr>
        <w:pStyle w:val="Style10"/>
        <w:keepNext w:val="0"/>
        <w:keepLines w:val="0"/>
        <w:widowControl w:val="0"/>
        <w:shd w:val="clear" w:color="auto" w:fill="auto"/>
        <w:bidi w:val="0"/>
        <w:spacing w:before="0" w:after="0" w:line="305" w:lineRule="auto"/>
        <w:ind w:left="36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ser utilizado, será adotado, em substituição, o que vier a ser determinado pela legislação em vigor.</w:t>
      </w:r>
    </w:p>
    <w:p>
      <w:pPr>
        <w:pStyle w:val="Style10"/>
        <w:keepNext w:val="0"/>
        <w:keepLines w:val="0"/>
        <w:widowControl w:val="0"/>
        <w:numPr>
          <w:ilvl w:val="0"/>
          <w:numId w:val="21"/>
        </w:numPr>
        <w:shd w:val="clear" w:color="auto" w:fill="auto"/>
        <w:tabs>
          <w:tab w:pos="446"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Na ausência de previsão legal quanto ao índice substituto, as partes elegerão novo índice oficial, para reajustamento do preço do valor remanescente, por meio de termo aditivo.</w:t>
      </w:r>
    </w:p>
    <w:p>
      <w:pPr>
        <w:pStyle w:val="Style10"/>
        <w:keepNext w:val="0"/>
        <w:keepLines w:val="0"/>
        <w:widowControl w:val="0"/>
        <w:shd w:val="clear" w:color="auto" w:fill="auto"/>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7.8.0 reajuste será realizado por apostilamento, dispensada a celebração de termo aditivo, conforme previsão do Art. 136, da Lei 14.133/2021.</w:t>
      </w:r>
    </w:p>
    <w:p>
      <w:pPr>
        <w:pStyle w:val="Style10"/>
        <w:keepNext w:val="0"/>
        <w:keepLines w:val="0"/>
        <w:widowControl w:val="0"/>
        <w:numPr>
          <w:ilvl w:val="1"/>
          <w:numId w:val="21"/>
        </w:numPr>
        <w:shd w:val="clear" w:color="auto" w:fill="auto"/>
        <w:tabs>
          <w:tab w:pos="446"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Poderá ser reestabelecida a relação que as partes pactuaram inicialmente entre os encargos da contratada e a retribuição da Administração para a justa remuneração do fornecimento, desde que objetivando o reestabelecimento do equilíbrio económico-financeiro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extraordinária e extracontratual, nos termos do Art. 124, inciso 11, alínea “d” da Lei 14.133/2021, devendo ser formalizado através de ato administrativo.</w:t>
      </w:r>
    </w:p>
    <w:p>
      <w:pPr>
        <w:pStyle w:val="Style10"/>
        <w:keepNext w:val="0"/>
        <w:keepLines w:val="0"/>
        <w:widowControl w:val="0"/>
        <w:numPr>
          <w:ilvl w:val="1"/>
          <w:numId w:val="21"/>
        </w:numPr>
        <w:shd w:val="clear" w:color="auto" w:fill="auto"/>
        <w:tabs>
          <w:tab w:pos="714"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O pedido de reestabelecimento do equilíbrio económico-financeiro deverá ser formulado durante a vigência do contrato e antes de eventual prorrogação nos termos do art. 107 da Lei n° 14.133/2021, pelo prazo prescricional de 5 (cinco) anos contados da data do evento e vigência.</w:t>
      </w:r>
    </w:p>
    <w:p>
      <w:pPr>
        <w:pStyle w:val="Style10"/>
        <w:keepNext w:val="0"/>
        <w:keepLines w:val="0"/>
        <w:widowControl w:val="0"/>
        <w:numPr>
          <w:ilvl w:val="1"/>
          <w:numId w:val="21"/>
        </w:numPr>
        <w:shd w:val="clear" w:color="auto" w:fill="auto"/>
        <w:tabs>
          <w:tab w:pos="714" w:val="left"/>
        </w:tabs>
        <w:bidi w:val="0"/>
        <w:spacing w:before="0" w:after="28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Os pedidos serão recebidos pela fiscalização do contrato e deverão ser respondidos de forma conclusiva dentro do prazo máximo de 90 (noventa) dias da data de recebimento, prazo este que será interrompido, recomeçando a contagem a partir do novo protocolo, caso o requerimento seja reapresentado pela CONTRATADA ou caso haja a necessidade de complementação da instrução processual correlata.</w:t>
      </w:r>
    </w:p>
    <w:p>
      <w:pPr>
        <w:pStyle w:val="Style2"/>
        <w:keepNext/>
        <w:keepLines/>
        <w:widowControl w:val="0"/>
        <w:shd w:val="clear" w:color="auto" w:fill="auto"/>
        <w:bidi w:val="0"/>
        <w:spacing w:before="0" w:after="0"/>
        <w:ind w:right="0" w:hanging="360"/>
        <w:jc w:val="both"/>
      </w:pPr>
      <w:bookmarkStart w:id="9" w:name="bookmark9"/>
      <w:r>
        <w:rPr>
          <w:rFonts w:ascii="Times New Roman" w:eastAsia="Times New Roman" w:hAnsi="Times New Roman" w:cs="Times New Roman"/>
          <w:color w:val="000000"/>
          <w:spacing w:val="0"/>
          <w:w w:val="100"/>
          <w:position w:val="0"/>
          <w:shd w:val="clear" w:color="auto" w:fill="auto"/>
          <w:lang w:val="pt-PT" w:eastAsia="pt-PT" w:bidi="pt-PT"/>
        </w:rPr>
        <w:t>CLÁUSULA OITAVA: OBRIGAÇÕES DA CONTRATANTE</w:t>
      </w:r>
      <w:bookmarkEnd w:id="9"/>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Exigir o cumprimento de todas as obrigações assumidas pela Contratada, de acordo com o presente contrato;</w:t>
      </w:r>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Receber o objeto no prazo e condições estabelecidas no Termo de Referência, vinculado ao presente contrato;</w:t>
      </w:r>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Notificar a Contratada, por escrito, sobre os defeitos e irregularidades verificadas na prestação dos serviços fornecidos, para que seja por ele substituído, reparado ou corrigido, no total ou em parte,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suas expensas;</w:t>
      </w:r>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Acompanhar e fiscalizar a execução do contrato e o cumprimento das obrigações pela Contratada;</w:t>
      </w:r>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Comunicar a empresa para emissão de Nota Fiscal no que pertine à parcela incontroversa da execução do objeto, para efeito de liquidação e pagamento, quando houver controvérsia sobre a execução do objeto, quanto à dimensão, qualidade e quantidade, conforme Art. 143, da Lei n° 14.133/2021;</w:t>
      </w:r>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Efetuar o pagamento à Contratada do valor correspondente ao pactuado pela prestação dos serviços, no prazo, forma e condições estabelecidos no Termo de Referência e no presente Contrato;</w:t>
      </w:r>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Aplicar à Contratada as sanções previstas na lei e no presente Contrato;</w:t>
      </w:r>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Cientificar o eminente competente para adoção das medidas cabíveis, quando do descumprimento de obrigações pela Contratada, conforme art. 137, §4° da Lei 14.133/2021;</w:t>
      </w:r>
    </w:p>
    <w:p>
      <w:pPr>
        <w:pStyle w:val="Style10"/>
        <w:keepNext w:val="0"/>
        <w:keepLines w:val="0"/>
        <w:widowControl w:val="0"/>
        <w:numPr>
          <w:ilvl w:val="0"/>
          <w:numId w:val="23"/>
        </w:numPr>
        <w:shd w:val="clear" w:color="auto" w:fill="auto"/>
        <w:tabs>
          <w:tab w:pos="452"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Explicitamente </w:t>
      </w:r>
      <w:r>
        <w:rPr>
          <w:rFonts w:ascii="Times New Roman" w:eastAsia="Times New Roman" w:hAnsi="Times New Roman" w:cs="Times New Roman"/>
          <w:color w:val="000000"/>
          <w:spacing w:val="0"/>
          <w:w w:val="100"/>
          <w:position w:val="0"/>
          <w:shd w:val="clear" w:color="auto" w:fill="auto"/>
          <w:lang w:val="pt-PT" w:eastAsia="pt-PT" w:bidi="pt-PT"/>
        </w:rPr>
        <w:t>emitir decisão sobre todas as solicitações e reclamações relacionadas à execução do Contrato, ressalvados os requerimentos manifestamente impertinentes, meramente protelatórios ou de nenhum interesse para a boa execução do ajuste;</w:t>
      </w:r>
    </w:p>
    <w:p>
      <w:pPr>
        <w:pStyle w:val="Style10"/>
        <w:keepNext w:val="0"/>
        <w:keepLines w:val="0"/>
        <w:widowControl w:val="0"/>
        <w:numPr>
          <w:ilvl w:val="0"/>
          <w:numId w:val="23"/>
        </w:numPr>
        <w:shd w:val="clear" w:color="auto" w:fill="auto"/>
        <w:tabs>
          <w:tab w:pos="714" w:val="left"/>
        </w:tabs>
        <w:bidi w:val="0"/>
        <w:spacing w:before="0" w:after="0" w:line="305" w:lineRule="auto"/>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A Administração terá o prazo de 90 (noventa) dias úteis, a contar da data do protocolo do requerimento, para decidir, admitida a prorrogação por igual período, quando motivada;</w:t>
      </w:r>
    </w:p>
    <w:p>
      <w:pPr>
        <w:pStyle w:val="Style10"/>
        <w:keepNext w:val="0"/>
        <w:keepLines w:val="0"/>
        <w:widowControl w:val="0"/>
        <w:numPr>
          <w:ilvl w:val="0"/>
          <w:numId w:val="23"/>
        </w:numPr>
        <w:shd w:val="clear" w:color="auto" w:fill="auto"/>
        <w:tabs>
          <w:tab w:pos="714" w:val="left"/>
        </w:tabs>
        <w:bidi w:val="0"/>
        <w:spacing w:before="0" w:after="140" w:line="305" w:lineRule="auto"/>
        <w:ind w:left="360" w:right="0" w:hanging="360"/>
        <w:jc w:val="both"/>
        <w:sectPr>
          <w:headerReference w:type="default" r:id="rId14"/>
          <w:footerReference w:type="default" r:id="rId15"/>
          <w:headerReference w:type="even" r:id="rId16"/>
          <w:footerReference w:type="even" r:id="rId17"/>
          <w:headerReference w:type="first" r:id="rId18"/>
          <w:footerReference w:type="first" r:id="rId19"/>
          <w:footnotePr>
            <w:pos w:val="pageBottom"/>
            <w:numFmt w:val="decimal"/>
            <w:numRestart w:val="continuous"/>
          </w:footnotePr>
          <w:pgSz w:w="11900" w:h="16840"/>
          <w:pgMar w:top="1653" w:left="1305" w:right="1458" w:bottom="1423"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Responder eventuais pedidos de reestabelecimento do equilíbrio económico-financeiro </w:t>
      </w:r>
      <w:r>
        <w:rPr>
          <w:rFonts w:ascii="Times New Roman" w:eastAsia="Times New Roman" w:hAnsi="Times New Roman" w:cs="Times New Roman"/>
          <w:color w:val="000000"/>
          <w:spacing w:val="0"/>
          <w:w w:val="100"/>
          <w:position w:val="0"/>
          <w:shd w:val="clear" w:color="auto" w:fill="auto"/>
          <w:lang w:val="pt-BR" w:eastAsia="pt-BR" w:bidi="pt-BR"/>
        </w:rPr>
        <w:t>fejios</w:t>
      </w:r>
    </w:p>
    <w:p>
      <w:pPr>
        <w:pStyle w:val="Style18"/>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pt-PT" w:eastAsia="pt-PT" w:bidi="pt-PT"/>
        </w:rPr>
        <w:t>PREFEITURA DE .</w:t>
      </w:r>
    </w:p>
    <w:p>
      <w:pPr>
        <w:pStyle w:val="Style20"/>
        <w:keepNext/>
        <w:keepLines/>
        <w:widowControl w:val="0"/>
        <w:shd w:val="clear" w:color="auto" w:fill="auto"/>
        <w:bidi w:val="0"/>
        <w:spacing w:before="0"/>
        <w:ind w:left="0" w:right="0" w:firstLine="0"/>
        <w:jc w:val="right"/>
      </w:pPr>
      <w:bookmarkStart w:id="10" w:name="bookmark10"/>
      <w:r>
        <w:rPr>
          <w:spacing w:val="0"/>
          <w:w w:val="100"/>
          <w:position w:val="0"/>
          <w:shd w:val="clear" w:color="auto" w:fill="auto"/>
          <w:lang w:val="pt-PT" w:eastAsia="pt-PT" w:bidi="pt-PT"/>
        </w:rPr>
        <w:t>JUUI</w:t>
      </w:r>
      <w:bookmarkEnd w:id="10"/>
    </w:p>
    <w:p>
      <w:pPr>
        <w:pStyle w:val="Style10"/>
        <w:keepNext w:val="0"/>
        <w:keepLines w:val="0"/>
        <w:widowControl w:val="0"/>
        <w:shd w:val="clear" w:color="auto" w:fill="auto"/>
        <w:bidi w:val="0"/>
        <w:spacing w:before="0" w:after="0" w:line="300" w:lineRule="auto"/>
        <w:ind w:left="3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pela contratada, no prazo máximo de 15 (quinze) dias úteis;</w:t>
      </w:r>
    </w:p>
    <w:p>
      <w:pPr>
        <w:pStyle w:val="Style10"/>
        <w:keepNext w:val="0"/>
        <w:keepLines w:val="0"/>
        <w:widowControl w:val="0"/>
        <w:numPr>
          <w:ilvl w:val="0"/>
          <w:numId w:val="23"/>
        </w:numPr>
        <w:shd w:val="clear" w:color="auto" w:fill="auto"/>
        <w:tabs>
          <w:tab w:pos="716" w:val="left"/>
        </w:tabs>
        <w:bidi w:val="0"/>
        <w:spacing w:before="0" w:after="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Administração não responderá por quaisquer compromissos assumidos pela Contratada com</w:t>
      </w:r>
    </w:p>
    <w:p>
      <w:pPr>
        <w:pStyle w:val="Style10"/>
        <w:keepNext w:val="0"/>
        <w:keepLines w:val="0"/>
        <w:widowControl w:val="0"/>
        <w:shd w:val="clear" w:color="auto" w:fill="auto"/>
        <w:bidi w:val="0"/>
        <w:spacing w:before="0" w:after="300" w:line="300" w:lineRule="auto"/>
        <w:ind w:left="3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terceiros, ainda que vinculados à execução do contrato, bem como por qualquer dano causado a terceiros em decorrência de ato da Contratada, de seus empregados, prepostos ou subordinados;</w:t>
      </w:r>
    </w:p>
    <w:p>
      <w:pPr>
        <w:pStyle w:val="Style2"/>
        <w:keepNext/>
        <w:keepLines/>
        <w:widowControl w:val="0"/>
        <w:shd w:val="clear" w:color="auto" w:fill="auto"/>
        <w:bidi w:val="0"/>
        <w:spacing w:before="0" w:after="0"/>
        <w:ind w:left="0" w:right="0" w:firstLine="0"/>
        <w:jc w:val="both"/>
      </w:pPr>
      <w:bookmarkStart w:id="11" w:name="bookmark11"/>
      <w:r>
        <w:rPr>
          <w:rFonts w:ascii="Times New Roman" w:eastAsia="Times New Roman" w:hAnsi="Times New Roman" w:cs="Times New Roman"/>
          <w:color w:val="000000"/>
          <w:spacing w:val="0"/>
          <w:w w:val="100"/>
          <w:position w:val="0"/>
          <w:shd w:val="clear" w:color="auto" w:fill="auto"/>
          <w:lang w:val="pt-PT" w:eastAsia="pt-PT" w:bidi="pt-PT"/>
        </w:rPr>
        <w:t>CLÁUSULA NONA: OBRIGAÇÕES DA CONTRATADA</w:t>
      </w:r>
      <w:bookmarkEnd w:id="11"/>
    </w:p>
    <w:p>
      <w:pPr>
        <w:pStyle w:val="Style10"/>
        <w:keepNext w:val="0"/>
        <w:keepLines w:val="0"/>
        <w:widowControl w:val="0"/>
        <w:numPr>
          <w:ilvl w:val="0"/>
          <w:numId w:val="25"/>
        </w:numPr>
        <w:shd w:val="clear" w:color="auto" w:fill="auto"/>
        <w:tabs>
          <w:tab w:pos="471"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Constituem obrigações da CONTRATADA:</w:t>
      </w:r>
    </w:p>
    <w:p>
      <w:pPr>
        <w:pStyle w:val="Style10"/>
        <w:keepNext w:val="0"/>
        <w:keepLines w:val="0"/>
        <w:widowControl w:val="0"/>
        <w:numPr>
          <w:ilvl w:val="0"/>
          <w:numId w:val="27"/>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fornecer o serviço contratado observando todas as especificações técnicas exigidas no Termo de Referência, bem como as instruções e determinações expedidas pela fiscalização do Município;</w:t>
      </w:r>
    </w:p>
    <w:p>
      <w:pPr>
        <w:pStyle w:val="Style10"/>
        <w:keepNext w:val="0"/>
        <w:keepLines w:val="0"/>
        <w:widowControl w:val="0"/>
        <w:numPr>
          <w:ilvl w:val="0"/>
          <w:numId w:val="27"/>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comunicar ao MUNICÍPIO, no prazo máximo de 24 (vinte e quatro) horas que antecede data da prestação dos serviços, os motivos que impossibilitem o cumprimento do prazo previsto, com devida comprovação;</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determinações regulares emitidas pelo fiscal ou gestor do Contrato ou autoridade superior e prestar todo esclarecimento ou informação por eles solicitados, em atenção a art. 137, II, da Lei n° 14.133/2021;</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não contratar, durante a vigência do Contrato, cônjuge, companheiro ou parente em linha reta, colateral ou por afinidade, até o terceiro grau, de dirigente do MUNICÍPIO ou de agente público que atue na fiscalização ou na gestão do Contrato, nos termos do art. 48, parágrafo único, da Lei n° 14.133/2021;</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efetuar, sem qualquer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para o MUNICÍPIO, no tempo determinado por este, a correções e revisões de falhas ou defeitos verificados no objeto prestado, sempre que a ele imputáveis:</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obedecer estrita e rigorosamente aos prazos estabelecidos neste contrato e no Edita cabendo ao MUNICÍPIO, no caso de inadimplemento, o direito de suspender a execução do contrato ou de aplicar as penalidades cabíveis, sem que assista à contratada qualquer direito à </w:t>
      </w:r>
      <w:r>
        <w:rPr>
          <w:rFonts w:ascii="Times New Roman" w:eastAsia="Times New Roman" w:hAnsi="Times New Roman" w:cs="Times New Roman"/>
          <w:color w:val="000000"/>
          <w:spacing w:val="0"/>
          <w:w w:val="100"/>
          <w:position w:val="0"/>
          <w:shd w:val="clear" w:color="auto" w:fill="auto"/>
          <w:lang w:val="pt-BR" w:eastAsia="pt-BR" w:bidi="pt-BR"/>
        </w:rPr>
        <w:t>indenização;</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requerer, junto aos órgãos competentes, a autorização para execução de quaisquer atividades envolvidas na prestação do objeto deste contrato, responsabilizando-se pelo cumprimento dos mesmos e pela fiel observância da legislação aplicável;</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permitir ao MUNICÍPIO, por todos os meios ao seu alcance, 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amplo exercício de fiscalização, proporcionando-lhe pleno acesso a suas dependências, bem como, atendendo prontamente,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determinações que lhe forem feitas, com o propósito de melhor atender a obrigações pactuadas;</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substituir,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suas custas, os funcionários que, a critério do MUNICÍPIO, apresentarem comportamento inadequado, ou, em algum momento, desrespeitarem as condições a ele inerentes;</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disponibilizar </w:t>
      </w:r>
      <w:r>
        <w:rPr>
          <w:rFonts w:ascii="Times New Roman" w:eastAsia="Times New Roman" w:hAnsi="Times New Roman" w:cs="Times New Roman"/>
          <w:color w:val="000000"/>
          <w:spacing w:val="0"/>
          <w:w w:val="100"/>
          <w:position w:val="0"/>
          <w:shd w:val="clear" w:color="auto" w:fill="auto"/>
          <w:lang w:val="pt-PT" w:eastAsia="pt-PT" w:bidi="pt-PT"/>
        </w:rPr>
        <w:t>o pessoal necessário à execução do objeto deste contrato, sob sua inteira responsabilidade, obrigando-se a observar, rigorosamente, todas as prescrições relativas à leis trabalhistas, previdenciárias, assistenciais, securitárias e sindicais, sendo considerada nesse particular, como única empregadora;</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comparecer espontaneamente em juízo, na hipótese de qualquer reclamação trabalhista intentada ou ajuizada por seus empregados contra o Município, reconhecendo verdadeira condição de empregadora, substituindo o Município no processo, até o final do julgamento, arcando com todas as despesas decorrentes de eventual condenação;</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Manter a regularidade junto ao Sistema de Cadastro de Fornecedores;</w:t>
      </w:r>
    </w:p>
    <w:p>
      <w:pPr>
        <w:pStyle w:val="Style10"/>
        <w:keepNext w:val="0"/>
        <w:keepLines w:val="0"/>
        <w:widowControl w:val="0"/>
        <w:numPr>
          <w:ilvl w:val="0"/>
          <w:numId w:val="29"/>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Quando não for possível a verificação da regularidade no Sistema de Cadastro Fornecedores, a CONTRATADA deverá entregar ao setor responsável pela fiscalização do Contrato, junto com a Nota Fiscal para fins de pagamento, os seguintes documentos:</w:t>
      </w:r>
    </w:p>
    <w:p>
      <w:pPr>
        <w:pStyle w:val="Style10"/>
        <w:keepNext w:val="0"/>
        <w:keepLines w:val="0"/>
        <w:widowControl w:val="0"/>
        <w:numPr>
          <w:ilvl w:val="0"/>
          <w:numId w:val="31"/>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Prova de regularidade relativa à Seguridade Social;</w:t>
      </w:r>
    </w:p>
    <w:p>
      <w:pPr>
        <w:pStyle w:val="Style10"/>
        <w:keepNext w:val="0"/>
        <w:keepLines w:val="0"/>
        <w:widowControl w:val="0"/>
        <w:numPr>
          <w:ilvl w:val="0"/>
          <w:numId w:val="31"/>
        </w:numPr>
        <w:shd w:val="clear" w:color="auto" w:fill="auto"/>
        <w:tabs>
          <w:tab w:pos="716"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Certidão conjunta relativa aos tributos federais e à Dívida Ativa da União;</w:t>
      </w:r>
    </w:p>
    <w:p>
      <w:pPr>
        <w:pStyle w:val="Style10"/>
        <w:keepNext w:val="0"/>
        <w:keepLines w:val="0"/>
        <w:widowControl w:val="0"/>
        <w:numPr>
          <w:ilvl w:val="0"/>
          <w:numId w:val="31"/>
        </w:numPr>
        <w:shd w:val="clear" w:color="auto" w:fill="auto"/>
        <w:tabs>
          <w:tab w:pos="716" w:val="left"/>
        </w:tabs>
        <w:bidi w:val="0"/>
        <w:spacing w:before="0" w:after="0" w:line="305" w:lineRule="auto"/>
        <w:ind w:left="0" w:right="0" w:firstLine="0"/>
        <w:jc w:val="both"/>
        <w:sectPr>
          <w:headerReference w:type="default" r:id="rId20"/>
          <w:footerReference w:type="default" r:id="rId21"/>
          <w:headerReference w:type="even" r:id="rId22"/>
          <w:footerReference w:type="even" r:id="rId23"/>
          <w:footnotePr>
            <w:pos w:val="pageBottom"/>
            <w:numFmt w:val="decimal"/>
            <w:numRestart w:val="continuous"/>
          </w:footnotePr>
          <w:pgSz w:w="11900" w:h="16840"/>
          <w:pgMar w:top="852" w:left="1390" w:right="1378" w:bottom="763"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Certidões que comprovem a regularidade perante a Fazenda Municipal, Estadual Distrital do</w:t>
      </w:r>
    </w:p>
    <w:p>
      <w:pPr>
        <w:pStyle w:val="Style10"/>
        <w:keepNext w:val="0"/>
        <w:keepLines w:val="0"/>
        <w:widowControl w:val="0"/>
        <w:shd w:val="clear" w:color="auto" w:fill="auto"/>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domicilio ou sede do contratado;</w:t>
      </w:r>
    </w:p>
    <w:p>
      <w:pPr>
        <w:pStyle w:val="Style10"/>
        <w:keepNext w:val="0"/>
        <w:keepLines w:val="0"/>
        <w:widowControl w:val="0"/>
        <w:numPr>
          <w:ilvl w:val="0"/>
          <w:numId w:val="31"/>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Certificado de Regularidade do FGTS; e</w:t>
      </w:r>
    </w:p>
    <w:p>
      <w:pPr>
        <w:pStyle w:val="Style10"/>
        <w:keepNext w:val="0"/>
        <w:keepLines w:val="0"/>
        <w:widowControl w:val="0"/>
        <w:numPr>
          <w:ilvl w:val="0"/>
          <w:numId w:val="31"/>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Certidão Negativa de Débitos Trabalhistas - CNDT.</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Responsabilizar-se </w:t>
      </w:r>
      <w:r>
        <w:rPr>
          <w:rFonts w:ascii="Times New Roman" w:eastAsia="Times New Roman" w:hAnsi="Times New Roman" w:cs="Times New Roman"/>
          <w:color w:val="000000"/>
          <w:spacing w:val="0"/>
          <w:w w:val="100"/>
          <w:position w:val="0"/>
          <w:shd w:val="clear" w:color="auto" w:fill="auto"/>
          <w:lang w:val="pt-PT" w:eastAsia="pt-PT" w:bidi="pt-PT"/>
        </w:rPr>
        <w:t xml:space="preserve">pelo cumprimento de todas as obrigações trabalhistas, previdenciária fiscais, comerciais e as demais previstas em legislação específica, cuja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não transfere a responsabilidade ao MUNICÍPIO e não poderá onerar o objeto do Contrato.</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arcar com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decorrentes da incidência de todos os tributos federais, estaduais municipais que possam decorrer do fornecimento do objeto deste contra responsabilizando-se pelo cumprimento de todas as exigências das repartições pública competentes, com total isenção do Município.</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arcar com todas as despesas de </w:t>
      </w:r>
      <w:r>
        <w:rPr>
          <w:rFonts w:ascii="Times New Roman" w:eastAsia="Times New Roman" w:hAnsi="Times New Roman" w:cs="Times New Roman"/>
          <w:color w:val="000000"/>
          <w:spacing w:val="0"/>
          <w:w w:val="100"/>
          <w:position w:val="0"/>
          <w:shd w:val="clear" w:color="auto" w:fill="auto"/>
          <w:lang w:val="pt-BR" w:eastAsia="pt-BR" w:bidi="pt-BR"/>
        </w:rPr>
        <w:t xml:space="preserve">alocação </w:t>
      </w:r>
      <w:r>
        <w:rPr>
          <w:rFonts w:ascii="Times New Roman" w:eastAsia="Times New Roman" w:hAnsi="Times New Roman" w:cs="Times New Roman"/>
          <w:color w:val="000000"/>
          <w:spacing w:val="0"/>
          <w:w w:val="100"/>
          <w:position w:val="0"/>
          <w:shd w:val="clear" w:color="auto" w:fill="auto"/>
          <w:lang w:val="pt-PT" w:eastAsia="pt-PT" w:bidi="pt-PT"/>
        </w:rPr>
        <w:t>e transporte de sua equipe necessárias à pela execução do objeto contratado;</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arcar com todas as despesas decorrentes de eventuais serviços realizados em horários extraordinários (diurno, noturno, domingos e feriados) que forem necessários ao exato cumprimento das obrigações pactuadas;</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aceitar, nas mesmas condições contratuais os acréscimos ou supressões que se fizerem necessários, até 25% (vinte e cinco porcento) do valor inicial atualizado do contrato que será celebrado, conforme art. 125, da Lei n.° 14.133/2021;</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responsabilizar-se </w:t>
      </w:r>
      <w:r>
        <w:rPr>
          <w:rFonts w:ascii="Times New Roman" w:eastAsia="Times New Roman" w:hAnsi="Times New Roman" w:cs="Times New Roman"/>
          <w:color w:val="000000"/>
          <w:spacing w:val="0"/>
          <w:w w:val="100"/>
          <w:position w:val="0"/>
          <w:shd w:val="clear" w:color="auto" w:fill="auto"/>
          <w:lang w:val="pt-PT" w:eastAsia="pt-PT" w:bidi="pt-PT"/>
        </w:rPr>
        <w:t>por quaisquer danos ocasionados ao MUNICÍPIO ou a terceiros e decorrência de atos ou omissões perpetrados quando da execução do objeto do contrato;</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responder por violação ao direito de uso de materiais, métodos ou processo de execução protegidos por marcas ou patentes, arcando com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hd w:val="clear" w:color="auto" w:fill="auto"/>
          <w:lang w:val="pt-PT" w:eastAsia="pt-PT" w:bidi="pt-PT"/>
        </w:rPr>
        <w:t>taxas e/ou comissões que forem devidas;</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manter-se </w:t>
      </w:r>
      <w:r>
        <w:rPr>
          <w:rFonts w:ascii="Times New Roman" w:eastAsia="Times New Roman" w:hAnsi="Times New Roman" w:cs="Times New Roman"/>
          <w:color w:val="000000"/>
          <w:spacing w:val="0"/>
          <w:w w:val="100"/>
          <w:position w:val="0"/>
          <w:shd w:val="clear" w:color="auto" w:fill="auto"/>
          <w:lang w:val="pt-PT" w:eastAsia="pt-PT" w:bidi="pt-PT"/>
        </w:rPr>
        <w:t xml:space="preserve">durante toda a execução do contrato em compatibilidade com as obrigações por ele assumidas, no que tange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condições de habilitação e qualificação exigidas na licitação nos termos do art. 92, inciso XVI, da Lei n.° 14.133/2021, para além de obrigar-se a cumprir as exigências de reserva de cargos prevista em lei, bem como em outras normas específicas, para pessoa com deficiência, para reabilitado da Previdência Social e para aprendiz:</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apresentar ao Município, sempre que solicitado, os comprovantes dos recolhimentos devidos ao </w:t>
      </w:r>
      <w:r>
        <w:rPr>
          <w:rFonts w:ascii="Times New Roman" w:eastAsia="Times New Roman" w:hAnsi="Times New Roman" w:cs="Times New Roman"/>
          <w:color w:val="000000"/>
          <w:spacing w:val="0"/>
          <w:w w:val="100"/>
          <w:position w:val="0"/>
          <w:shd w:val="clear" w:color="auto" w:fill="auto"/>
          <w:lang w:val="pt-BR" w:eastAsia="pt-BR" w:bidi="pt-BR"/>
        </w:rPr>
        <w:t xml:space="preserve">INSS </w:t>
      </w:r>
      <w:r>
        <w:rPr>
          <w:rFonts w:ascii="Times New Roman" w:eastAsia="Times New Roman" w:hAnsi="Times New Roman" w:cs="Times New Roman"/>
          <w:color w:val="000000"/>
          <w:spacing w:val="0"/>
          <w:w w:val="100"/>
          <w:position w:val="0"/>
          <w:shd w:val="clear" w:color="auto" w:fill="auto"/>
          <w:lang w:val="pt-PT" w:eastAsia="pt-PT" w:bidi="pt-PT"/>
        </w:rPr>
        <w:t>e FGTS, mediante cópia e apresentação do original, assim com comprovante de pagamento dos salários e demais parcelas trabalhistas aos empregados utilizados para a consecução do objeto contratual;</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Correrão por conta, responsabilidade e risco da CONTRATADA as consequências imprudência, negligencia ou imperícia sua e de seus empregados ou preposto notadamente:</w:t>
      </w:r>
    </w:p>
    <w:p>
      <w:pPr>
        <w:pStyle w:val="Style10"/>
        <w:keepNext w:val="0"/>
        <w:keepLines w:val="0"/>
        <w:widowControl w:val="0"/>
        <w:numPr>
          <w:ilvl w:val="0"/>
          <w:numId w:val="33"/>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Má qualidade dos bens/serviços fornecidos;</w:t>
      </w:r>
    </w:p>
    <w:p>
      <w:pPr>
        <w:pStyle w:val="Style10"/>
        <w:keepNext w:val="0"/>
        <w:keepLines w:val="0"/>
        <w:widowControl w:val="0"/>
        <w:numPr>
          <w:ilvl w:val="0"/>
          <w:numId w:val="33"/>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Violação do direito de propriedade industrial;</w:t>
      </w:r>
    </w:p>
    <w:p>
      <w:pPr>
        <w:pStyle w:val="Style10"/>
        <w:keepNext w:val="0"/>
        <w:keepLines w:val="0"/>
        <w:widowControl w:val="0"/>
        <w:numPr>
          <w:ilvl w:val="0"/>
          <w:numId w:val="33"/>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Furto,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lang w:val="pt-PT" w:eastAsia="pt-PT" w:bidi="pt-PT"/>
        </w:rPr>
        <w:t>roubo, deterioração ou avarias de materiais ou equipamentos;</w:t>
      </w:r>
    </w:p>
    <w:p>
      <w:pPr>
        <w:pStyle w:val="Style10"/>
        <w:keepNext w:val="0"/>
        <w:keepLines w:val="0"/>
        <w:widowControl w:val="0"/>
        <w:numPr>
          <w:ilvl w:val="0"/>
          <w:numId w:val="33"/>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Ato ilícito seu e de seus empregados ou prepostos que tenham reflexos danos para o cumprimento da execução contratual;</w:t>
      </w:r>
    </w:p>
    <w:p>
      <w:pPr>
        <w:pStyle w:val="Style10"/>
        <w:keepNext w:val="0"/>
        <w:keepLines w:val="0"/>
        <w:widowControl w:val="0"/>
        <w:numPr>
          <w:ilvl w:val="0"/>
          <w:numId w:val="33"/>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acidentes de qualquer natureza com materiais ou equipamentos, com seus empregados ou terceiros, na execução dos Serviços necessários à execução contratual ou em decorrência da execução deles.</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guardar sigilo sobre todas as informações obtidas em decorrência do cumprimento do Contrato e observar as disposições da Lei quando aplicável; Geral de Proteção de Dados (Lei n° 13.709/2018),</w:t>
      </w:r>
    </w:p>
    <w:p>
      <w:pPr>
        <w:pStyle w:val="Style10"/>
        <w:keepNext w:val="0"/>
        <w:keepLines w:val="0"/>
        <w:widowControl w:val="0"/>
        <w:numPr>
          <w:ilvl w:val="0"/>
          <w:numId w:val="29"/>
        </w:numPr>
        <w:shd w:val="clear" w:color="auto" w:fill="auto"/>
        <w:tabs>
          <w:tab w:pos="722"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caso haja previsão no edital, criar ou manter Programa de Integridade, nos termos da lei n°</w:t>
      </w:r>
    </w:p>
    <w:p>
      <w:pPr>
        <w:pStyle w:val="Style10"/>
        <w:keepNext w:val="0"/>
        <w:keepLines w:val="0"/>
        <w:widowControl w:val="0"/>
        <w:shd w:val="clear" w:color="auto" w:fill="auto"/>
        <w:tabs>
          <w:tab w:pos="8328"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12.846/2013, consistindo tal programa no conjunto de mecanismos e procedimentos internos de integridade, auditoria e incentivo à denúncia de irregularidades e na aplicação efetiva de códigos de ética e de conduta, políticas e diretrizes com o objetivo de </w:t>
      </w:r>
      <w:r>
        <w:rPr>
          <w:rFonts w:ascii="Times New Roman" w:eastAsia="Times New Roman" w:hAnsi="Times New Roman" w:cs="Times New Roman"/>
          <w:color w:val="000000"/>
          <w:spacing w:val="0"/>
          <w:w w:val="100"/>
          <w:position w:val="0"/>
          <w:shd w:val="clear" w:color="auto" w:fill="auto"/>
          <w:lang w:val="pt-BR" w:eastAsia="pt-BR" w:bidi="pt-BR"/>
        </w:rPr>
        <w:t xml:space="preserve">detectar </w:t>
      </w:r>
      <w:r>
        <w:rPr>
          <w:rFonts w:ascii="Times New Roman" w:eastAsia="Times New Roman" w:hAnsi="Times New Roman" w:cs="Times New Roman"/>
          <w:color w:val="000000"/>
          <w:spacing w:val="0"/>
          <w:w w:val="100"/>
          <w:position w:val="0"/>
          <w:shd w:val="clear" w:color="auto" w:fill="auto"/>
          <w:lang w:val="pt-PT" w:eastAsia="pt-PT" w:bidi="pt-PT"/>
        </w:rPr>
        <w:t>e sanar desvios, fraudes, irregularidades e atos ilícitos praticados contra a Administração Pública;</w:t>
        <w:tab/>
        <w:t>/</w:t>
      </w:r>
    </w:p>
    <w:p>
      <w:pPr>
        <w:pStyle w:val="Style10"/>
        <w:keepNext w:val="0"/>
        <w:keepLines w:val="0"/>
        <w:widowControl w:val="0"/>
        <w:shd w:val="clear" w:color="auto" w:fill="auto"/>
        <w:tabs>
          <w:tab w:pos="7800" w:val="left"/>
        </w:tabs>
        <w:bidi w:val="0"/>
        <w:spacing w:before="0" w:after="520" w:line="276"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CLÁUSULA DÉCIMA: DO ACOMPANHAMENTO E FISCALIZAÇÃO</w:t>
        <w:tab/>
        <w:t>■</w:t>
      </w:r>
    </w:p>
    <w:p>
      <w:pPr>
        <w:widowControl w:val="0"/>
        <w:jc w:val="center"/>
        <w:rPr>
          <w:sz w:val="2"/>
          <w:szCs w:val="2"/>
        </w:rPr>
        <w:sectPr>
          <w:headerReference w:type="default" r:id="rId24"/>
          <w:footerReference w:type="default" r:id="rId25"/>
          <w:headerReference w:type="even" r:id="rId26"/>
          <w:footerReference w:type="even" r:id="rId27"/>
          <w:footnotePr>
            <w:pos w:val="pageBottom"/>
            <w:numFmt w:val="decimal"/>
            <w:numRestart w:val="continuous"/>
          </w:footnotePr>
          <w:pgSz w:w="11900" w:h="16840"/>
          <w:pgMar w:top="1655" w:left="1419" w:right="1348" w:bottom="150" w:header="0" w:footer="3" w:gutter="0"/>
          <w:cols w:space="720"/>
          <w:noEndnote/>
          <w:rtlGutter w:val="0"/>
          <w:docGrid w:linePitch="360"/>
        </w:sectPr>
      </w:pPr>
      <w:r>
        <w:drawing>
          <wp:inline>
            <wp:extent cx="987425" cy="420370"/>
            <wp:docPr id="85" name="Picutre 85"/>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28"/>
                    <a:stretch/>
                  </pic:blipFill>
                  <pic:spPr>
                    <a:xfrm>
                      <a:ext cx="987425" cy="420370"/>
                    </a:xfrm>
                    <a:prstGeom prst="rect"/>
                  </pic:spPr>
                </pic:pic>
              </a:graphicData>
            </a:graphic>
          </wp:inline>
        </w:drawing>
      </w:r>
    </w:p>
    <w:p>
      <w:pPr>
        <w:pStyle w:val="Style10"/>
        <w:keepNext w:val="0"/>
        <w:keepLines w:val="0"/>
        <w:widowControl w:val="0"/>
        <w:numPr>
          <w:ilvl w:val="0"/>
          <w:numId w:val="35"/>
        </w:numPr>
        <w:shd w:val="clear" w:color="auto" w:fill="auto"/>
        <w:tabs>
          <w:tab w:pos="536" w:val="left"/>
        </w:tabs>
        <w:bidi w:val="0"/>
        <w:spacing w:before="120" w:after="0"/>
        <w:ind w:left="580" w:right="0" w:hanging="580"/>
        <w:jc w:val="left"/>
      </w:pPr>
      <w:r>
        <w:rPr>
          <w:rFonts w:ascii="Times New Roman" w:eastAsia="Times New Roman" w:hAnsi="Times New Roman" w:cs="Times New Roman"/>
          <w:color w:val="000000"/>
          <w:spacing w:val="0"/>
          <w:w w:val="100"/>
          <w:position w:val="0"/>
          <w:shd w:val="clear" w:color="auto" w:fill="auto"/>
          <w:lang w:val="pt-PT" w:eastAsia="pt-PT" w:bidi="pt-PT"/>
        </w:rPr>
        <w:t>Fica designado para representar a Secretaria Municipal de Administração, servidor(a) nomeado(a) por este documento, para acompanhar e fiscalizar a execução do presente Contrato.</w:t>
      </w:r>
    </w:p>
    <w:p>
      <w:pPr>
        <w:pStyle w:val="Style2"/>
        <w:keepNext/>
        <w:keepLines/>
        <w:widowControl w:val="0"/>
        <w:numPr>
          <w:ilvl w:val="0"/>
          <w:numId w:val="35"/>
        </w:numPr>
        <w:shd w:val="clear" w:color="auto" w:fill="auto"/>
        <w:tabs>
          <w:tab w:pos="536" w:val="left"/>
        </w:tabs>
        <w:bidi w:val="0"/>
        <w:spacing w:before="0" w:after="0" w:line="302" w:lineRule="auto"/>
        <w:ind w:left="800" w:right="0" w:hanging="800"/>
        <w:jc w:val="both"/>
      </w:pPr>
      <w:bookmarkStart w:id="12" w:name="bookmark12"/>
      <w:r>
        <w:rPr>
          <w:rFonts w:ascii="Times New Roman" w:eastAsia="Times New Roman" w:hAnsi="Times New Roman" w:cs="Times New Roman"/>
          <w:color w:val="000000"/>
          <w:spacing w:val="0"/>
          <w:w w:val="100"/>
          <w:position w:val="0"/>
          <w:shd w:val="clear" w:color="auto" w:fill="auto"/>
          <w:lang w:val="pt-PT" w:eastAsia="pt-PT" w:bidi="pt-PT"/>
        </w:rPr>
        <w:t>DO FISCAL DO CONTRATO</w:t>
      </w:r>
      <w:bookmarkEnd w:id="12"/>
    </w:p>
    <w:p>
      <w:pPr>
        <w:pStyle w:val="Style10"/>
        <w:keepNext w:val="0"/>
        <w:keepLines w:val="0"/>
        <w:widowControl w:val="0"/>
        <w:numPr>
          <w:ilvl w:val="0"/>
          <w:numId w:val="37"/>
        </w:numPr>
        <w:shd w:val="clear" w:color="auto" w:fill="auto"/>
        <w:tabs>
          <w:tab w:pos="776"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execução do contrato deverá ser acompanhada e fiscalizada pelo(s) fiscal(is) do contrato, ou pelos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respectivos </w:t>
      </w:r>
      <w:r>
        <w:rPr>
          <w:rFonts w:ascii="Times New Roman" w:eastAsia="Times New Roman" w:hAnsi="Times New Roman" w:cs="Times New Roman"/>
          <w:color w:val="000000"/>
          <w:spacing w:val="0"/>
          <w:w w:val="100"/>
          <w:position w:val="0"/>
          <w:shd w:val="clear" w:color="auto" w:fill="auto"/>
          <w:lang w:val="pt-PT" w:eastAsia="pt-PT" w:bidi="pt-PT"/>
        </w:rPr>
        <w:t xml:space="preserve">substitutos (Lei n° 14.133/2021, art. 117,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caput</w:t>
      </w:r>
      <w:r>
        <w:rPr>
          <w:rFonts w:ascii="Times New Roman" w:eastAsia="Times New Roman" w:hAnsi="Times New Roman" w:cs="Times New Roman"/>
          <w:color w:val="000000"/>
          <w:spacing w:val="0"/>
          <w:w w:val="100"/>
          <w:position w:val="0"/>
          <w:shd w:val="clear" w:color="auto" w:fill="auto"/>
          <w:lang w:val="pt-PT" w:eastAsia="pt-PT" w:bidi="pt-PT"/>
        </w:rPr>
        <w:t xml:space="preserve"> c/c art. 30 do Decreto Municipal n° 13, de 10 de abril de 2024);</w:t>
      </w:r>
    </w:p>
    <w:p>
      <w:pPr>
        <w:pStyle w:val="Style10"/>
        <w:keepNext w:val="0"/>
        <w:keepLines w:val="0"/>
        <w:widowControl w:val="0"/>
        <w:numPr>
          <w:ilvl w:val="0"/>
          <w:numId w:val="37"/>
        </w:numPr>
        <w:shd w:val="clear" w:color="auto" w:fill="auto"/>
        <w:tabs>
          <w:tab w:pos="776"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A fiscalização da contratação será exercida por servidor(a) designado(a) por meio de Portaria, ao qual competirá dirimir as dúvidas que surgirem no curso da execução do contrato, e de tudo dará ciência à Administração Pública;</w:t>
      </w:r>
    </w:p>
    <w:p>
      <w:pPr>
        <w:pStyle w:val="Style10"/>
        <w:keepNext w:val="0"/>
        <w:keepLines w:val="0"/>
        <w:widowControl w:val="0"/>
        <w:numPr>
          <w:ilvl w:val="0"/>
          <w:numId w:val="37"/>
        </w:numPr>
        <w:shd w:val="clear" w:color="auto" w:fill="auto"/>
        <w:tabs>
          <w:tab w:pos="776"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A fiscalização de que trata este item não exclui nem reduz a responsabilidade do contratado(a) pelos danos causados diretamente à Administração ou a terceiros em razão da execução do contrato, e não excluirá nem reduzirá essa responsabilidade a fiscalização ou o acompanhamento pelo contratante, nos termos do art. 120 da Lei Federal n° 14.133/21;</w:t>
      </w:r>
    </w:p>
    <w:p>
      <w:pPr>
        <w:pStyle w:val="Style10"/>
        <w:keepNext w:val="0"/>
        <w:keepLines w:val="0"/>
        <w:widowControl w:val="0"/>
        <w:numPr>
          <w:ilvl w:val="0"/>
          <w:numId w:val="37"/>
        </w:numPr>
        <w:shd w:val="clear" w:color="auto" w:fill="auto"/>
        <w:tabs>
          <w:tab w:pos="776"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Caberá à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Sra. ROSINEIDE PEREIRA DA SILVA, </w:t>
      </w:r>
      <w:r>
        <w:rPr>
          <w:rFonts w:ascii="Times New Roman" w:eastAsia="Times New Roman" w:hAnsi="Times New Roman" w:cs="Times New Roman"/>
          <w:color w:val="000000"/>
          <w:spacing w:val="0"/>
          <w:w w:val="100"/>
          <w:position w:val="0"/>
          <w:shd w:val="clear" w:color="auto" w:fill="auto"/>
          <w:lang w:val="pt-PT" w:eastAsia="pt-PT" w:bidi="pt-PT"/>
        </w:rPr>
        <w:t>inscrito(a) no CPF sob o n° 601.089.082-</w:t>
      </w:r>
    </w:p>
    <w:p>
      <w:pPr>
        <w:pStyle w:val="Style10"/>
        <w:keepNext w:val="0"/>
        <w:keepLines w:val="0"/>
        <w:widowControl w:val="0"/>
        <w:shd w:val="clear" w:color="auto" w:fill="auto"/>
        <w:bidi w:val="0"/>
        <w:spacing w:before="0" w:after="0"/>
        <w:ind w:left="8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91, servidor público na função de Auxiliar Administrativo, matrícula n° 128, do Município de Jutaí (AM), para atuar como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FISCAL DO CONTRATO </w:t>
      </w:r>
      <w:r>
        <w:rPr>
          <w:rFonts w:ascii="Times New Roman" w:eastAsia="Times New Roman" w:hAnsi="Times New Roman" w:cs="Times New Roman"/>
          <w:color w:val="000000"/>
          <w:spacing w:val="0"/>
          <w:w w:val="100"/>
          <w:position w:val="0"/>
          <w:shd w:val="clear" w:color="auto" w:fill="auto"/>
          <w:lang w:val="pt-PT" w:eastAsia="pt-PT" w:bidi="pt-PT"/>
        </w:rPr>
        <w:t>em questão, conforme os arts. 117 e 118 da Lei n° 14.133/2021 c/c art. 30 do Decreto Municipal n° 013/2024- GP, com as seguintes atribuições:</w:t>
      </w:r>
    </w:p>
    <w:p>
      <w:pPr>
        <w:pStyle w:val="Style10"/>
        <w:keepNext w:val="0"/>
        <w:keepLines w:val="0"/>
        <w:widowControl w:val="0"/>
        <w:numPr>
          <w:ilvl w:val="0"/>
          <w:numId w:val="39"/>
        </w:numPr>
        <w:shd w:val="clear" w:color="auto" w:fill="auto"/>
        <w:tabs>
          <w:tab w:pos="776" w:val="left"/>
        </w:tabs>
        <w:bidi w:val="0"/>
        <w:spacing w:before="0" w:after="0"/>
        <w:ind w:left="800" w:right="0" w:hanging="480"/>
        <w:jc w:val="both"/>
      </w:pPr>
      <w:r>
        <w:rPr>
          <w:rFonts w:ascii="Times New Roman" w:eastAsia="Times New Roman" w:hAnsi="Times New Roman" w:cs="Times New Roman"/>
          <w:color w:val="000000"/>
          <w:spacing w:val="0"/>
          <w:w w:val="100"/>
          <w:position w:val="0"/>
          <w:shd w:val="clear" w:color="auto" w:fill="auto"/>
          <w:lang w:val="pt-PT" w:eastAsia="pt-PT" w:bidi="pt-PT"/>
        </w:rPr>
        <w:t>prestar apoio técnico e operacional ao gestor do contrato, com a realização das tarefas de controle dos prazos relacionados ao contrato, à formalização de apostilamentos e termos aditivos, ao acompanhamento do empenho e pagamento, além de garantias e glosas;</w:t>
      </w:r>
    </w:p>
    <w:p>
      <w:pPr>
        <w:pStyle w:val="Style10"/>
        <w:keepNext w:val="0"/>
        <w:keepLines w:val="0"/>
        <w:widowControl w:val="0"/>
        <w:numPr>
          <w:ilvl w:val="0"/>
          <w:numId w:val="39"/>
        </w:numPr>
        <w:shd w:val="clear" w:color="auto" w:fill="auto"/>
        <w:tabs>
          <w:tab w:pos="776" w:val="left"/>
        </w:tabs>
        <w:bidi w:val="0"/>
        <w:spacing w:before="0" w:after="0"/>
        <w:ind w:left="8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verificar a manutenção das condições de habilitação da contratada, com a solicitação dos documentos comprobatórios pertinentes, caso necessário;</w:t>
      </w:r>
    </w:p>
    <w:p>
      <w:pPr>
        <w:pStyle w:val="Style10"/>
        <w:keepNext w:val="0"/>
        <w:keepLines w:val="0"/>
        <w:widowControl w:val="0"/>
        <w:numPr>
          <w:ilvl w:val="0"/>
          <w:numId w:val="39"/>
        </w:numPr>
        <w:shd w:val="clear" w:color="auto" w:fill="auto"/>
        <w:tabs>
          <w:tab w:pos="776" w:val="left"/>
        </w:tabs>
        <w:bidi w:val="0"/>
        <w:spacing w:before="0" w:after="0"/>
        <w:ind w:left="800" w:right="0" w:hanging="620"/>
        <w:jc w:val="both"/>
      </w:pPr>
      <w:r>
        <w:rPr>
          <w:rFonts w:ascii="Times New Roman" w:eastAsia="Times New Roman" w:hAnsi="Times New Roman" w:cs="Times New Roman"/>
          <w:color w:val="000000"/>
          <w:spacing w:val="0"/>
          <w:w w:val="100"/>
          <w:position w:val="0"/>
          <w:shd w:val="clear" w:color="auto" w:fill="auto"/>
          <w:lang w:val="pt-PT" w:eastAsia="pt-PT" w:bidi="pt-PT"/>
        </w:rPr>
        <w:t>atuar tempestivamente na solução de eventuais problemas relacionados ao descumprimento das obrigações contratuais e reportar ao gestor do contrato, para que tome as providências cabíveis, quando ultrapassar a sua competência;</w:t>
      </w:r>
    </w:p>
    <w:p>
      <w:pPr>
        <w:pStyle w:val="Style10"/>
        <w:keepNext w:val="0"/>
        <w:keepLines w:val="0"/>
        <w:widowControl w:val="0"/>
        <w:numPr>
          <w:ilvl w:val="0"/>
          <w:numId w:val="39"/>
        </w:numPr>
        <w:shd w:val="clear" w:color="auto" w:fill="auto"/>
        <w:tabs>
          <w:tab w:pos="776" w:val="left"/>
        </w:tabs>
        <w:bidi w:val="0"/>
        <w:spacing w:before="0" w:after="0"/>
        <w:ind w:left="800" w:right="0" w:hanging="620"/>
        <w:jc w:val="both"/>
      </w:pPr>
      <w:r>
        <w:rPr>
          <w:rFonts w:ascii="Times New Roman" w:eastAsia="Times New Roman" w:hAnsi="Times New Roman" w:cs="Times New Roman"/>
          <w:color w:val="000000"/>
          <w:spacing w:val="0"/>
          <w:w w:val="100"/>
          <w:position w:val="0"/>
          <w:shd w:val="clear" w:color="auto" w:fill="auto"/>
          <w:lang w:val="pt-PT" w:eastAsia="pt-PT" w:bidi="pt-PT"/>
        </w:rPr>
        <w:t>emitir notificações à contratada para a correção de rotinas ou de qualquer inexatidão ou irregularidade constatada, com a definição de prazo para a correção;</w:t>
      </w:r>
    </w:p>
    <w:p>
      <w:pPr>
        <w:pStyle w:val="Style10"/>
        <w:keepNext w:val="0"/>
        <w:keepLines w:val="0"/>
        <w:widowControl w:val="0"/>
        <w:numPr>
          <w:ilvl w:val="0"/>
          <w:numId w:val="39"/>
        </w:numPr>
        <w:shd w:val="clear" w:color="auto" w:fill="auto"/>
        <w:tabs>
          <w:tab w:pos="776" w:val="left"/>
        </w:tabs>
        <w:bidi w:val="0"/>
        <w:spacing w:before="0" w:after="0"/>
        <w:ind w:left="8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informar ao gestor do contrato, em tempo hábil, a situação que demandar decisão ou adoção de medidas que ultrapassem a sua competência, para que adote as medidas necessárias e saneadoras, se for o caso;</w:t>
      </w:r>
    </w:p>
    <w:p>
      <w:pPr>
        <w:pStyle w:val="Style10"/>
        <w:keepNext w:val="0"/>
        <w:keepLines w:val="0"/>
        <w:widowControl w:val="0"/>
        <w:numPr>
          <w:ilvl w:val="0"/>
          <w:numId w:val="39"/>
        </w:numPr>
        <w:shd w:val="clear" w:color="auto" w:fill="auto"/>
        <w:tabs>
          <w:tab w:pos="776" w:val="left"/>
        </w:tabs>
        <w:bidi w:val="0"/>
        <w:spacing w:before="0" w:after="0"/>
        <w:ind w:left="800" w:right="0" w:hanging="620"/>
        <w:jc w:val="both"/>
      </w:pPr>
      <w:r>
        <w:rPr>
          <w:rFonts w:ascii="Times New Roman" w:eastAsia="Times New Roman" w:hAnsi="Times New Roman" w:cs="Times New Roman"/>
          <w:color w:val="000000"/>
          <w:spacing w:val="0"/>
          <w:w w:val="100"/>
          <w:position w:val="0"/>
          <w:shd w:val="clear" w:color="auto" w:fill="auto"/>
          <w:lang w:val="pt-PT" w:eastAsia="pt-PT" w:bidi="pt-PT"/>
        </w:rPr>
        <w:t>comunicar imediatamente ao gestor do contrato quaisquer ocorrências que possam inviabilizar a execução do contrato nas datas estabelecidas;</w:t>
      </w:r>
    </w:p>
    <w:p>
      <w:pPr>
        <w:pStyle w:val="Style10"/>
        <w:keepNext w:val="0"/>
        <w:keepLines w:val="0"/>
        <w:widowControl w:val="0"/>
        <w:numPr>
          <w:ilvl w:val="0"/>
          <w:numId w:val="39"/>
        </w:numPr>
        <w:shd w:val="clear" w:color="auto" w:fill="auto"/>
        <w:tabs>
          <w:tab w:pos="776"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fiscalizar a execução do contrato, para que sejam cumpridas as condições estabelecidas, de modo a assegurar os melhores resultados para a administração, com a conferência das notas fiscais e das documentações exigidas para o pagamento e, após o ateste, encaminhar ao gestor de contrato para ratificação;</w:t>
      </w:r>
    </w:p>
    <w:p>
      <w:pPr>
        <w:pStyle w:val="Style10"/>
        <w:keepNext w:val="0"/>
        <w:keepLines w:val="0"/>
        <w:widowControl w:val="0"/>
        <w:numPr>
          <w:ilvl w:val="0"/>
          <w:numId w:val="39"/>
        </w:numPr>
        <w:shd w:val="clear" w:color="auto" w:fill="auto"/>
        <w:tabs>
          <w:tab w:pos="776"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verificar se os profissionais indicados na licitação, sobretudo os apontados nos atestados de </w:t>
      </w:r>
      <w:r>
        <w:rPr>
          <w:rFonts w:ascii="Times New Roman" w:eastAsia="Times New Roman" w:hAnsi="Times New Roman" w:cs="Times New Roman"/>
          <w:color w:val="000000"/>
          <w:spacing w:val="0"/>
          <w:w w:val="100"/>
          <w:position w:val="0"/>
          <w:shd w:val="clear" w:color="auto" w:fill="auto"/>
          <w:lang w:val="pt-BR" w:eastAsia="pt-BR" w:bidi="pt-BR"/>
        </w:rPr>
        <w:t xml:space="preserve">capacitação </w:t>
      </w:r>
      <w:r>
        <w:rPr>
          <w:rFonts w:ascii="Times New Roman" w:eastAsia="Times New Roman" w:hAnsi="Times New Roman" w:cs="Times New Roman"/>
          <w:color w:val="000000"/>
          <w:spacing w:val="0"/>
          <w:w w:val="100"/>
          <w:position w:val="0"/>
          <w:shd w:val="clear" w:color="auto" w:fill="auto"/>
          <w:lang w:val="pt-PT" w:eastAsia="pt-PT" w:bidi="pt-PT"/>
        </w:rPr>
        <w:t xml:space="preserve">técnica ou para </w:t>
      </w:r>
      <w:r>
        <w:rPr>
          <w:rFonts w:ascii="Times New Roman" w:eastAsia="Times New Roman" w:hAnsi="Times New Roman" w:cs="Times New Roman"/>
          <w:color w:val="000000"/>
          <w:spacing w:val="0"/>
          <w:w w:val="100"/>
          <w:position w:val="0"/>
          <w:shd w:val="clear" w:color="auto" w:fill="auto"/>
          <w:lang w:val="pt-BR" w:eastAsia="pt-BR" w:bidi="pt-BR"/>
        </w:rPr>
        <w:t xml:space="preserve">fins </w:t>
      </w:r>
      <w:r>
        <w:rPr>
          <w:rFonts w:ascii="Times New Roman" w:eastAsia="Times New Roman" w:hAnsi="Times New Roman" w:cs="Times New Roman"/>
          <w:color w:val="000000"/>
          <w:spacing w:val="0"/>
          <w:w w:val="100"/>
          <w:position w:val="0"/>
          <w:shd w:val="clear" w:color="auto" w:fill="auto"/>
          <w:lang w:val="pt-PT" w:eastAsia="pt-PT" w:bidi="pt-PT"/>
        </w:rPr>
        <w:t>de pontuação da proposta técnica (licitações pelo tipo técnica e preço), efetivamente participam da execução do contrato;</w:t>
      </w:r>
    </w:p>
    <w:p>
      <w:pPr>
        <w:pStyle w:val="Style10"/>
        <w:keepNext w:val="0"/>
        <w:keepLines w:val="0"/>
        <w:widowControl w:val="0"/>
        <w:numPr>
          <w:ilvl w:val="0"/>
          <w:numId w:val="39"/>
        </w:numPr>
        <w:shd w:val="clear" w:color="auto" w:fill="auto"/>
        <w:tabs>
          <w:tab w:pos="776" w:val="left"/>
        </w:tabs>
        <w:bidi w:val="0"/>
        <w:spacing w:before="0" w:after="0"/>
        <w:ind w:left="800" w:right="0" w:hanging="620"/>
        <w:jc w:val="both"/>
      </w:pPr>
      <w:r>
        <w:rPr>
          <w:rFonts w:ascii="Times New Roman" w:eastAsia="Times New Roman" w:hAnsi="Times New Roman" w:cs="Times New Roman"/>
          <w:color w:val="000000"/>
          <w:spacing w:val="0"/>
          <w:w w:val="100"/>
          <w:position w:val="0"/>
          <w:shd w:val="clear" w:color="auto" w:fill="auto"/>
          <w:lang w:val="pt-PT" w:eastAsia="pt-PT" w:bidi="pt-PT"/>
        </w:rPr>
        <w:t>verificar se o(a) contratado(a) respeita as normas pertinentes à segurança do trabalho e demais regras trabalhistas;</w:t>
      </w:r>
    </w:p>
    <w:p>
      <w:pPr>
        <w:pStyle w:val="Style10"/>
        <w:keepNext w:val="0"/>
        <w:keepLines w:val="0"/>
        <w:widowControl w:val="0"/>
        <w:numPr>
          <w:ilvl w:val="0"/>
          <w:numId w:val="39"/>
        </w:numPr>
        <w:shd w:val="clear" w:color="auto" w:fill="auto"/>
        <w:tabs>
          <w:tab w:pos="776" w:val="left"/>
        </w:tabs>
        <w:bidi w:val="0"/>
        <w:spacing w:before="0" w:after="0"/>
        <w:ind w:left="8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acompanhar o cronograma de execução do contrato;</w:t>
      </w:r>
    </w:p>
    <w:p>
      <w:pPr>
        <w:pStyle w:val="Style10"/>
        <w:keepNext w:val="0"/>
        <w:keepLines w:val="0"/>
        <w:widowControl w:val="0"/>
        <w:numPr>
          <w:ilvl w:val="0"/>
          <w:numId w:val="39"/>
        </w:numPr>
        <w:shd w:val="clear" w:color="auto" w:fill="auto"/>
        <w:tabs>
          <w:tab w:pos="776" w:val="left"/>
        </w:tabs>
        <w:bidi w:val="0"/>
        <w:spacing w:before="0" w:after="0"/>
        <w:ind w:left="800" w:right="0" w:hanging="620"/>
        <w:jc w:val="both"/>
      </w:pPr>
      <w:r>
        <w:rPr>
          <w:rFonts w:ascii="Times New Roman" w:eastAsia="Times New Roman" w:hAnsi="Times New Roman" w:cs="Times New Roman"/>
          <w:color w:val="000000"/>
          <w:spacing w:val="0"/>
          <w:w w:val="100"/>
          <w:position w:val="0"/>
          <w:shd w:val="clear" w:color="auto" w:fill="auto"/>
          <w:lang w:val="pt-PT" w:eastAsia="pt-PT" w:bidi="pt-PT"/>
        </w:rPr>
        <w:t>verificar se houve subcontratação ou cessão contratual em desacordo com o contrato ou fora das hipóteses admitidas em lei;</w:t>
      </w:r>
    </w:p>
    <w:p>
      <w:pPr>
        <w:pStyle w:val="Style10"/>
        <w:keepNext w:val="0"/>
        <w:keepLines w:val="0"/>
        <w:widowControl w:val="0"/>
        <w:numPr>
          <w:ilvl w:val="0"/>
          <w:numId w:val="39"/>
        </w:numPr>
        <w:shd w:val="clear" w:color="auto" w:fill="auto"/>
        <w:tabs>
          <w:tab w:pos="776"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verificar a quantidade e a qualidade dos materiais e insumos empregados na execução do contrato;</w:t>
      </w:r>
      <w:r>
        <w:br w:type="page"/>
      </w:r>
    </w:p>
    <w:p>
      <w:pPr>
        <w:pStyle w:val="Style10"/>
        <w:keepNext w:val="0"/>
        <w:keepLines w:val="0"/>
        <w:widowControl w:val="0"/>
        <w:numPr>
          <w:ilvl w:val="0"/>
          <w:numId w:val="39"/>
        </w:numPr>
        <w:shd w:val="clear" w:color="auto" w:fill="auto"/>
        <w:tabs>
          <w:tab w:pos="773" w:val="left"/>
        </w:tabs>
        <w:bidi w:val="0"/>
        <w:spacing w:before="0" w:after="0"/>
        <w:ind w:left="72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verificar se o contratado toma as precauções necessárias para evitar que a execução do contrato eventualmente cause danos a terceiros;</w:t>
      </w:r>
    </w:p>
    <w:p>
      <w:pPr>
        <w:pStyle w:val="Style10"/>
        <w:keepNext w:val="0"/>
        <w:keepLines w:val="0"/>
        <w:widowControl w:val="0"/>
        <w:numPr>
          <w:ilvl w:val="0"/>
          <w:numId w:val="39"/>
        </w:numPr>
        <w:shd w:val="clear" w:color="auto" w:fill="auto"/>
        <w:tabs>
          <w:tab w:pos="773" w:val="left"/>
        </w:tabs>
        <w:bidi w:val="0"/>
        <w:spacing w:before="0" w:after="0"/>
        <w:ind w:left="72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participar da atualização do relatório de riscos durante a fase de gestão do contrato;</w:t>
      </w:r>
    </w:p>
    <w:p>
      <w:pPr>
        <w:pStyle w:val="Style10"/>
        <w:keepNext w:val="0"/>
        <w:keepLines w:val="0"/>
        <w:widowControl w:val="0"/>
        <w:numPr>
          <w:ilvl w:val="0"/>
          <w:numId w:val="39"/>
        </w:numPr>
        <w:shd w:val="clear" w:color="auto" w:fill="auto"/>
        <w:tabs>
          <w:tab w:pos="773" w:val="left"/>
        </w:tabs>
        <w:bidi w:val="0"/>
        <w:spacing w:before="0" w:after="0"/>
        <w:ind w:left="72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realizar o recebimento provisório do objeto do contrato, mediante termo detalhado que comprove o cumprimento das exigências contratuais;</w:t>
      </w:r>
    </w:p>
    <w:p>
      <w:pPr>
        <w:pStyle w:val="Style10"/>
        <w:keepNext w:val="0"/>
        <w:keepLines w:val="0"/>
        <w:widowControl w:val="0"/>
        <w:numPr>
          <w:ilvl w:val="0"/>
          <w:numId w:val="39"/>
        </w:numPr>
        <w:shd w:val="clear" w:color="auto" w:fill="auto"/>
        <w:tabs>
          <w:tab w:pos="773" w:val="left"/>
        </w:tabs>
        <w:bidi w:val="0"/>
        <w:spacing w:before="0" w:after="0"/>
        <w:ind w:left="72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informar, mensalmente, por escrito, ao gestor do contrato, todas as ocorrências relacionadas à execução do contrato, com a descrição do que for necessário para a regularização das faltas ou dos defeitos observados;</w:t>
      </w:r>
    </w:p>
    <w:p>
      <w:pPr>
        <w:pStyle w:val="Style10"/>
        <w:keepNext w:val="0"/>
        <w:keepLines w:val="0"/>
        <w:widowControl w:val="0"/>
        <w:numPr>
          <w:ilvl w:val="0"/>
          <w:numId w:val="39"/>
        </w:numPr>
        <w:shd w:val="clear" w:color="auto" w:fill="auto"/>
        <w:tabs>
          <w:tab w:pos="773" w:val="left"/>
        </w:tabs>
        <w:bidi w:val="0"/>
        <w:spacing w:before="0" w:after="0"/>
        <w:ind w:left="720" w:right="0" w:hanging="880"/>
        <w:jc w:val="both"/>
      </w:pPr>
      <w:r>
        <w:rPr>
          <w:rFonts w:ascii="Times New Roman" w:eastAsia="Times New Roman" w:hAnsi="Times New Roman" w:cs="Times New Roman"/>
          <w:color w:val="000000"/>
          <w:spacing w:val="0"/>
          <w:w w:val="100"/>
          <w:position w:val="0"/>
          <w:shd w:val="clear" w:color="auto" w:fill="auto"/>
          <w:lang w:val="pt-PT" w:eastAsia="pt-PT" w:bidi="pt-PT"/>
        </w:rPr>
        <w:t>auxiliar o gestor do contrato com as informações necessárias, na elaboração do documento comprobatório da avaliação realizada na fiscalização do cumprimento de obrigações assumidas pelo contratado;</w:t>
      </w:r>
    </w:p>
    <w:p>
      <w:pPr>
        <w:pStyle w:val="Style10"/>
        <w:keepNext w:val="0"/>
        <w:keepLines w:val="0"/>
        <w:widowControl w:val="0"/>
        <w:shd w:val="clear" w:color="auto" w:fill="auto"/>
        <w:bidi w:val="0"/>
        <w:spacing w:before="0" w:after="0"/>
        <w:ind w:left="720" w:right="0" w:hanging="960"/>
        <w:jc w:val="left"/>
      </w:pPr>
      <w:r>
        <w:rPr>
          <w:rFonts w:ascii="Times New Roman" w:eastAsia="Times New Roman" w:hAnsi="Times New Roman" w:cs="Times New Roman"/>
          <w:color w:val="000000"/>
          <w:spacing w:val="0"/>
          <w:w w:val="100"/>
          <w:position w:val="0"/>
          <w:shd w:val="clear" w:color="auto" w:fill="auto"/>
          <w:lang w:val="pt-PT" w:eastAsia="pt-PT" w:bidi="pt-PT"/>
        </w:rPr>
        <w:t>XVIII. comunicar ao gestor do contrato, em tempo hábil, a proximidade do término do contrato sob sua responsabilidade, com vistas à renovação tempestiva ou à prorrogação contratual.</w:t>
      </w:r>
    </w:p>
    <w:p>
      <w:pPr>
        <w:pStyle w:val="Style2"/>
        <w:keepNext/>
        <w:keepLines/>
        <w:widowControl w:val="0"/>
        <w:numPr>
          <w:ilvl w:val="0"/>
          <w:numId w:val="35"/>
        </w:numPr>
        <w:shd w:val="clear" w:color="auto" w:fill="auto"/>
        <w:tabs>
          <w:tab w:pos="548" w:val="left"/>
        </w:tabs>
        <w:bidi w:val="0"/>
        <w:spacing w:before="0" w:after="60"/>
        <w:ind w:left="0" w:right="0" w:firstLine="0"/>
        <w:jc w:val="both"/>
        <w:rPr>
          <w:sz w:val="20"/>
          <w:szCs w:val="20"/>
        </w:rPr>
      </w:pPr>
      <w:bookmarkStart w:id="13" w:name="bookmark13"/>
      <w:r>
        <w:rPr>
          <w:rFonts w:ascii="Times New Roman" w:eastAsia="Times New Roman" w:hAnsi="Times New Roman" w:cs="Times New Roman"/>
          <w:color w:val="000000"/>
          <w:spacing w:val="0"/>
          <w:w w:val="100"/>
          <w:position w:val="0"/>
          <w:sz w:val="22"/>
          <w:szCs w:val="22"/>
          <w:shd w:val="clear" w:color="auto" w:fill="auto"/>
          <w:lang w:val="pt-PT" w:eastAsia="pt-PT" w:bidi="pt-PT"/>
        </w:rPr>
        <w:t>GESTOR DO CONTRATO</w:t>
      </w:r>
      <w:bookmarkEnd w:id="13"/>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 </w:t>
      </w:r>
      <w:r>
        <w:rPr>
          <w:rStyle w:val="CharStyle11"/>
          <w:sz w:val="22"/>
          <w:szCs w:val="22"/>
        </w:rPr>
        <w:t xml:space="preserve">10.3.1. </w:t>
      </w:r>
      <w:r>
        <w:rPr>
          <w:rStyle w:val="CharStyle11"/>
          <w:b w:val="0"/>
          <w:bCs w:val="0"/>
        </w:rPr>
        <w:t xml:space="preserve">Caberá à Sra. </w:t>
      </w:r>
      <w:r>
        <w:rPr>
          <w:rStyle w:val="CharStyle11"/>
          <w:sz w:val="22"/>
          <w:szCs w:val="22"/>
        </w:rPr>
        <w:t xml:space="preserve">Sra. ELENA DA GAMA PEREIRA, </w:t>
      </w:r>
      <w:r>
        <w:rPr>
          <w:rStyle w:val="CharStyle11"/>
          <w:b w:val="0"/>
          <w:bCs w:val="0"/>
        </w:rPr>
        <w:t>inscrito(a) no CPF sob o n° 600.829.682-</w:t>
      </w:r>
    </w:p>
    <w:p>
      <w:pPr>
        <w:pStyle w:val="Style10"/>
        <w:keepNext w:val="0"/>
        <w:keepLines w:val="0"/>
        <w:widowControl w:val="0"/>
        <w:shd w:val="clear" w:color="auto" w:fill="auto"/>
        <w:bidi w:val="0"/>
        <w:spacing w:before="0" w:after="0"/>
        <w:ind w:left="0" w:right="0" w:firstLine="720"/>
        <w:jc w:val="left"/>
      </w:pPr>
      <w:r>
        <mc:AlternateContent>
          <mc:Choice Requires="wps">
            <w:drawing>
              <wp:anchor distT="190500" distB="2788920" distL="281940" distR="190500" simplePos="0" relativeHeight="125829381" behindDoc="0" locked="0" layoutInCell="1" allowOverlap="1">
                <wp:simplePos x="0" y="0"/>
                <wp:positionH relativeFrom="page">
                  <wp:posOffset>916305</wp:posOffset>
                </wp:positionH>
                <wp:positionV relativeFrom="margin">
                  <wp:posOffset>3375660</wp:posOffset>
                </wp:positionV>
                <wp:extent cx="209550" cy="2381250"/>
                <wp:wrapSquare wrapText="bothSides"/>
                <wp:docPr id="86" name="Shape 86"/>
                <a:graphic xmlns:a="http://schemas.openxmlformats.org/drawingml/2006/main">
                  <a:graphicData uri="http://schemas.microsoft.com/office/word/2010/wordprocessingShape">
                    <wps:wsp>
                      <wps:cNvSpPr txBox="1"/>
                      <wps:spPr>
                        <a:xfrm>
                          <a:ext cx="209550" cy="2381250"/>
                        </a:xfrm>
                        <a:prstGeom prst="rect"/>
                        <a:noFill/>
                      </wps:spPr>
                      <wps:txbx>
                        <w:txbxContent>
                          <w:p>
                            <w:pPr>
                              <w:pStyle w:val="Style10"/>
                              <w:keepNext w:val="0"/>
                              <w:keepLines w:val="0"/>
                              <w:widowControl w:val="0"/>
                              <w:shd w:val="clear" w:color="auto" w:fill="auto"/>
                              <w:bidi w:val="0"/>
                              <w:spacing w:before="0" w:after="60" w:line="240" w:lineRule="auto"/>
                              <w:ind w:left="1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w:t>
                            </w:r>
                          </w:p>
                          <w:p>
                            <w:pPr>
                              <w:pStyle w:val="Style10"/>
                              <w:keepNext w:val="0"/>
                              <w:keepLines w:val="0"/>
                              <w:widowControl w:val="0"/>
                              <w:shd w:val="clear" w:color="auto" w:fill="auto"/>
                              <w:bidi w:val="0"/>
                              <w:spacing w:before="0" w:after="3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II.</w:t>
                            </w:r>
                          </w:p>
                          <w:p>
                            <w:pPr>
                              <w:pStyle w:val="Style10"/>
                              <w:keepNext w:val="0"/>
                              <w:keepLines w:val="0"/>
                              <w:widowControl w:val="0"/>
                              <w:shd w:val="clear" w:color="auto" w:fill="auto"/>
                              <w:bidi w:val="0"/>
                              <w:spacing w:before="0" w:after="120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III.</w:t>
                            </w:r>
                          </w:p>
                          <w:p>
                            <w:pPr>
                              <w:pStyle w:val="Style10"/>
                              <w:keepNext w:val="0"/>
                              <w:keepLines w:val="0"/>
                              <w:widowControl w:val="0"/>
                              <w:shd w:val="clear" w:color="auto" w:fill="auto"/>
                              <w:bidi w:val="0"/>
                              <w:spacing w:before="0" w:after="92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IV.</w:t>
                            </w:r>
                          </w:p>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w:t>
                            </w:r>
                          </w:p>
                        </w:txbxContent>
                      </wps:txbx>
                      <wps:bodyPr lIns="0" tIns="0" rIns="0" bIns="0">
                        <a:noAutoFit/>
                      </wps:bodyPr>
                    </wps:wsp>
                  </a:graphicData>
                </a:graphic>
              </wp:anchor>
            </w:drawing>
          </mc:Choice>
          <mc:Fallback>
            <w:pict>
              <v:shape id="_x0000_s1112" type="#_x0000_t202" style="position:absolute;margin-left:72.150000000000006pt;margin-top:265.80000000000001pt;width:16.5pt;height:187.5pt;z-index:-125829372;mso-wrap-distance-left:22.199999999999999pt;mso-wrap-distance-top:15.pt;mso-wrap-distance-right:15.pt;mso-wrap-distance-bottom:219.59999999999999pt;mso-position-horizontal-relative:page;mso-position-vertical-relative:margin" filled="f" stroked="f">
                <v:textbox inset="0,0,0,0">
                  <w:txbxContent>
                    <w:p>
                      <w:pPr>
                        <w:pStyle w:val="Style10"/>
                        <w:keepNext w:val="0"/>
                        <w:keepLines w:val="0"/>
                        <w:widowControl w:val="0"/>
                        <w:shd w:val="clear" w:color="auto" w:fill="auto"/>
                        <w:bidi w:val="0"/>
                        <w:spacing w:before="0" w:after="60" w:line="240" w:lineRule="auto"/>
                        <w:ind w:left="1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w:t>
                      </w:r>
                    </w:p>
                    <w:p>
                      <w:pPr>
                        <w:pStyle w:val="Style10"/>
                        <w:keepNext w:val="0"/>
                        <w:keepLines w:val="0"/>
                        <w:widowControl w:val="0"/>
                        <w:shd w:val="clear" w:color="auto" w:fill="auto"/>
                        <w:bidi w:val="0"/>
                        <w:spacing w:before="0" w:after="3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II.</w:t>
                      </w:r>
                    </w:p>
                    <w:p>
                      <w:pPr>
                        <w:pStyle w:val="Style10"/>
                        <w:keepNext w:val="0"/>
                        <w:keepLines w:val="0"/>
                        <w:widowControl w:val="0"/>
                        <w:shd w:val="clear" w:color="auto" w:fill="auto"/>
                        <w:bidi w:val="0"/>
                        <w:spacing w:before="0" w:after="120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III.</w:t>
                      </w:r>
                    </w:p>
                    <w:p>
                      <w:pPr>
                        <w:pStyle w:val="Style10"/>
                        <w:keepNext w:val="0"/>
                        <w:keepLines w:val="0"/>
                        <w:widowControl w:val="0"/>
                        <w:shd w:val="clear" w:color="auto" w:fill="auto"/>
                        <w:bidi w:val="0"/>
                        <w:spacing w:before="0" w:after="92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IV.</w:t>
                      </w:r>
                    </w:p>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w:t>
                      </w:r>
                    </w:p>
                  </w:txbxContent>
                </v:textbox>
                <w10:wrap type="square" anchorx="page" anchory="margin"/>
              </v:shape>
            </w:pict>
          </mc:Fallback>
        </mc:AlternateContent>
      </w:r>
      <w:r>
        <mc:AlternateContent>
          <mc:Choice Requires="wps">
            <w:drawing>
              <wp:anchor distT="2960370" distB="190500" distL="190500" distR="190500" simplePos="0" relativeHeight="125829383" behindDoc="0" locked="0" layoutInCell="1" allowOverlap="1">
                <wp:simplePos x="0" y="0"/>
                <wp:positionH relativeFrom="page">
                  <wp:posOffset>824865</wp:posOffset>
                </wp:positionH>
                <wp:positionV relativeFrom="margin">
                  <wp:posOffset>6145530</wp:posOffset>
                </wp:positionV>
                <wp:extent cx="300990" cy="2209800"/>
                <wp:wrapSquare wrapText="bothSides"/>
                <wp:docPr id="88" name="Shape 88"/>
                <a:graphic xmlns:a="http://schemas.openxmlformats.org/drawingml/2006/main">
                  <a:graphicData uri="http://schemas.microsoft.com/office/word/2010/wordprocessingShape">
                    <wps:wsp>
                      <wps:cNvSpPr txBox="1"/>
                      <wps:spPr>
                        <a:xfrm>
                          <a:ext cx="300990" cy="2209800"/>
                        </a:xfrm>
                        <a:prstGeom prst="rect"/>
                        <a:noFill/>
                      </wps:spPr>
                      <wps:txbx>
                        <w:txbxContent>
                          <w:p>
                            <w:pPr>
                              <w:pStyle w:val="Style10"/>
                              <w:keepNext w:val="0"/>
                              <w:keepLines w:val="0"/>
                              <w:widowControl w:val="0"/>
                              <w:shd w:val="clear" w:color="auto" w:fill="auto"/>
                              <w:bidi w:val="0"/>
                              <w:spacing w:before="0" w:after="60" w:line="240" w:lineRule="auto"/>
                              <w:ind w:left="1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VI.</w:t>
                            </w:r>
                          </w:p>
                          <w:p>
                            <w:pPr>
                              <w:pStyle w:val="Style10"/>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VII.</w:t>
                            </w:r>
                          </w:p>
                          <w:p>
                            <w:pPr>
                              <w:pStyle w:val="Style10"/>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VIII.</w:t>
                            </w:r>
                          </w:p>
                          <w:p>
                            <w:pPr>
                              <w:pStyle w:val="Style10"/>
                              <w:keepNext w:val="0"/>
                              <w:keepLines w:val="0"/>
                              <w:widowControl w:val="0"/>
                              <w:shd w:val="clear" w:color="auto" w:fill="auto"/>
                              <w:bidi w:val="0"/>
                              <w:spacing w:before="0" w:after="340" w:line="240" w:lineRule="auto"/>
                              <w:ind w:left="1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IX.</w:t>
                            </w:r>
                          </w:p>
                          <w:p>
                            <w:pPr>
                              <w:pStyle w:val="Style10"/>
                              <w:keepNext w:val="0"/>
                              <w:keepLines w:val="0"/>
                              <w:widowControl w:val="0"/>
                              <w:shd w:val="clear" w:color="auto" w:fill="auto"/>
                              <w:bidi w:val="0"/>
                              <w:spacing w:before="0" w:after="940" w:line="240" w:lineRule="auto"/>
                              <w:ind w:left="2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X.</w:t>
                            </w:r>
                          </w:p>
                          <w:p>
                            <w:pPr>
                              <w:pStyle w:val="Style10"/>
                              <w:keepNext w:val="0"/>
                              <w:keepLines w:val="0"/>
                              <w:widowControl w:val="0"/>
                              <w:shd w:val="clear" w:color="auto" w:fill="auto"/>
                              <w:bidi w:val="0"/>
                              <w:spacing w:before="0" w:after="340" w:line="240" w:lineRule="auto"/>
                              <w:ind w:left="1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XI.</w:t>
                            </w:r>
                          </w:p>
                        </w:txbxContent>
                      </wps:txbx>
                      <wps:bodyPr lIns="0" tIns="0" rIns="0" bIns="0">
                        <a:noAutoFit/>
                      </wps:bodyPr>
                    </wps:wsp>
                  </a:graphicData>
                </a:graphic>
              </wp:anchor>
            </w:drawing>
          </mc:Choice>
          <mc:Fallback>
            <w:pict>
              <v:shape id="_x0000_s1114" type="#_x0000_t202" style="position:absolute;margin-left:64.950000000000003pt;margin-top:483.89999999999998pt;width:23.699999999999999pt;height:174.pt;z-index:-125829370;mso-wrap-distance-left:15.pt;mso-wrap-distance-top:233.09999999999999pt;mso-wrap-distance-right:15.pt;mso-wrap-distance-bottom:15.pt;mso-position-horizontal-relative:page;mso-position-vertical-relative:margin" filled="f" stroked="f">
                <v:textbox inset="0,0,0,0">
                  <w:txbxContent>
                    <w:p>
                      <w:pPr>
                        <w:pStyle w:val="Style10"/>
                        <w:keepNext w:val="0"/>
                        <w:keepLines w:val="0"/>
                        <w:widowControl w:val="0"/>
                        <w:shd w:val="clear" w:color="auto" w:fill="auto"/>
                        <w:bidi w:val="0"/>
                        <w:spacing w:before="0" w:after="60" w:line="240" w:lineRule="auto"/>
                        <w:ind w:left="1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VI.</w:t>
                      </w:r>
                    </w:p>
                    <w:p>
                      <w:pPr>
                        <w:pStyle w:val="Style10"/>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VII.</w:t>
                      </w:r>
                    </w:p>
                    <w:p>
                      <w:pPr>
                        <w:pStyle w:val="Style10"/>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VIII.</w:t>
                      </w:r>
                    </w:p>
                    <w:p>
                      <w:pPr>
                        <w:pStyle w:val="Style10"/>
                        <w:keepNext w:val="0"/>
                        <w:keepLines w:val="0"/>
                        <w:widowControl w:val="0"/>
                        <w:shd w:val="clear" w:color="auto" w:fill="auto"/>
                        <w:bidi w:val="0"/>
                        <w:spacing w:before="0" w:after="340" w:line="240" w:lineRule="auto"/>
                        <w:ind w:left="1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IX.</w:t>
                      </w:r>
                    </w:p>
                    <w:p>
                      <w:pPr>
                        <w:pStyle w:val="Style10"/>
                        <w:keepNext w:val="0"/>
                        <w:keepLines w:val="0"/>
                        <w:widowControl w:val="0"/>
                        <w:shd w:val="clear" w:color="auto" w:fill="auto"/>
                        <w:bidi w:val="0"/>
                        <w:spacing w:before="0" w:after="940" w:line="240" w:lineRule="auto"/>
                        <w:ind w:left="2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X.</w:t>
                      </w:r>
                    </w:p>
                    <w:p>
                      <w:pPr>
                        <w:pStyle w:val="Style10"/>
                        <w:keepNext w:val="0"/>
                        <w:keepLines w:val="0"/>
                        <w:widowControl w:val="0"/>
                        <w:shd w:val="clear" w:color="auto" w:fill="auto"/>
                        <w:bidi w:val="0"/>
                        <w:spacing w:before="0" w:after="340" w:line="240" w:lineRule="auto"/>
                        <w:ind w:left="1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XI.</w:t>
                      </w:r>
                    </w:p>
                  </w:txbxContent>
                </v:textbox>
                <w10:wrap type="square" anchorx="page" anchory="margin"/>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 xml:space="preserve">68, servidor(a) público(a) na função de Agente Administrativo, matrícula n° 26, do Município de Jutaí (AM), para atuar como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GESTORA DO CONTRATO </w:t>
      </w:r>
      <w:r>
        <w:rPr>
          <w:rFonts w:ascii="Times New Roman" w:eastAsia="Times New Roman" w:hAnsi="Times New Roman" w:cs="Times New Roman"/>
          <w:color w:val="000000"/>
          <w:spacing w:val="0"/>
          <w:w w:val="100"/>
          <w:position w:val="0"/>
          <w:shd w:val="clear" w:color="auto" w:fill="auto"/>
          <w:lang w:val="pt-PT" w:eastAsia="pt-PT" w:bidi="pt-PT"/>
        </w:rPr>
        <w:t>em questão, conforme o art. 29 do Decreto Municipal n° 013/2024- GP, com as seguintes atribuições:</w:t>
      </w:r>
    </w:p>
    <w:p>
      <w:pPr>
        <w:pStyle w:val="Style10"/>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coordenar a atividade de fiscalização;</w:t>
      </w:r>
    </w:p>
    <w:p>
      <w:pPr>
        <w:pStyle w:val="Style10"/>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instruir e manter atualizado o processo administrativo de acompanhamento e fiscalização com a documentação pertinente e os registros da execução do contrato;</w:t>
      </w:r>
    </w:p>
    <w:p>
      <w:pPr>
        <w:pStyle w:val="Style10"/>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emitir, mensalmente, relatório relativo aos atos fiscalizatórios realizados, atestando pontual e </w:t>
      </w:r>
      <w:r>
        <w:rPr>
          <w:rFonts w:ascii="Times New Roman" w:eastAsia="Times New Roman" w:hAnsi="Times New Roman" w:cs="Times New Roman"/>
          <w:color w:val="000000"/>
          <w:spacing w:val="0"/>
          <w:w w:val="100"/>
          <w:position w:val="0"/>
          <w:shd w:val="clear" w:color="auto" w:fill="auto"/>
          <w:lang w:val="pt-BR" w:eastAsia="pt-BR" w:bidi="pt-BR"/>
        </w:rPr>
        <w:t xml:space="preserve">detalhadamente </w:t>
      </w:r>
      <w:r>
        <w:rPr>
          <w:rFonts w:ascii="Times New Roman" w:eastAsia="Times New Roman" w:hAnsi="Times New Roman" w:cs="Times New Roman"/>
          <w:color w:val="000000"/>
          <w:spacing w:val="0"/>
          <w:w w:val="100"/>
          <w:position w:val="0"/>
          <w:shd w:val="clear" w:color="auto" w:fill="auto"/>
          <w:lang w:val="pt-PT" w:eastAsia="pt-PT" w:bidi="pt-PT"/>
        </w:rPr>
        <w:t xml:space="preserve">o atendimento, total ou parcial, da regularidade do cumprimento de cada uma das obrigações tratadas neste Decreto, conforme modelo de avaliação, controle e fiscalização constantes nos modelos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disponibilizados </w:t>
      </w:r>
      <w:r>
        <w:rPr>
          <w:rFonts w:ascii="Times New Roman" w:eastAsia="Times New Roman" w:hAnsi="Times New Roman" w:cs="Times New Roman"/>
          <w:color w:val="000000"/>
          <w:spacing w:val="0"/>
          <w:w w:val="100"/>
          <w:position w:val="0"/>
          <w:shd w:val="clear" w:color="auto" w:fill="auto"/>
          <w:lang w:val="pt-PT" w:eastAsia="pt-PT" w:bidi="pt-PT"/>
        </w:rPr>
        <w:t>pela Procuradoria ou Assessoria jurídica do Município;</w:t>
      </w:r>
    </w:p>
    <w:p>
      <w:pPr>
        <w:pStyle w:val="Style10"/>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analisar e conduzir a solicitação de repactuação do objeto, reajuste financeiro, reequilíbrio físico-financeiro, acréscimo/supressão de metas, interrupção de serviços, prorrogação, pagamentos, extinção dos contratos, dentre outros, emitindo parecer, que deverá ser submetido ao ordenador de despesa do município (prefeito ou secretários);</w:t>
      </w:r>
    </w:p>
    <w:p>
      <w:pPr>
        <w:pStyle w:val="Style10"/>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verificar o cumprimento da lei federal n° 14.611, de 03 de julho de 2023, e a Lei Estadual n° 5.185, de 25 de maio de 2020, que estabelece a exigência de garantia de igualdade salarial entre homens e mulheres,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empresas que contratarem com o Poder Público Estadual; verificar a constante manutenção das condições de habilitação da contratada;</w:t>
      </w:r>
    </w:p>
    <w:p>
      <w:pPr>
        <w:pStyle w:val="Style10"/>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anuir com o recebimento definitivo do objeto do contrato, que deverá ser instruído com termo detalhado que comprove o atendimento das exigências contratuais;</w:t>
      </w:r>
    </w:p>
    <w:p>
      <w:pPr>
        <w:pStyle w:val="Style10"/>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acompanhar a atuação do fiscal do contrato ou dos terceiros contratados, mediante seus registros;</w:t>
      </w:r>
    </w:p>
    <w:p>
      <w:pPr>
        <w:pStyle w:val="Style10"/>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emitir relatório mensal, relativo aos atos fiscalizatórios realizados, a ser enviado ao ordenador </w:t>
      </w:r>
      <w:r>
        <w:rPr>
          <w:rFonts w:ascii="Times New Roman" w:eastAsia="Times New Roman" w:hAnsi="Times New Roman" w:cs="Times New Roman"/>
          <w:color w:val="000000"/>
          <w:spacing w:val="0"/>
          <w:w w:val="100"/>
          <w:position w:val="0"/>
          <w:shd w:val="clear" w:color="auto" w:fill="auto"/>
          <w:lang w:val="pt-PT" w:eastAsia="pt-PT" w:bidi="pt-PT"/>
        </w:rPr>
        <w:t>de despesa do município ou secretarias);</w:t>
      </w:r>
    </w:p>
    <w:p>
      <w:pPr>
        <w:pStyle w:val="Style10"/>
        <w:keepNext w:val="0"/>
        <w:keepLines w:val="0"/>
        <w:widowControl w:val="0"/>
        <w:shd w:val="clear" w:color="auto" w:fill="auto"/>
        <w:bidi w:val="0"/>
        <w:spacing w:before="0" w:after="0" w:line="307"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informar à Administração sobre eventuais vícios, irregularidades ou baixa qualidade dos serviços prestados pela contratada, propor soluções para a regularização das faltas e problemas observados e sanções que entender cabíveis, de acordo com as disposições contidas neste Decreto;</w:t>
      </w:r>
    </w:p>
    <w:p>
      <w:pPr>
        <w:pStyle w:val="Style10"/>
        <w:keepNext w:val="0"/>
        <w:keepLines w:val="0"/>
        <w:widowControl w:val="0"/>
        <w:shd w:val="clear" w:color="auto" w:fill="auto"/>
        <w:bidi w:val="0"/>
        <w:spacing w:before="0" w:after="0" w:line="307" w:lineRule="auto"/>
        <w:ind w:left="0" w:right="0" w:firstLine="0"/>
        <w:jc w:val="right"/>
        <w:sectPr>
          <w:footnotePr>
            <w:pos w:val="pageBottom"/>
            <w:numFmt w:val="decimal"/>
            <w:numRestart w:val="continuous"/>
          </w:footnotePr>
          <w:pgSz w:w="11900" w:h="16840"/>
          <w:pgMar w:top="1566" w:left="1344" w:right="1357" w:bottom="856" w:header="0" w:footer="3" w:gutter="0"/>
          <w:cols w:space="720"/>
          <w:noEndnote/>
          <w:rtlGutter w:val="0"/>
          <w:docGrid w:linePitch="360"/>
        </w:sectPr>
      </w:pPr>
      <w:r>
        <w:drawing>
          <wp:anchor distT="0" distB="0" distL="0" distR="0" simplePos="0" relativeHeight="125829385" behindDoc="0" locked="0" layoutInCell="1" allowOverlap="1">
            <wp:simplePos x="0" y="0"/>
            <wp:positionH relativeFrom="page">
              <wp:posOffset>4745355</wp:posOffset>
            </wp:positionH>
            <wp:positionV relativeFrom="margin">
              <wp:posOffset>8583930</wp:posOffset>
            </wp:positionV>
            <wp:extent cx="2182495" cy="591185"/>
            <wp:wrapTight wrapText="bothSides">
              <wp:wrapPolygon>
                <wp:start x="15105" y="0"/>
                <wp:lineTo x="21600" y="0"/>
                <wp:lineTo x="21600" y="20625"/>
                <wp:lineTo x="18957" y="20625"/>
                <wp:lineTo x="18957" y="21600"/>
                <wp:lineTo x="0" y="21600"/>
                <wp:lineTo x="0" y="4738"/>
                <wp:lineTo x="15105" y="4738"/>
                <wp:lineTo x="15105" y="0"/>
              </wp:wrapPolygon>
            </wp:wrapTight>
            <wp:docPr id="90" name="Shape 90"/>
            <a:graphic xmlns:a="http://schemas.openxmlformats.org/drawingml/2006/main">
              <a:graphicData uri="http://schemas.openxmlformats.org/drawingml/2006/picture">
                <pic:pic xmlns:pic="http://schemas.openxmlformats.org/drawingml/2006/picture">
                  <pic:nvPicPr>
                    <pic:cNvPr id="91" name="Picture box 91"/>
                    <pic:cNvPicPr/>
                  </pic:nvPicPr>
                  <pic:blipFill>
                    <a:blip r:embed="rId30"/>
                    <a:stretch/>
                  </pic:blipFill>
                  <pic:spPr>
                    <a:xfrm>
                      <a:ext cx="2182495" cy="59118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notificar a contratada, por meio de seu representante legal ou preposto formalmente designado, nos termos do artigo 118 da Lei Federal n.° 14.133, de l.° de abril de 2021, para a imediata correção de eventuais vícios ou inadimplemento de quaisquer valores devidos por fo</w:t>
      </w:r>
    </w:p>
    <w:p>
      <w:pPr>
        <w:pStyle w:val="Style10"/>
        <w:keepNext w:val="0"/>
        <w:keepLines w:val="0"/>
        <w:widowControl w:val="0"/>
        <w:shd w:val="clear" w:color="auto" w:fill="auto"/>
        <w:bidi w:val="0"/>
        <w:spacing w:before="0" w:after="0" w:line="305" w:lineRule="auto"/>
        <w:ind w:left="780" w:right="0" w:firstLine="20"/>
        <w:jc w:val="both"/>
      </w:pPr>
      <w:r>
        <w:drawing>
          <wp:anchor distT="0" distB="0" distL="0" distR="0" simplePos="0" relativeHeight="62914752" behindDoc="1" locked="0" layoutInCell="1" allowOverlap="1">
            <wp:simplePos x="0" y="0"/>
            <wp:positionH relativeFrom="margin">
              <wp:posOffset>4878705</wp:posOffset>
            </wp:positionH>
            <wp:positionV relativeFrom="margin">
              <wp:posOffset>8633460</wp:posOffset>
            </wp:positionV>
            <wp:extent cx="640080" cy="481330"/>
            <wp:wrapNone/>
            <wp:docPr id="92" name="Shape 92"/>
            <a:graphic xmlns:a="http://schemas.openxmlformats.org/drawingml/2006/main">
              <a:graphicData uri="http://schemas.openxmlformats.org/drawingml/2006/picture">
                <pic:pic xmlns:pic="http://schemas.openxmlformats.org/drawingml/2006/picture">
                  <pic:nvPicPr>
                    <pic:cNvPr id="93" name="Picture box 93"/>
                    <pic:cNvPicPr/>
                  </pic:nvPicPr>
                  <pic:blipFill>
                    <a:blip r:embed="rId32"/>
                    <a:stretch/>
                  </pic:blipFill>
                  <pic:spPr>
                    <a:xfrm>
                      <a:ext cx="640080" cy="48133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contrato, de lei ou convenção coletiva de trabalho, apurados por si ou pelo fiscal do contrato, </w:t>
      </w:r>
      <w:r>
        <w:rPr>
          <w:rFonts w:ascii="Times New Roman" w:eastAsia="Times New Roman" w:hAnsi="Times New Roman" w:cs="Times New Roman"/>
          <w:color w:val="000000"/>
          <w:spacing w:val="0"/>
          <w:w w:val="100"/>
          <w:position w:val="0"/>
          <w:shd w:val="clear" w:color="auto" w:fill="auto"/>
          <w:lang w:val="pt-BR" w:eastAsia="pt-BR" w:bidi="pt-BR"/>
        </w:rPr>
        <w:t xml:space="preserve">fazendo-o </w:t>
      </w:r>
      <w:r>
        <w:rPr>
          <w:rFonts w:ascii="Times New Roman" w:eastAsia="Times New Roman" w:hAnsi="Times New Roman" w:cs="Times New Roman"/>
          <w:color w:val="000000"/>
          <w:spacing w:val="0"/>
          <w:w w:val="100"/>
          <w:position w:val="0"/>
          <w:shd w:val="clear" w:color="auto" w:fill="auto"/>
          <w:lang w:val="pt-PT" w:eastAsia="pt-PT" w:bidi="pt-PT"/>
        </w:rPr>
        <w:t>sempre por escrito, mediante contrafé do representante da empresa contratada;</w:t>
      </w:r>
    </w:p>
    <w:p>
      <w:pPr>
        <w:pStyle w:val="Style10"/>
        <w:keepNext w:val="0"/>
        <w:keepLines w:val="0"/>
        <w:widowControl w:val="0"/>
        <w:shd w:val="clear" w:color="auto" w:fill="auto"/>
        <w:bidi w:val="0"/>
        <w:spacing w:before="0" w:after="0" w:line="305" w:lineRule="auto"/>
        <w:ind w:left="780" w:right="0" w:hanging="780"/>
        <w:jc w:val="both"/>
      </w:pPr>
      <w:r>
        <w:rPr>
          <w:rFonts w:ascii="Times New Roman" w:eastAsia="Times New Roman" w:hAnsi="Times New Roman" w:cs="Times New Roman"/>
          <w:color w:val="000000"/>
          <w:spacing w:val="0"/>
          <w:w w:val="100"/>
          <w:position w:val="0"/>
          <w:shd w:val="clear" w:color="auto" w:fill="auto"/>
          <w:lang w:val="pt-PT" w:eastAsia="pt-PT" w:bidi="pt-PT"/>
        </w:rPr>
        <w:t>XII. comunicar à autoridade máxima do órgão sobre indício de irregularidade no recolhimento das contribuições previdenciárias e de FGTS, após conclusão do procedimento administrativo de responsabilização, para informação ao Ministério da Previdência Social, à Receita Federal - RFB e ao Ministério do Trabalho e Emprego;</w:t>
      </w:r>
    </w:p>
    <w:p>
      <w:pPr>
        <w:pStyle w:val="Style10"/>
        <w:keepNext w:val="0"/>
        <w:keepLines w:val="0"/>
        <w:widowControl w:val="0"/>
        <w:shd w:val="clear" w:color="auto" w:fill="auto"/>
        <w:bidi w:val="0"/>
        <w:spacing w:before="0" w:after="0" w:line="305" w:lineRule="auto"/>
        <w:ind w:left="780" w:right="0" w:hanging="780"/>
        <w:jc w:val="left"/>
      </w:pPr>
      <w:r>
        <w:rPr>
          <w:rFonts w:ascii="Times New Roman" w:eastAsia="Times New Roman" w:hAnsi="Times New Roman" w:cs="Times New Roman"/>
          <w:color w:val="000000"/>
          <w:spacing w:val="0"/>
          <w:w w:val="100"/>
          <w:position w:val="0"/>
          <w:shd w:val="clear" w:color="auto" w:fill="auto"/>
          <w:lang w:val="pt-PT" w:eastAsia="pt-PT" w:bidi="pt-PT"/>
        </w:rPr>
        <w:t>XIII. enviar à Procuradoria Geral do Município, sempre que requisitado, por quaisquer meios, informações e documentos referentes ao contrato sob sua responsabilidade.</w:t>
      </w:r>
    </w:p>
    <w:p>
      <w:pPr>
        <w:pStyle w:val="Style10"/>
        <w:keepNext w:val="0"/>
        <w:keepLines w:val="0"/>
        <w:widowControl w:val="0"/>
        <w:numPr>
          <w:ilvl w:val="0"/>
          <w:numId w:val="41"/>
        </w:numPr>
        <w:shd w:val="clear" w:color="auto" w:fill="auto"/>
        <w:tabs>
          <w:tab w:pos="758" w:val="left"/>
        </w:tabs>
        <w:bidi w:val="0"/>
        <w:spacing w:before="0" w:after="280" w:line="305" w:lineRule="auto"/>
        <w:ind w:left="780" w:right="0" w:hanging="7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Quando houver indícios de irregularidades ou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do(a) contratado(a), é dever do gestor do contrato apurar, mediante procedimento administrativo de responsabilização do contratado, asseguradas a ampla defesa e o contraditório.</w:t>
      </w:r>
    </w:p>
    <w:p>
      <w:pPr>
        <w:pStyle w:val="Style2"/>
        <w:keepNext/>
        <w:keepLines/>
        <w:widowControl w:val="0"/>
        <w:shd w:val="clear" w:color="auto" w:fill="auto"/>
        <w:bidi w:val="0"/>
        <w:spacing w:before="0" w:after="40" w:line="240" w:lineRule="auto"/>
        <w:ind w:left="0" w:right="0" w:firstLine="0"/>
        <w:jc w:val="both"/>
      </w:pPr>
      <w:bookmarkStart w:id="14" w:name="bookmark14"/>
      <w:r>
        <w:rPr>
          <w:rFonts w:ascii="Times New Roman" w:eastAsia="Times New Roman" w:hAnsi="Times New Roman" w:cs="Times New Roman"/>
          <w:color w:val="000000"/>
          <w:spacing w:val="0"/>
          <w:w w:val="100"/>
          <w:position w:val="0"/>
          <w:shd w:val="clear" w:color="auto" w:fill="auto"/>
          <w:lang w:val="pt-PT" w:eastAsia="pt-PT" w:bidi="pt-PT"/>
        </w:rPr>
        <w:t>CLÁUSULA DÉCIMA PRIMEIRA: DAS INFRAÇÕES E SANÇÕES ADMINISTRATIVAS</w:t>
      </w:r>
      <w:bookmarkEnd w:id="14"/>
    </w:p>
    <w:p>
      <w:pPr>
        <w:pStyle w:val="Style10"/>
        <w:keepNext w:val="0"/>
        <w:keepLines w:val="0"/>
        <w:widowControl w:val="0"/>
        <w:numPr>
          <w:ilvl w:val="0"/>
          <w:numId w:val="43"/>
        </w:numPr>
        <w:shd w:val="clear" w:color="auto" w:fill="auto"/>
        <w:tabs>
          <w:tab w:pos="51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Cometer infração administrativa, nos termos da lei, o contratado que, com dolo ou culpa:</w:t>
      </w:r>
    </w:p>
    <w:p>
      <w:pPr>
        <w:pStyle w:val="Style10"/>
        <w:keepNext w:val="0"/>
        <w:keepLines w:val="0"/>
        <w:widowControl w:val="0"/>
        <w:numPr>
          <w:ilvl w:val="0"/>
          <w:numId w:val="45"/>
        </w:numPr>
        <w:shd w:val="clear" w:color="auto" w:fill="auto"/>
        <w:tabs>
          <w:tab w:pos="704"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Deixar de entregar a documentação exigida para o processo ou não entregar qualquer documento que tenha sido solicitado pelo(a) Administração durante o procedimento;</w:t>
      </w:r>
    </w:p>
    <w:p>
      <w:pPr>
        <w:pStyle w:val="Style10"/>
        <w:keepNext w:val="0"/>
        <w:keepLines w:val="0"/>
        <w:widowControl w:val="0"/>
        <w:numPr>
          <w:ilvl w:val="0"/>
          <w:numId w:val="45"/>
        </w:numPr>
        <w:shd w:val="clear" w:color="auto" w:fill="auto"/>
        <w:tabs>
          <w:tab w:pos="74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Salvo em decorrência de fato superveniente,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justificado, não mantiver a proposta em especial quando:</w:t>
      </w:r>
    </w:p>
    <w:p>
      <w:pPr>
        <w:pStyle w:val="Style10"/>
        <w:keepNext w:val="0"/>
        <w:keepLines w:val="0"/>
        <w:widowControl w:val="0"/>
        <w:numPr>
          <w:ilvl w:val="0"/>
          <w:numId w:val="47"/>
        </w:numPr>
        <w:shd w:val="clear" w:color="auto" w:fill="auto"/>
        <w:tabs>
          <w:tab w:pos="35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Não enviar a proposta adequada ao último lance ofertado ou após a negociação;</w:t>
      </w:r>
    </w:p>
    <w:p>
      <w:pPr>
        <w:pStyle w:val="Style10"/>
        <w:keepNext w:val="0"/>
        <w:keepLines w:val="0"/>
        <w:widowControl w:val="0"/>
        <w:numPr>
          <w:ilvl w:val="0"/>
          <w:numId w:val="47"/>
        </w:numPr>
        <w:shd w:val="clear" w:color="auto" w:fill="auto"/>
        <w:tabs>
          <w:tab w:pos="36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Recusar-se </w:t>
      </w:r>
      <w:r>
        <w:rPr>
          <w:rFonts w:ascii="Times New Roman" w:eastAsia="Times New Roman" w:hAnsi="Times New Roman" w:cs="Times New Roman"/>
          <w:color w:val="000000"/>
          <w:spacing w:val="0"/>
          <w:w w:val="100"/>
          <w:position w:val="0"/>
          <w:shd w:val="clear" w:color="auto" w:fill="auto"/>
          <w:lang w:val="pt-PT" w:eastAsia="pt-PT" w:bidi="pt-PT"/>
        </w:rPr>
        <w:t xml:space="preserve">a enviar o </w:t>
      </w:r>
      <w:r>
        <w:rPr>
          <w:rFonts w:ascii="Times New Roman" w:eastAsia="Times New Roman" w:hAnsi="Times New Roman" w:cs="Times New Roman"/>
          <w:color w:val="000000"/>
          <w:spacing w:val="0"/>
          <w:w w:val="100"/>
          <w:position w:val="0"/>
          <w:shd w:val="clear" w:color="auto" w:fill="auto"/>
          <w:lang w:val="pt-BR" w:eastAsia="pt-BR" w:bidi="pt-BR"/>
        </w:rPr>
        <w:t xml:space="preserve">detalhamento </w:t>
      </w:r>
      <w:r>
        <w:rPr>
          <w:rFonts w:ascii="Times New Roman" w:eastAsia="Times New Roman" w:hAnsi="Times New Roman" w:cs="Times New Roman"/>
          <w:color w:val="000000"/>
          <w:spacing w:val="0"/>
          <w:w w:val="100"/>
          <w:position w:val="0"/>
          <w:shd w:val="clear" w:color="auto" w:fill="auto"/>
          <w:lang w:val="pt-PT" w:eastAsia="pt-PT" w:bidi="pt-PT"/>
        </w:rPr>
        <w:t>da proposta quando exigível;</w:t>
      </w:r>
    </w:p>
    <w:p>
      <w:pPr>
        <w:pStyle w:val="Style10"/>
        <w:keepNext w:val="0"/>
        <w:keepLines w:val="0"/>
        <w:widowControl w:val="0"/>
        <w:numPr>
          <w:ilvl w:val="0"/>
          <w:numId w:val="47"/>
        </w:numPr>
        <w:shd w:val="clear" w:color="auto" w:fill="auto"/>
        <w:tabs>
          <w:tab w:pos="36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Pedir para ser desclassificado quando encerrada a etapa competitiva; ou</w:t>
      </w:r>
    </w:p>
    <w:p>
      <w:pPr>
        <w:pStyle w:val="Style10"/>
        <w:keepNext w:val="0"/>
        <w:keepLines w:val="0"/>
        <w:widowControl w:val="0"/>
        <w:numPr>
          <w:ilvl w:val="0"/>
          <w:numId w:val="47"/>
        </w:numPr>
        <w:shd w:val="clear" w:color="auto" w:fill="auto"/>
        <w:tabs>
          <w:tab w:pos="36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Deixar de apresentar amostra, quando for o caso;</w:t>
      </w:r>
    </w:p>
    <w:p>
      <w:pPr>
        <w:pStyle w:val="Style10"/>
        <w:keepNext w:val="0"/>
        <w:keepLines w:val="0"/>
        <w:widowControl w:val="0"/>
        <w:numPr>
          <w:ilvl w:val="0"/>
          <w:numId w:val="47"/>
        </w:numPr>
        <w:shd w:val="clear" w:color="auto" w:fill="auto"/>
        <w:tabs>
          <w:tab w:pos="36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Apresentar proposta em desacordo com as especificações do instrumento convocatório;</w:t>
      </w:r>
    </w:p>
    <w:p>
      <w:pPr>
        <w:pStyle w:val="Style10"/>
        <w:keepNext w:val="0"/>
        <w:keepLines w:val="0"/>
        <w:widowControl w:val="0"/>
        <w:numPr>
          <w:ilvl w:val="0"/>
          <w:numId w:val="45"/>
        </w:numPr>
        <w:shd w:val="clear" w:color="auto" w:fill="auto"/>
        <w:tabs>
          <w:tab w:pos="74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Não celebrar o contrato ou não entregar a documentação exigida para a contratação, quando convocado dentro do prazo de validade de sua proposta;</w:t>
      </w:r>
    </w:p>
    <w:p>
      <w:pPr>
        <w:pStyle w:val="Style10"/>
        <w:keepNext w:val="0"/>
        <w:keepLines w:val="0"/>
        <w:widowControl w:val="0"/>
        <w:numPr>
          <w:ilvl w:val="0"/>
          <w:numId w:val="49"/>
        </w:numPr>
        <w:shd w:val="clear" w:color="auto" w:fill="auto"/>
        <w:tabs>
          <w:tab w:pos="87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Recusar-se, </w:t>
      </w:r>
      <w:r>
        <w:rPr>
          <w:rFonts w:ascii="Times New Roman" w:eastAsia="Times New Roman" w:hAnsi="Times New Roman" w:cs="Times New Roman"/>
          <w:color w:val="000000"/>
          <w:spacing w:val="0"/>
          <w:w w:val="100"/>
          <w:position w:val="0"/>
          <w:shd w:val="clear" w:color="auto" w:fill="auto"/>
          <w:lang w:val="pt-PT" w:eastAsia="pt-PT" w:bidi="pt-PT"/>
        </w:rPr>
        <w:t>sem justificativa, a assinar o contrato ou, quando for o caso a ata de registro de preço, ou ainda aceitar ou retirar o instrumento equivalente no prazo estabelecido pela Administração;</w:t>
      </w:r>
    </w:p>
    <w:p>
      <w:pPr>
        <w:pStyle w:val="Style10"/>
        <w:keepNext w:val="0"/>
        <w:keepLines w:val="0"/>
        <w:widowControl w:val="0"/>
        <w:numPr>
          <w:ilvl w:val="0"/>
          <w:numId w:val="45"/>
        </w:numPr>
        <w:shd w:val="clear" w:color="auto" w:fill="auto"/>
        <w:tabs>
          <w:tab w:pos="74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Apresentar declaração ou documentação falsa exigida para o processo ou prestar declaração falsa durante o trâmite;</w:t>
      </w:r>
    </w:p>
    <w:p>
      <w:pPr>
        <w:pStyle w:val="Style10"/>
        <w:keepNext w:val="0"/>
        <w:keepLines w:val="0"/>
        <w:widowControl w:val="0"/>
        <w:numPr>
          <w:ilvl w:val="0"/>
          <w:numId w:val="45"/>
        </w:numPr>
        <w:shd w:val="clear" w:color="auto" w:fill="auto"/>
        <w:tabs>
          <w:tab w:pos="71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Fraudar o processo;</w:t>
      </w:r>
    </w:p>
    <w:p>
      <w:pPr>
        <w:pStyle w:val="Style10"/>
        <w:keepNext w:val="0"/>
        <w:keepLines w:val="0"/>
        <w:widowControl w:val="0"/>
        <w:numPr>
          <w:ilvl w:val="0"/>
          <w:numId w:val="45"/>
        </w:numPr>
        <w:shd w:val="clear" w:color="auto" w:fill="auto"/>
        <w:tabs>
          <w:tab w:pos="71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Comportar-se </w:t>
      </w:r>
      <w:r>
        <w:rPr>
          <w:rFonts w:ascii="Times New Roman" w:eastAsia="Times New Roman" w:hAnsi="Times New Roman" w:cs="Times New Roman"/>
          <w:color w:val="000000"/>
          <w:spacing w:val="0"/>
          <w:w w:val="100"/>
          <w:position w:val="0"/>
          <w:shd w:val="clear" w:color="auto" w:fill="auto"/>
          <w:lang w:val="pt-PT" w:eastAsia="pt-PT" w:bidi="pt-PT"/>
        </w:rPr>
        <w:t xml:space="preserve">de modo </w:t>
      </w:r>
      <w:r>
        <w:rPr>
          <w:rFonts w:ascii="Times New Roman" w:eastAsia="Times New Roman" w:hAnsi="Times New Roman" w:cs="Times New Roman"/>
          <w:color w:val="000000"/>
          <w:spacing w:val="0"/>
          <w:w w:val="100"/>
          <w:position w:val="0"/>
          <w:shd w:val="clear" w:color="auto" w:fill="auto"/>
          <w:lang w:val="pt-BR" w:eastAsia="pt-BR" w:bidi="pt-BR"/>
        </w:rPr>
        <w:t xml:space="preserve">inidôneo </w:t>
      </w:r>
      <w:r>
        <w:rPr>
          <w:rFonts w:ascii="Times New Roman" w:eastAsia="Times New Roman" w:hAnsi="Times New Roman" w:cs="Times New Roman"/>
          <w:color w:val="000000"/>
          <w:spacing w:val="0"/>
          <w:w w:val="100"/>
          <w:position w:val="0"/>
          <w:shd w:val="clear" w:color="auto" w:fill="auto"/>
          <w:lang w:val="pt-PT" w:eastAsia="pt-PT" w:bidi="pt-PT"/>
        </w:rPr>
        <w:t>ou cometer fraude de qualquer natureza, em especial quando:</w:t>
      </w:r>
    </w:p>
    <w:p>
      <w:pPr>
        <w:pStyle w:val="Style10"/>
        <w:keepNext w:val="0"/>
        <w:keepLines w:val="0"/>
        <w:widowControl w:val="0"/>
        <w:numPr>
          <w:ilvl w:val="0"/>
          <w:numId w:val="51"/>
        </w:numPr>
        <w:shd w:val="clear" w:color="auto" w:fill="auto"/>
        <w:tabs>
          <w:tab w:pos="35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Agir em conluio ou em desconformidade com a lei;</w:t>
      </w:r>
    </w:p>
    <w:p>
      <w:pPr>
        <w:pStyle w:val="Style10"/>
        <w:keepNext w:val="0"/>
        <w:keepLines w:val="0"/>
        <w:widowControl w:val="0"/>
        <w:numPr>
          <w:ilvl w:val="0"/>
          <w:numId w:val="51"/>
        </w:numPr>
        <w:shd w:val="clear" w:color="auto" w:fill="auto"/>
        <w:tabs>
          <w:tab w:pos="374"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Induzir deliberadamente a erro no julgamento;</w:t>
      </w:r>
    </w:p>
    <w:p>
      <w:pPr>
        <w:pStyle w:val="Style10"/>
        <w:keepNext w:val="0"/>
        <w:keepLines w:val="0"/>
        <w:widowControl w:val="0"/>
        <w:numPr>
          <w:ilvl w:val="0"/>
          <w:numId w:val="51"/>
        </w:numPr>
        <w:shd w:val="clear" w:color="auto" w:fill="auto"/>
        <w:tabs>
          <w:tab w:pos="374"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Apresentar amostra falsificada ou deteriorada, no caso de solicitação de amostras;</w:t>
      </w:r>
    </w:p>
    <w:p>
      <w:pPr>
        <w:pStyle w:val="Style10"/>
        <w:keepNext w:val="0"/>
        <w:keepLines w:val="0"/>
        <w:widowControl w:val="0"/>
        <w:numPr>
          <w:ilvl w:val="0"/>
          <w:numId w:val="45"/>
        </w:numPr>
        <w:shd w:val="clear" w:color="auto" w:fill="auto"/>
        <w:tabs>
          <w:tab w:pos="71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Praticar atos ilícitos com vistas a frustrar os objetivos do processo;</w:t>
      </w:r>
    </w:p>
    <w:p>
      <w:pPr>
        <w:pStyle w:val="Style10"/>
        <w:keepNext w:val="0"/>
        <w:keepLines w:val="0"/>
        <w:widowControl w:val="0"/>
        <w:numPr>
          <w:ilvl w:val="0"/>
          <w:numId w:val="45"/>
        </w:numPr>
        <w:shd w:val="clear" w:color="auto" w:fill="auto"/>
        <w:tabs>
          <w:tab w:pos="71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Praticar ato lesivo previsto no art. 5</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da Lei n° 12.846, de 2013;</w:t>
      </w:r>
    </w:p>
    <w:p>
      <w:pPr>
        <w:pStyle w:val="Style10"/>
        <w:keepNext w:val="0"/>
        <w:keepLines w:val="0"/>
        <w:widowControl w:val="0"/>
        <w:numPr>
          <w:ilvl w:val="0"/>
          <w:numId w:val="43"/>
        </w:numPr>
        <w:shd w:val="clear" w:color="auto" w:fill="auto"/>
        <w:tabs>
          <w:tab w:pos="60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 fulcro na Lei n° 14.133, de 2021, a Administração poderá, garantida a prévia defesa, aplicar aos concorrentes e/ou adjudicatários as seguintes sanções, sem prejuízo das responsabilidades civil e criminal:</w:t>
      </w:r>
    </w:p>
    <w:p>
      <w:pPr>
        <w:pStyle w:val="Style10"/>
        <w:keepNext w:val="0"/>
        <w:keepLines w:val="0"/>
        <w:widowControl w:val="0"/>
        <w:numPr>
          <w:ilvl w:val="0"/>
          <w:numId w:val="53"/>
        </w:numPr>
        <w:shd w:val="clear" w:color="auto" w:fill="auto"/>
        <w:tabs>
          <w:tab w:pos="84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Advertência;</w:t>
      </w:r>
    </w:p>
    <w:p>
      <w:pPr>
        <w:pStyle w:val="Style10"/>
        <w:keepNext w:val="0"/>
        <w:keepLines w:val="0"/>
        <w:widowControl w:val="0"/>
        <w:numPr>
          <w:ilvl w:val="0"/>
          <w:numId w:val="53"/>
        </w:numPr>
        <w:shd w:val="clear" w:color="auto" w:fill="auto"/>
        <w:tabs>
          <w:tab w:pos="71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Multa;</w:t>
      </w:r>
    </w:p>
    <w:p>
      <w:pPr>
        <w:pStyle w:val="Style10"/>
        <w:keepNext w:val="0"/>
        <w:keepLines w:val="0"/>
        <w:widowControl w:val="0"/>
        <w:numPr>
          <w:ilvl w:val="0"/>
          <w:numId w:val="53"/>
        </w:numPr>
        <w:shd w:val="clear" w:color="auto" w:fill="auto"/>
        <w:tabs>
          <w:tab w:pos="71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Impedimento de licitar e contratar e;</w:t>
      </w:r>
    </w:p>
    <w:p>
      <w:pPr>
        <w:pStyle w:val="Style10"/>
        <w:keepNext w:val="0"/>
        <w:keepLines w:val="0"/>
        <w:widowControl w:val="0"/>
        <w:numPr>
          <w:ilvl w:val="0"/>
          <w:numId w:val="53"/>
        </w:numPr>
        <w:shd w:val="clear" w:color="auto" w:fill="auto"/>
        <w:tabs>
          <w:tab w:pos="74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Declaração de inidoneidade para licitar ou contratar, enquanto perdurarem os motivos determinantes da punição ou até que seja promovida sua reabilitação perante a própria autoridade que aplicou a penalidade.</w:t>
      </w:r>
    </w:p>
    <w:p>
      <w:pPr>
        <w:pStyle w:val="Style10"/>
        <w:keepNext w:val="0"/>
        <w:keepLines w:val="0"/>
        <w:widowControl w:val="0"/>
        <w:numPr>
          <w:ilvl w:val="0"/>
          <w:numId w:val="43"/>
        </w:numPr>
        <w:shd w:val="clear" w:color="auto" w:fill="auto"/>
        <w:tabs>
          <w:tab w:pos="542"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Na aplicação das sanções serão considerados:</w:t>
      </w:r>
    </w:p>
    <w:p>
      <w:pPr>
        <w:pStyle w:val="Style10"/>
        <w:keepNext w:val="0"/>
        <w:keepLines w:val="0"/>
        <w:widowControl w:val="0"/>
        <w:numPr>
          <w:ilvl w:val="0"/>
          <w:numId w:val="55"/>
        </w:numPr>
        <w:shd w:val="clear" w:color="auto" w:fill="auto"/>
        <w:tabs>
          <w:tab w:pos="692"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natureza e a gravidade da infração cometida;</w:t>
      </w:r>
    </w:p>
    <w:p>
      <w:pPr>
        <w:pStyle w:val="Style10"/>
        <w:keepNext w:val="0"/>
        <w:keepLines w:val="0"/>
        <w:widowControl w:val="0"/>
        <w:numPr>
          <w:ilvl w:val="0"/>
          <w:numId w:val="55"/>
        </w:numPr>
        <w:shd w:val="clear" w:color="auto" w:fill="auto"/>
        <w:tabs>
          <w:tab w:pos="71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As peculiaridades do caso concreto;</w:t>
      </w:r>
    </w:p>
    <w:p>
      <w:pPr>
        <w:pStyle w:val="Style10"/>
        <w:keepNext w:val="0"/>
        <w:keepLines w:val="0"/>
        <w:widowControl w:val="0"/>
        <w:numPr>
          <w:ilvl w:val="0"/>
          <w:numId w:val="55"/>
        </w:numPr>
        <w:shd w:val="clear" w:color="auto" w:fill="auto"/>
        <w:tabs>
          <w:tab w:pos="71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As circunstâncias agravantes ou atenuantes;</w:t>
      </w:r>
    </w:p>
    <w:p>
      <w:pPr>
        <w:pStyle w:val="Style10"/>
        <w:keepNext w:val="0"/>
        <w:keepLines w:val="0"/>
        <w:widowControl w:val="0"/>
        <w:numPr>
          <w:ilvl w:val="0"/>
          <w:numId w:val="55"/>
        </w:numPr>
        <w:shd w:val="clear" w:color="auto" w:fill="auto"/>
        <w:tabs>
          <w:tab w:pos="71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Os danos que dela provierem para a Administração Pública;</w:t>
      </w:r>
    </w:p>
    <w:p>
      <w:pPr>
        <w:pStyle w:val="Style10"/>
        <w:keepNext w:val="0"/>
        <w:keepLines w:val="0"/>
        <w:widowControl w:val="0"/>
        <w:numPr>
          <w:ilvl w:val="0"/>
          <w:numId w:val="55"/>
        </w:numPr>
        <w:shd w:val="clear" w:color="auto" w:fill="auto"/>
        <w:tabs>
          <w:tab w:pos="71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implantação ou o aperfeiçoamento de programa de integridade, conforme normas e orientações</w:t>
      </w:r>
    </w:p>
    <w:p>
      <w:pPr>
        <w:pStyle w:val="Style10"/>
        <w:keepNext w:val="0"/>
        <w:keepLines w:val="0"/>
        <w:widowControl w:val="0"/>
        <w:shd w:val="clear" w:color="auto" w:fill="auto"/>
        <w:tabs>
          <w:tab w:pos="8292" w:val="left"/>
        </w:tabs>
        <w:bidi w:val="0"/>
        <w:spacing w:before="0" w:after="8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dos órgãos de controle.</w:t>
        <w:tab/>
      </w:r>
      <w:r>
        <w:rPr>
          <w:rFonts w:ascii="Times New Roman" w:eastAsia="Times New Roman" w:hAnsi="Times New Roman" w:cs="Times New Roman"/>
          <w:color w:val="4E4EA3"/>
          <w:spacing w:val="0"/>
          <w:w w:val="100"/>
          <w:position w:val="0"/>
          <w:shd w:val="clear" w:color="auto" w:fill="auto"/>
          <w:lang w:val="pt-PT" w:eastAsia="pt-PT" w:bidi="pt-PT"/>
        </w:rPr>
        <w:t>v_,</w:t>
      </w:r>
    </w:p>
    <w:p>
      <w:pPr>
        <w:widowControl w:val="0"/>
        <w:jc w:val="center"/>
        <w:rPr>
          <w:sz w:val="2"/>
          <w:szCs w:val="2"/>
        </w:rPr>
      </w:pPr>
      <w:r>
        <w:drawing>
          <wp:inline>
            <wp:extent cx="353695" cy="353695"/>
            <wp:docPr id="94" name="Picutre 94"/>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34"/>
                    <a:stretch/>
                  </pic:blipFill>
                  <pic:spPr>
                    <a:xfrm>
                      <a:ext cx="353695" cy="353695"/>
                    </a:xfrm>
                    <a:prstGeom prst="rect"/>
                  </pic:spPr>
                </pic:pic>
              </a:graphicData>
            </a:graphic>
          </wp:inline>
        </w:drawing>
      </w:r>
      <w:r>
        <w:br w:type="page"/>
      </w:r>
    </w:p>
    <w:p>
      <w:pPr>
        <w:pStyle w:val="Style10"/>
        <w:keepNext w:val="0"/>
        <w:keepLines w:val="0"/>
        <w:widowControl w:val="0"/>
        <w:numPr>
          <w:ilvl w:val="0"/>
          <w:numId w:val="43"/>
        </w:numPr>
        <w:shd w:val="clear" w:color="auto" w:fill="auto"/>
        <w:tabs>
          <w:tab w:pos="506"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multa será recolhida em percentual de 0,5% a 30% incidente sobre o valor do contrato, recolhida no prazo máximo de 30 (trinta) dias úteis, a contar da comunicação oficial.</w:t>
      </w:r>
    </w:p>
    <w:p>
      <w:pPr>
        <w:pStyle w:val="Style10"/>
        <w:keepNext w:val="0"/>
        <w:keepLines w:val="0"/>
        <w:widowControl w:val="0"/>
        <w:numPr>
          <w:ilvl w:val="0"/>
          <w:numId w:val="57"/>
        </w:numPr>
        <w:shd w:val="clear" w:color="auto" w:fill="auto"/>
        <w:tabs>
          <w:tab w:pos="650"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Para as infrações previstas nos itens 11.1.1, 11.1.2 e 11.1.3, a multa será de 0,5% a 15% do valor do contrato.</w:t>
      </w:r>
    </w:p>
    <w:p>
      <w:pPr>
        <w:pStyle w:val="Style10"/>
        <w:keepNext w:val="0"/>
        <w:keepLines w:val="0"/>
        <w:widowControl w:val="0"/>
        <w:numPr>
          <w:ilvl w:val="0"/>
          <w:numId w:val="57"/>
        </w:numPr>
        <w:shd w:val="clear" w:color="auto" w:fill="auto"/>
        <w:tabs>
          <w:tab w:pos="674"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Para as infrações previstas nos itens 11.1.4, 11.1.5, 11.1.6, 11.1.7 e 11.1.8, a multa será de 15% a 30% do valor do contrato.</w:t>
      </w:r>
    </w:p>
    <w:p>
      <w:pPr>
        <w:pStyle w:val="Style10"/>
        <w:keepNext w:val="0"/>
        <w:keepLines w:val="0"/>
        <w:widowControl w:val="0"/>
        <w:numPr>
          <w:ilvl w:val="0"/>
          <w:numId w:val="43"/>
        </w:numPr>
        <w:shd w:val="clear" w:color="auto" w:fill="auto"/>
        <w:tabs>
          <w:tab w:pos="500"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As sanções de advertência, impedimento de licitar e contratar e declaração de inidoneidade para licitar ou contratar poderão ser aplicadas, cumulativamente ou não, à penalidade de multa.</w:t>
      </w:r>
    </w:p>
    <w:p>
      <w:pPr>
        <w:pStyle w:val="Style10"/>
        <w:keepNext w:val="0"/>
        <w:keepLines w:val="0"/>
        <w:widowControl w:val="0"/>
        <w:numPr>
          <w:ilvl w:val="0"/>
          <w:numId w:val="43"/>
        </w:numPr>
        <w:shd w:val="clear" w:color="auto" w:fill="auto"/>
        <w:tabs>
          <w:tab w:pos="506"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Na aplicação da sanção de multa será facultada a defesa do interessado no prazo de 15 (quinze) dias úteis, contado da data de sua intimação.</w:t>
      </w:r>
    </w:p>
    <w:p>
      <w:pPr>
        <w:pStyle w:val="Style10"/>
        <w:keepNext w:val="0"/>
        <w:keepLines w:val="0"/>
        <w:widowControl w:val="0"/>
        <w:numPr>
          <w:ilvl w:val="0"/>
          <w:numId w:val="43"/>
        </w:numPr>
        <w:shd w:val="clear" w:color="auto" w:fill="auto"/>
        <w:tabs>
          <w:tab w:pos="512"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sanção de impedimento de licitar e contratar será aplicada ao responsável em decorrência das infrações administrativas relacionadas nos itens 11.1.1, 11.1.2 e 11.1.3, quando não se justificar a imposição de penalidade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grave, e impedirá o responsável de licitar e contratar no âmbito da Administração Pública direta e indireta do ente federativo a qual pertencer o órgão ou entidade, pelo prazo máximo de 3 (três) anos.</w:t>
      </w:r>
    </w:p>
    <w:p>
      <w:pPr>
        <w:pStyle w:val="Style10"/>
        <w:keepNext w:val="0"/>
        <w:keepLines w:val="0"/>
        <w:widowControl w:val="0"/>
        <w:numPr>
          <w:ilvl w:val="0"/>
          <w:numId w:val="43"/>
        </w:numPr>
        <w:shd w:val="clear" w:color="auto" w:fill="auto"/>
        <w:tabs>
          <w:tab w:pos="506"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grave que a sanção de impedimento de licitar e contratar, cuja duração observará o prazo previsto no art. 156, §5°, da Lei n° 14.133/2021.</w:t>
      </w:r>
    </w:p>
    <w:p>
      <w:pPr>
        <w:pStyle w:val="Style10"/>
        <w:keepNext w:val="0"/>
        <w:keepLines w:val="0"/>
        <w:widowControl w:val="0"/>
        <w:numPr>
          <w:ilvl w:val="0"/>
          <w:numId w:val="43"/>
        </w:numPr>
        <w:shd w:val="clear" w:color="auto" w:fill="auto"/>
        <w:tabs>
          <w:tab w:pos="512"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recusa injustificada do adjudicatário em assinar o contrato ou a ata de registro de preço, ou em aceitar ou retirar o instrumento equivalente no prazo estabelecido pela Administração, descrita no item 11.1.3.1., </w:t>
      </w:r>
      <w:r>
        <w:rPr>
          <w:rFonts w:ascii="Times New Roman" w:eastAsia="Times New Roman" w:hAnsi="Times New Roman" w:cs="Times New Roman"/>
          <w:color w:val="000000"/>
          <w:spacing w:val="0"/>
          <w:w w:val="100"/>
          <w:position w:val="0"/>
          <w:shd w:val="clear" w:color="auto" w:fill="auto"/>
          <w:lang w:val="pt-BR" w:eastAsia="pt-BR" w:bidi="pt-BR"/>
        </w:rPr>
        <w:t xml:space="preserve">caracterizará </w:t>
      </w:r>
      <w:r>
        <w:rPr>
          <w:rFonts w:ascii="Times New Roman" w:eastAsia="Times New Roman" w:hAnsi="Times New Roman" w:cs="Times New Roman"/>
          <w:color w:val="000000"/>
          <w:spacing w:val="0"/>
          <w:w w:val="100"/>
          <w:position w:val="0"/>
          <w:shd w:val="clear" w:color="auto" w:fill="auto"/>
          <w:lang w:val="pt-PT" w:eastAsia="pt-PT" w:bidi="pt-PT"/>
        </w:rPr>
        <w:t xml:space="preserve">o descumprimento total da obrigação assumida e o sujeitará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penalidades e à imediata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lang w:val="pt-PT" w:eastAsia="pt-PT" w:bidi="pt-PT"/>
        </w:rPr>
        <w:t>da garantia de proposta em favor do órgão ou entidade promotora do procedimento, quando tiver sido exigida, nos termos do art. 45, §4° da IN SEGES/ME n° 73, de 2022.</w:t>
      </w:r>
    </w:p>
    <w:p>
      <w:pPr>
        <w:pStyle w:val="Style10"/>
        <w:keepNext w:val="0"/>
        <w:keepLines w:val="0"/>
        <w:widowControl w:val="0"/>
        <w:numPr>
          <w:ilvl w:val="0"/>
          <w:numId w:val="43"/>
        </w:numPr>
        <w:shd w:val="clear" w:color="auto" w:fill="auto"/>
        <w:tabs>
          <w:tab w:pos="626"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apuração de responsabilidade relacionada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sanções de impedimento de licitar e contratar e de declaração de inidoneidade para licitar ou contratar demandará a instauração de processo dc responsabilização a ser conduzido por comissão composta por 2 (dois) ou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servidores públicos pertencentes aos seus quadros permanentes, que avaliará fatos e circunstâncias conhecidos e intimará o licitante ou o adjudicatário para, no prazo de 15 (quinze) dias úteis, contado da data de sua intimação, apresentar defesa escrita e especificar as provas que pretenda produzir.</w:t>
      </w:r>
    </w:p>
    <w:p>
      <w:pPr>
        <w:pStyle w:val="Style10"/>
        <w:keepNext w:val="0"/>
        <w:keepLines w:val="0"/>
        <w:widowControl w:val="0"/>
        <w:numPr>
          <w:ilvl w:val="0"/>
          <w:numId w:val="43"/>
        </w:numPr>
        <w:shd w:val="clear" w:color="auto" w:fill="auto"/>
        <w:tabs>
          <w:tab w:pos="626"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Style10"/>
        <w:keepNext w:val="0"/>
        <w:keepLines w:val="0"/>
        <w:widowControl w:val="0"/>
        <w:numPr>
          <w:ilvl w:val="0"/>
          <w:numId w:val="43"/>
        </w:numPr>
        <w:shd w:val="clear" w:color="auto" w:fill="auto"/>
        <w:tabs>
          <w:tab w:pos="626"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Style10"/>
        <w:keepNext w:val="0"/>
        <w:keepLines w:val="0"/>
        <w:widowControl w:val="0"/>
        <w:numPr>
          <w:ilvl w:val="0"/>
          <w:numId w:val="43"/>
        </w:numPr>
        <w:shd w:val="clear" w:color="auto" w:fill="auto"/>
        <w:tabs>
          <w:tab w:pos="620" w:val="left"/>
        </w:tabs>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0 recurso e o pedido de reconsideração terão efeito suspensivo do ato ou da decisão recorrida até que sobrevenha decisão </w:t>
      </w:r>
      <w:r>
        <w:rPr>
          <w:rFonts w:ascii="Times New Roman" w:eastAsia="Times New Roman" w:hAnsi="Times New Roman" w:cs="Times New Roman"/>
          <w:color w:val="000000"/>
          <w:spacing w:val="0"/>
          <w:w w:val="100"/>
          <w:position w:val="0"/>
          <w:shd w:val="clear" w:color="auto" w:fill="auto"/>
          <w:lang w:val="pt-BR" w:eastAsia="pt-BR" w:bidi="pt-BR"/>
        </w:rPr>
        <w:t xml:space="preserve">final </w:t>
      </w:r>
      <w:r>
        <w:rPr>
          <w:rFonts w:ascii="Times New Roman" w:eastAsia="Times New Roman" w:hAnsi="Times New Roman" w:cs="Times New Roman"/>
          <w:color w:val="000000"/>
          <w:spacing w:val="0"/>
          <w:w w:val="100"/>
          <w:position w:val="0"/>
          <w:shd w:val="clear" w:color="auto" w:fill="auto"/>
          <w:lang w:val="pt-PT" w:eastAsia="pt-PT" w:bidi="pt-PT"/>
        </w:rPr>
        <w:t>da autoridade competente.</w:t>
      </w:r>
    </w:p>
    <w:p>
      <w:pPr>
        <w:pStyle w:val="Style10"/>
        <w:keepNext w:val="0"/>
        <w:keepLines w:val="0"/>
        <w:widowControl w:val="0"/>
        <w:numPr>
          <w:ilvl w:val="0"/>
          <w:numId w:val="43"/>
        </w:numPr>
        <w:shd w:val="clear" w:color="auto" w:fill="auto"/>
        <w:tabs>
          <w:tab w:pos="626" w:val="left"/>
        </w:tabs>
        <w:bidi w:val="0"/>
        <w:spacing w:before="0" w:after="28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aplicação das sanções previstas neste instrumento não exclui, em hipótese alguma, a obrigação de reparação integral dos danos causados.</w:t>
      </w:r>
    </w:p>
    <w:p>
      <w:pPr>
        <w:pStyle w:val="Style2"/>
        <w:keepNext/>
        <w:keepLines/>
        <w:widowControl w:val="0"/>
        <w:shd w:val="clear" w:color="auto" w:fill="auto"/>
        <w:bidi w:val="0"/>
        <w:spacing w:before="0" w:after="280" w:line="240" w:lineRule="auto"/>
        <w:ind w:left="480" w:right="0" w:hanging="480"/>
        <w:jc w:val="both"/>
      </w:pPr>
      <w:bookmarkStart w:id="15" w:name="bookmark15"/>
      <w:r>
        <w:rPr>
          <w:rFonts w:ascii="Times New Roman" w:eastAsia="Times New Roman" w:hAnsi="Times New Roman" w:cs="Times New Roman"/>
          <w:color w:val="000000"/>
          <w:spacing w:val="0"/>
          <w:w w:val="100"/>
          <w:position w:val="0"/>
          <w:shd w:val="clear" w:color="auto" w:fill="auto"/>
          <w:lang w:val="pt-PT" w:eastAsia="pt-PT" w:bidi="pt-PT"/>
        </w:rPr>
        <w:t xml:space="preserve">CLÁUSULA DÉCIMA SEGUNDA: DA DOTAÇÃO </w:t>
      </w:r>
      <w:r>
        <w:rPr>
          <w:rFonts w:ascii="Times New Roman" w:eastAsia="Times New Roman" w:hAnsi="Times New Roman" w:cs="Times New Roman"/>
          <w:color w:val="000000"/>
          <w:spacing w:val="0"/>
          <w:w w:val="100"/>
          <w:position w:val="0"/>
          <w:shd w:val="clear" w:color="auto" w:fill="auto"/>
          <w:lang w:val="pt-BR" w:eastAsia="pt-BR" w:bidi="pt-BR"/>
        </w:rPr>
        <w:t>ORÇAMENTÁRIA</w:t>
      </w:r>
      <w:bookmarkEnd w:id="15"/>
    </w:p>
    <w:p>
      <w:pPr>
        <w:pStyle w:val="Style10"/>
        <w:keepNext w:val="0"/>
        <w:keepLines w:val="0"/>
        <w:widowControl w:val="0"/>
        <w:numPr>
          <w:ilvl w:val="0"/>
          <w:numId w:val="59"/>
        </w:numPr>
        <w:shd w:val="clear" w:color="auto" w:fill="auto"/>
        <w:tabs>
          <w:tab w:pos="530" w:val="left"/>
        </w:tabs>
        <w:bidi w:val="0"/>
        <w:spacing w:before="0" w:after="0" w:line="295" w:lineRule="auto"/>
        <w:ind w:left="480" w:right="0" w:hanging="480"/>
        <w:jc w:val="both"/>
      </w:pPr>
      <w:r>
        <w:rPr>
          <w:rFonts w:ascii="Times New Roman" w:eastAsia="Times New Roman" w:hAnsi="Times New Roman" w:cs="Times New Roman"/>
          <w:color w:val="000000"/>
          <w:spacing w:val="0"/>
          <w:w w:val="100"/>
          <w:position w:val="0"/>
          <w:shd w:val="clear" w:color="auto" w:fill="auto"/>
          <w:lang w:val="pt-PT" w:eastAsia="pt-PT" w:bidi="pt-PT"/>
        </w:rPr>
        <w:t>A despesa decorrente deste contrato correrá à conta dos recursos previsto no orçamento Municipal para o exercício de 2025, conforme abaixo:</w:t>
      </w:r>
    </w:p>
    <w:p>
      <w:pPr>
        <w:pStyle w:val="Style10"/>
        <w:keepNext w:val="0"/>
        <w:keepLines w:val="0"/>
        <w:widowControl w:val="0"/>
        <w:shd w:val="clear" w:color="auto" w:fill="auto"/>
        <w:bidi w:val="0"/>
        <w:spacing w:before="0" w:after="0" w:line="269" w:lineRule="auto"/>
        <w:ind w:left="28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Unidade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Orçamentária: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02.02 - </w:t>
      </w:r>
      <w:r>
        <w:rPr>
          <w:rFonts w:ascii="Times New Roman" w:eastAsia="Times New Roman" w:hAnsi="Times New Roman" w:cs="Times New Roman"/>
          <w:color w:val="000000"/>
          <w:spacing w:val="0"/>
          <w:w w:val="100"/>
          <w:position w:val="0"/>
          <w:shd w:val="clear" w:color="auto" w:fill="auto"/>
          <w:lang w:val="pt-PT" w:eastAsia="pt-PT" w:bidi="pt-PT"/>
        </w:rPr>
        <w:t>Secretaria Municipal de Administração e Finanças;</w:t>
      </w:r>
    </w:p>
    <w:p>
      <w:pPr>
        <w:pStyle w:val="Style10"/>
        <w:keepNext w:val="0"/>
        <w:keepLines w:val="0"/>
        <w:widowControl w:val="0"/>
        <w:shd w:val="clear" w:color="auto" w:fill="auto"/>
        <w:bidi w:val="0"/>
        <w:spacing w:before="0" w:after="0" w:line="269" w:lineRule="auto"/>
        <w:ind w:left="28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Atividade: 04.122.0011.2005 - </w:t>
      </w:r>
      <w:r>
        <w:rPr>
          <w:rFonts w:ascii="Times New Roman" w:eastAsia="Times New Roman" w:hAnsi="Times New Roman" w:cs="Times New Roman"/>
          <w:color w:val="000000"/>
          <w:spacing w:val="0"/>
          <w:w w:val="100"/>
          <w:position w:val="0"/>
          <w:shd w:val="clear" w:color="auto" w:fill="auto"/>
          <w:lang w:val="pt-PT" w:eastAsia="pt-PT" w:bidi="pt-PT"/>
        </w:rPr>
        <w:t xml:space="preserve">Manutenção da Secretaria Municipal de Administração e Finanças;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Elemento de Despesa: 3.3.90.36 - </w:t>
      </w:r>
      <w:r>
        <w:rPr>
          <w:rFonts w:ascii="Times New Roman" w:eastAsia="Times New Roman" w:hAnsi="Times New Roman" w:cs="Times New Roman"/>
          <w:color w:val="000000"/>
          <w:spacing w:val="0"/>
          <w:w w:val="100"/>
          <w:position w:val="0"/>
          <w:shd w:val="clear" w:color="auto" w:fill="auto"/>
          <w:lang w:val="pt-PT" w:eastAsia="pt-PT" w:bidi="pt-PT"/>
        </w:rPr>
        <w:t>Outros Serviços de Terceiros - Pessoa Física;</w:t>
      </w:r>
    </w:p>
    <w:p>
      <w:pPr>
        <w:pStyle w:val="Style10"/>
        <w:keepNext w:val="0"/>
        <w:keepLines w:val="0"/>
        <w:widowControl w:val="0"/>
        <w:shd w:val="clear" w:color="auto" w:fill="auto"/>
        <w:bidi w:val="0"/>
        <w:spacing w:before="0" w:after="0" w:line="269" w:lineRule="auto"/>
        <w:ind w:left="28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Fonte de Recursos: 1.500 - </w:t>
      </w:r>
      <w:r>
        <w:rPr>
          <w:rFonts w:ascii="Times New Roman" w:eastAsia="Times New Roman" w:hAnsi="Times New Roman" w:cs="Times New Roman"/>
          <w:color w:val="000000"/>
          <w:spacing w:val="0"/>
          <w:w w:val="100"/>
          <w:position w:val="0"/>
          <w:shd w:val="clear" w:color="auto" w:fill="auto"/>
          <w:lang w:val="pt-PT" w:eastAsia="pt-PT" w:bidi="pt-PT"/>
        </w:rPr>
        <w:t>Recursos Próprio.</w:t>
      </w:r>
      <w:r>
        <w:br w:type="page"/>
      </w:r>
    </w:p>
    <w:p>
      <w:pPr>
        <w:pStyle w:val="Style2"/>
        <w:keepNext/>
        <w:keepLines/>
        <w:widowControl w:val="0"/>
        <w:shd w:val="clear" w:color="auto" w:fill="auto"/>
        <w:bidi w:val="0"/>
        <w:spacing w:before="0" w:after="300" w:line="240" w:lineRule="auto"/>
        <w:ind w:left="0" w:right="0" w:firstLine="0"/>
        <w:jc w:val="left"/>
      </w:pPr>
      <w:bookmarkStart w:id="16" w:name="bookmark16"/>
      <w:r>
        <w:rPr>
          <w:rFonts w:ascii="Times New Roman" w:eastAsia="Times New Roman" w:hAnsi="Times New Roman" w:cs="Times New Roman"/>
          <w:color w:val="000000"/>
          <w:spacing w:val="0"/>
          <w:w w:val="100"/>
          <w:position w:val="0"/>
          <w:shd w:val="clear" w:color="auto" w:fill="auto"/>
          <w:lang w:val="pt-PT" w:eastAsia="pt-PT" w:bidi="pt-PT"/>
        </w:rPr>
        <w:t>CLÁUSULA DÉCIMA TERCEIRA: DA GARANTIA DE EXECUÇÃO</w:t>
      </w:r>
      <w:bookmarkEnd w:id="16"/>
    </w:p>
    <w:p>
      <w:pPr>
        <w:pStyle w:val="Style10"/>
        <w:keepNext w:val="0"/>
        <w:keepLines w:val="0"/>
        <w:widowControl w:val="0"/>
        <w:numPr>
          <w:ilvl w:val="0"/>
          <w:numId w:val="61"/>
        </w:numPr>
        <w:shd w:val="clear" w:color="auto" w:fill="auto"/>
        <w:tabs>
          <w:tab w:pos="963" w:val="left"/>
        </w:tabs>
        <w:bidi w:val="0"/>
        <w:spacing w:before="0" w:after="260" w:line="240"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Não haverá exigência de garantia contratual da execução.</w:t>
      </w:r>
    </w:p>
    <w:p>
      <w:pPr>
        <w:pStyle w:val="Style2"/>
        <w:keepNext/>
        <w:keepLines/>
        <w:widowControl w:val="0"/>
        <w:shd w:val="clear" w:color="auto" w:fill="auto"/>
        <w:bidi w:val="0"/>
        <w:spacing w:before="0" w:after="280" w:line="240" w:lineRule="auto"/>
        <w:ind w:left="0" w:right="0" w:firstLine="0"/>
        <w:jc w:val="left"/>
      </w:pPr>
      <w:bookmarkStart w:id="17" w:name="bookmark17"/>
      <w:r>
        <w:rPr>
          <w:rFonts w:ascii="Times New Roman" w:eastAsia="Times New Roman" w:hAnsi="Times New Roman" w:cs="Times New Roman"/>
          <w:color w:val="000000"/>
          <w:spacing w:val="0"/>
          <w:w w:val="100"/>
          <w:position w:val="0"/>
          <w:shd w:val="clear" w:color="auto" w:fill="auto"/>
          <w:lang w:val="pt-PT" w:eastAsia="pt-PT" w:bidi="pt-PT"/>
        </w:rPr>
        <w:t>CLÁUSULA DÉCIMA QUARTA: DA RESCISÃO CONTRATUAL</w:t>
      </w:r>
      <w:bookmarkEnd w:id="17"/>
    </w:p>
    <w:p>
      <w:pPr>
        <w:pStyle w:val="Style10"/>
        <w:keepNext w:val="0"/>
        <w:keepLines w:val="0"/>
        <w:widowControl w:val="0"/>
        <w:shd w:val="clear" w:color="auto" w:fill="auto"/>
        <w:bidi w:val="0"/>
        <w:spacing w:before="0" w:after="0" w:line="305"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14.1.0 contrato se extingue quando cumpridas as obrigações de ambas as partes, ainda que isso ocorra antes do prazo estipulado para tanto.</w:t>
      </w:r>
    </w:p>
    <w:p>
      <w:pPr>
        <w:pStyle w:val="Style10"/>
        <w:keepNext w:val="0"/>
        <w:keepLines w:val="0"/>
        <w:widowControl w:val="0"/>
        <w:numPr>
          <w:ilvl w:val="0"/>
          <w:numId w:val="63"/>
        </w:numPr>
        <w:shd w:val="clear" w:color="auto" w:fill="auto"/>
        <w:tabs>
          <w:tab w:pos="963" w:val="left"/>
        </w:tabs>
        <w:bidi w:val="0"/>
        <w:spacing w:before="0" w:after="0" w:line="305"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Se as obrigações não forem cumpridas no prazo estipulado, a vigência ficará prorrogada até a conclusão do objeto, caso em que deverá a Administração providenciar a readequação do cronograma fixado para o contrato, pu da forma que a administração pública melhor solucionar.</w:t>
      </w:r>
    </w:p>
    <w:p>
      <w:pPr>
        <w:pStyle w:val="Style10"/>
        <w:keepNext w:val="0"/>
        <w:keepLines w:val="0"/>
        <w:widowControl w:val="0"/>
        <w:numPr>
          <w:ilvl w:val="0"/>
          <w:numId w:val="65"/>
        </w:numPr>
        <w:shd w:val="clear" w:color="auto" w:fill="auto"/>
        <w:tabs>
          <w:tab w:pos="1491" w:val="left"/>
        </w:tabs>
        <w:bidi w:val="0"/>
        <w:spacing w:before="0" w:after="0" w:line="307" w:lineRule="auto"/>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Quando a não conclusão do contrato referida no item anterior decorrer de culpa do contratado:</w:t>
      </w:r>
    </w:p>
    <w:p>
      <w:pPr>
        <w:pStyle w:val="Style10"/>
        <w:keepNext w:val="0"/>
        <w:keepLines w:val="0"/>
        <w:widowControl w:val="0"/>
        <w:numPr>
          <w:ilvl w:val="0"/>
          <w:numId w:val="67"/>
        </w:numPr>
        <w:shd w:val="clear" w:color="auto" w:fill="auto"/>
        <w:tabs>
          <w:tab w:pos="723" w:val="left"/>
        </w:tabs>
        <w:bidi w:val="0"/>
        <w:spacing w:before="0" w:after="0"/>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ficará ele constituído em mora, sendo-lhe aplicáveis 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lang w:val="pt-PT" w:eastAsia="pt-PT" w:bidi="pt-PT"/>
        </w:rPr>
        <w:t>sanções administrativas; e</w:t>
      </w:r>
    </w:p>
    <w:p>
      <w:pPr>
        <w:pStyle w:val="Style10"/>
        <w:keepNext w:val="0"/>
        <w:keepLines w:val="0"/>
        <w:widowControl w:val="0"/>
        <w:numPr>
          <w:ilvl w:val="0"/>
          <w:numId w:val="67"/>
        </w:numPr>
        <w:shd w:val="clear" w:color="auto" w:fill="auto"/>
        <w:tabs>
          <w:tab w:pos="735" w:val="left"/>
        </w:tabs>
        <w:bidi w:val="0"/>
        <w:spacing w:before="0" w:after="0"/>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poderá a Administração optar pela extinção do contrato e, nesse caso, adotará as medidas</w:t>
      </w:r>
    </w:p>
    <w:p>
      <w:pPr>
        <w:pStyle w:val="Style10"/>
        <w:keepNext w:val="0"/>
        <w:keepLines w:val="0"/>
        <w:widowControl w:val="0"/>
        <w:shd w:val="clear" w:color="auto" w:fill="auto"/>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admitidas em lei para a continuidade da execução contratual.</w:t>
      </w:r>
    </w:p>
    <w:p>
      <w:pPr>
        <w:pStyle w:val="Style10"/>
        <w:keepNext w:val="0"/>
        <w:keepLines w:val="0"/>
        <w:widowControl w:val="0"/>
        <w:numPr>
          <w:ilvl w:val="0"/>
          <w:numId w:val="63"/>
        </w:numPr>
        <w:shd w:val="clear" w:color="auto" w:fill="auto"/>
        <w:tabs>
          <w:tab w:pos="963" w:val="left"/>
        </w:tabs>
        <w:bidi w:val="0"/>
        <w:spacing w:before="0" w:after="0"/>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Constituem motivos para extinção do contrato, a qual deverá ser formalmente motivada nos presentes autos, as situações previstas no Art. 137, da Lei n° 14.133/2021, assegurados o contraditório e a ampla defesa.</w:t>
      </w:r>
    </w:p>
    <w:p>
      <w:pPr>
        <w:pStyle w:val="Style10"/>
        <w:keepNext w:val="0"/>
        <w:keepLines w:val="0"/>
        <w:widowControl w:val="0"/>
        <w:numPr>
          <w:ilvl w:val="0"/>
          <w:numId w:val="69"/>
        </w:numPr>
        <w:shd w:val="clear" w:color="auto" w:fill="auto"/>
        <w:tabs>
          <w:tab w:pos="1485" w:val="left"/>
        </w:tabs>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Nesta hipótese, aplicam-se também os artigos 138 e 139 da mesma Lei.</w:t>
      </w:r>
    </w:p>
    <w:p>
      <w:pPr>
        <w:pStyle w:val="Style10"/>
        <w:keepNext w:val="0"/>
        <w:keepLines w:val="0"/>
        <w:widowControl w:val="0"/>
        <w:numPr>
          <w:ilvl w:val="0"/>
          <w:numId w:val="69"/>
        </w:numPr>
        <w:shd w:val="clear" w:color="auto" w:fill="auto"/>
        <w:tabs>
          <w:tab w:pos="1485" w:val="left"/>
        </w:tabs>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A alteração social ou a modificação da finalidade ou da estrutura da empresa não ensejará a rescisão se não restringir sua capacidade de concluir o contrato.</w:t>
      </w:r>
    </w:p>
    <w:p>
      <w:pPr>
        <w:pStyle w:val="Style10"/>
        <w:keepNext w:val="0"/>
        <w:keepLines w:val="0"/>
        <w:widowControl w:val="0"/>
        <w:numPr>
          <w:ilvl w:val="0"/>
          <w:numId w:val="69"/>
        </w:numPr>
        <w:shd w:val="clear" w:color="auto" w:fill="auto"/>
        <w:tabs>
          <w:tab w:pos="1485" w:val="left"/>
        </w:tabs>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Se a operação implicar mudança da pessoa jurídica contratada, deverá ser formalizado termo aditivo para alteração subjetiva.</w:t>
      </w:r>
    </w:p>
    <w:p>
      <w:pPr>
        <w:pStyle w:val="Style10"/>
        <w:keepNext w:val="0"/>
        <w:keepLines w:val="0"/>
        <w:widowControl w:val="0"/>
        <w:numPr>
          <w:ilvl w:val="0"/>
          <w:numId w:val="63"/>
        </w:numPr>
        <w:shd w:val="clear" w:color="auto" w:fill="auto"/>
        <w:tabs>
          <w:tab w:pos="963" w:val="left"/>
        </w:tabs>
        <w:bidi w:val="0"/>
        <w:spacing w:before="0" w:after="0"/>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O termo de rescisão, sempre que possível, será precedido:</w:t>
      </w:r>
    </w:p>
    <w:p>
      <w:pPr>
        <w:pStyle w:val="Style10"/>
        <w:keepNext w:val="0"/>
        <w:keepLines w:val="0"/>
        <w:widowControl w:val="0"/>
        <w:numPr>
          <w:ilvl w:val="0"/>
          <w:numId w:val="71"/>
        </w:numPr>
        <w:shd w:val="clear" w:color="auto" w:fill="auto"/>
        <w:tabs>
          <w:tab w:pos="1491" w:val="left"/>
        </w:tabs>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Balanço dos eventos contratuais já cumpridos ou parcialmente cumpridos;</w:t>
      </w:r>
    </w:p>
    <w:p>
      <w:pPr>
        <w:pStyle w:val="Style10"/>
        <w:keepNext w:val="0"/>
        <w:keepLines w:val="0"/>
        <w:widowControl w:val="0"/>
        <w:numPr>
          <w:ilvl w:val="0"/>
          <w:numId w:val="71"/>
        </w:numPr>
        <w:shd w:val="clear" w:color="auto" w:fill="auto"/>
        <w:tabs>
          <w:tab w:pos="1491" w:val="left"/>
        </w:tabs>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Relação dos pagamentos já efetuados e ainda devidos;</w:t>
      </w:r>
    </w:p>
    <w:p>
      <w:pPr>
        <w:pStyle w:val="Style10"/>
        <w:keepNext w:val="0"/>
        <w:keepLines w:val="0"/>
        <w:widowControl w:val="0"/>
        <w:numPr>
          <w:ilvl w:val="0"/>
          <w:numId w:val="71"/>
        </w:numPr>
        <w:shd w:val="clear" w:color="auto" w:fill="auto"/>
        <w:tabs>
          <w:tab w:pos="1491" w:val="left"/>
        </w:tabs>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hd w:val="clear" w:color="auto" w:fill="auto"/>
          <w:lang w:val="pt-PT" w:eastAsia="pt-PT" w:bidi="pt-PT"/>
        </w:rPr>
        <w:t>e multas.</w:t>
      </w:r>
    </w:p>
    <w:p>
      <w:pPr>
        <w:pStyle w:val="Style10"/>
        <w:keepNext w:val="0"/>
        <w:keepLines w:val="0"/>
        <w:widowControl w:val="0"/>
        <w:numPr>
          <w:ilvl w:val="0"/>
          <w:numId w:val="63"/>
        </w:numPr>
        <w:shd w:val="clear" w:color="auto" w:fill="auto"/>
        <w:tabs>
          <w:tab w:pos="963" w:val="left"/>
        </w:tabs>
        <w:bidi w:val="0"/>
        <w:spacing w:before="0" w:after="0"/>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extinção do contrato não configura óbice para o reconhecimento do desequilíbrio económico-financeiro, hipótese em que será concedida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hd w:val="clear" w:color="auto" w:fill="auto"/>
          <w:lang w:val="pt-PT" w:eastAsia="pt-PT" w:bidi="pt-PT"/>
        </w:rPr>
        <w:t>por meio de termo indenizatório.</w:t>
      </w:r>
    </w:p>
    <w:p>
      <w:pPr>
        <w:pStyle w:val="Style10"/>
        <w:keepNext w:val="0"/>
        <w:keepLines w:val="0"/>
        <w:widowControl w:val="0"/>
        <w:numPr>
          <w:ilvl w:val="0"/>
          <w:numId w:val="63"/>
        </w:numPr>
        <w:shd w:val="clear" w:color="auto" w:fill="auto"/>
        <w:tabs>
          <w:tab w:pos="963" w:val="left"/>
        </w:tabs>
        <w:bidi w:val="0"/>
        <w:spacing w:before="0" w:after="0"/>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O contratante poderá ainda:</w:t>
      </w:r>
    </w:p>
    <w:p>
      <w:pPr>
        <w:pStyle w:val="Style10"/>
        <w:keepNext w:val="0"/>
        <w:keepLines w:val="0"/>
        <w:widowControl w:val="0"/>
        <w:numPr>
          <w:ilvl w:val="0"/>
          <w:numId w:val="73"/>
        </w:numPr>
        <w:shd w:val="clear" w:color="auto" w:fill="auto"/>
        <w:tabs>
          <w:tab w:pos="1485" w:val="left"/>
        </w:tabs>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nos casos de obrigação de pagamento de multa pelo CONTRATADO, reter a garantia prestada a ser executada, conforme legislação que rege a matéria; e</w:t>
      </w:r>
    </w:p>
    <w:p>
      <w:pPr>
        <w:pStyle w:val="Style10"/>
        <w:keepNext w:val="0"/>
        <w:keepLines w:val="0"/>
        <w:widowControl w:val="0"/>
        <w:numPr>
          <w:ilvl w:val="0"/>
          <w:numId w:val="73"/>
        </w:numPr>
        <w:shd w:val="clear" w:color="auto" w:fill="auto"/>
        <w:tabs>
          <w:tab w:pos="1485" w:val="left"/>
        </w:tabs>
        <w:bidi w:val="0"/>
        <w:spacing w:before="0" w:after="0"/>
        <w:ind w:left="14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nos casos em que houver necessidade de ressarcimento de prejuízos causados à Administração, nos termos do inciso IV do art. 139 da Lei n.° 14.133, de 2021, reter os eventuais créditos existentes em favor do CONTRATADO decorrentes do contrato.</w:t>
      </w:r>
    </w:p>
    <w:p>
      <w:pPr>
        <w:pStyle w:val="Style10"/>
        <w:keepNext w:val="0"/>
        <w:keepLines w:val="0"/>
        <w:widowControl w:val="0"/>
        <w:shd w:val="clear" w:color="auto" w:fill="auto"/>
        <w:bidi w:val="0"/>
        <w:spacing w:before="0" w:after="0"/>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14.7.0 contrato poderá ser extinto caso se constate que o CONTRATADO mantém vinculo de natureza técnica, comercial,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pPr>
        <w:pStyle w:val="Style2"/>
        <w:keepNext/>
        <w:keepLines/>
        <w:widowControl w:val="0"/>
        <w:shd w:val="clear" w:color="auto" w:fill="auto"/>
        <w:bidi w:val="0"/>
        <w:spacing w:before="0" w:after="0"/>
        <w:ind w:left="0" w:right="0" w:firstLine="0"/>
        <w:jc w:val="left"/>
      </w:pPr>
      <w:bookmarkStart w:id="18" w:name="bookmark18"/>
      <w:r>
        <w:rPr>
          <w:rFonts w:ascii="Times New Roman" w:eastAsia="Times New Roman" w:hAnsi="Times New Roman" w:cs="Times New Roman"/>
          <w:color w:val="000000"/>
          <w:spacing w:val="0"/>
          <w:w w:val="100"/>
          <w:position w:val="0"/>
          <w:shd w:val="clear" w:color="auto" w:fill="auto"/>
          <w:lang w:val="pt-PT" w:eastAsia="pt-PT" w:bidi="pt-PT"/>
        </w:rPr>
        <w:t>CLÁUSULA DÉCIMA QUINTA: DOS CASOS OMISSOS</w:t>
      </w:r>
      <w:bookmarkEnd w:id="18"/>
    </w:p>
    <w:p>
      <w:pPr>
        <w:pStyle w:val="Style10"/>
        <w:keepNext w:val="0"/>
        <w:keepLines w:val="0"/>
        <w:widowControl w:val="0"/>
        <w:numPr>
          <w:ilvl w:val="0"/>
          <w:numId w:val="75"/>
        </w:numPr>
        <w:shd w:val="clear" w:color="auto" w:fill="auto"/>
        <w:tabs>
          <w:tab w:pos="963" w:val="left"/>
        </w:tabs>
        <w:bidi w:val="0"/>
        <w:spacing w:before="0" w:after="0" w:line="300"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Os casos omissos será o decididos pelo CONTRATANTE, segundo as disposições contidas na Lei n° 14.133, de 2021, e demais normas federais aplicáveis e, subsidiariamente, segundo </w:t>
      </w:r>
      <w:r>
        <w:rPr>
          <w:rFonts w:ascii="Times New Roman" w:eastAsia="Times New Roman" w:hAnsi="Times New Roman" w:cs="Times New Roman"/>
          <w:color w:val="000000"/>
          <w:spacing w:val="0"/>
          <w:w w:val="100"/>
          <w:position w:val="0"/>
          <w:shd w:val="clear" w:color="auto" w:fill="auto"/>
          <w:lang w:val="pt-PT" w:eastAsia="pt-PT" w:bidi="pt-PT"/>
        </w:rPr>
        <w:t>as disposições contidas na Lei n° 8.078, de 1990 - Código de Defesa do Consumidor e normas</w:t>
      </w:r>
    </w:p>
    <w:p>
      <w:pPr>
        <w:pStyle w:val="Style10"/>
        <w:keepNext w:val="0"/>
        <w:keepLines w:val="0"/>
        <w:widowControl w:val="0"/>
        <w:shd w:val="clear" w:color="auto" w:fill="auto"/>
        <w:bidi w:val="0"/>
        <w:spacing w:before="0" w:after="0" w:line="240" w:lineRule="auto"/>
        <w:ind w:left="840" w:right="0" w:firstLine="0"/>
        <w:jc w:val="left"/>
        <w:sectPr>
          <w:headerReference w:type="default" r:id="rId36"/>
          <w:footerReference w:type="default" r:id="rId37"/>
          <w:headerReference w:type="even" r:id="rId38"/>
          <w:footerReference w:type="even" r:id="rId39"/>
          <w:footnotePr>
            <w:pos w:val="pageBottom"/>
            <w:numFmt w:val="decimal"/>
            <w:numRestart w:val="continuous"/>
          </w:footnotePr>
          <w:pgSz w:w="11900" w:h="16840"/>
          <w:pgMar w:top="1566" w:left="1344" w:right="1357" w:bottom="856" w:header="0" w:footer="3" w:gutter="0"/>
          <w:cols w:space="720"/>
          <w:noEndnote/>
          <w:rtlGutter w:val="0"/>
          <w:docGrid w:linePitch="360"/>
        </w:sectPr>
      </w:pPr>
      <w:r>
        <w:drawing>
          <wp:anchor distT="0" distB="0" distL="114300" distR="114300" simplePos="0" relativeHeight="125829386" behindDoc="0" locked="0" layoutInCell="1" allowOverlap="1">
            <wp:simplePos x="0" y="0"/>
            <wp:positionH relativeFrom="page">
              <wp:posOffset>4792980</wp:posOffset>
            </wp:positionH>
            <wp:positionV relativeFrom="paragraph">
              <wp:posOffset>12700</wp:posOffset>
            </wp:positionV>
            <wp:extent cx="2377440" cy="511810"/>
            <wp:wrapSquare wrapText="bothSides"/>
            <wp:docPr id="105" name="Shape 105"/>
            <a:graphic xmlns:a="http://schemas.openxmlformats.org/drawingml/2006/main">
              <a:graphicData uri="http://schemas.openxmlformats.org/drawingml/2006/picture">
                <pic:pic xmlns:pic="http://schemas.openxmlformats.org/drawingml/2006/picture">
                  <pic:nvPicPr>
                    <pic:cNvPr id="106" name="Picture box 106"/>
                    <pic:cNvPicPr/>
                  </pic:nvPicPr>
                  <pic:blipFill>
                    <a:blip r:embed="rId40"/>
                    <a:stretch/>
                  </pic:blipFill>
                  <pic:spPr>
                    <a:xfrm>
                      <a:ext cx="2377440" cy="51181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e princípios gerais dos contratos</w:t>
      </w:r>
    </w:p>
    <w:p>
      <w:pPr>
        <w:pStyle w:val="Style2"/>
        <w:keepNext/>
        <w:keepLines/>
        <w:widowControl w:val="0"/>
        <w:shd w:val="clear" w:color="auto" w:fill="auto"/>
        <w:bidi w:val="0"/>
        <w:spacing w:before="0" w:after="0"/>
        <w:ind w:left="0" w:right="0" w:firstLine="0"/>
        <w:jc w:val="left"/>
      </w:pPr>
      <w:bookmarkStart w:id="19" w:name="bookmark19"/>
      <w:r>
        <w:rPr>
          <w:rFonts w:ascii="Times New Roman" w:eastAsia="Times New Roman" w:hAnsi="Times New Roman" w:cs="Times New Roman"/>
          <w:color w:val="000000"/>
          <w:spacing w:val="0"/>
          <w:w w:val="100"/>
          <w:position w:val="0"/>
          <w:shd w:val="clear" w:color="auto" w:fill="auto"/>
          <w:lang w:val="pt-PT" w:eastAsia="pt-PT" w:bidi="pt-PT"/>
        </w:rPr>
        <w:t>CLÁUSULA DÉCIMA SEXTA: DA OBSERVÂNCIA À LGPD</w:t>
      </w:r>
      <w:bookmarkEnd w:id="19"/>
    </w:p>
    <w:p>
      <w:pPr>
        <w:pStyle w:val="Style10"/>
        <w:keepNext w:val="0"/>
        <w:keepLines w:val="0"/>
        <w:widowControl w:val="0"/>
        <w:numPr>
          <w:ilvl w:val="0"/>
          <w:numId w:val="77"/>
        </w:numPr>
        <w:shd w:val="clear" w:color="auto" w:fill="auto"/>
        <w:tabs>
          <w:tab w:pos="910" w:val="left"/>
        </w:tabs>
        <w:bidi w:val="0"/>
        <w:spacing w:before="0" w:after="0" w:line="305"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A CONTRATADA, por si e por seus colaboradores,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 de cada país onde houver qualquer tipo de tratamento dos dados dos clientes, o que inclui os dados dos clientes desta. No manuseio dos dados a CONTRATADA deverá:</w:t>
      </w:r>
    </w:p>
    <w:p>
      <w:pPr>
        <w:pStyle w:val="Style10"/>
        <w:keepNext w:val="0"/>
        <w:keepLines w:val="0"/>
        <w:widowControl w:val="0"/>
        <w:numPr>
          <w:ilvl w:val="0"/>
          <w:numId w:val="79"/>
        </w:numPr>
        <w:shd w:val="clear" w:color="auto" w:fill="auto"/>
        <w:tabs>
          <w:tab w:pos="1802" w:val="left"/>
        </w:tabs>
        <w:bidi w:val="0"/>
        <w:spacing w:before="0" w:after="0" w:line="305" w:lineRule="auto"/>
        <w:ind w:left="180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Tratar os dados pessoais a que tiver acesso apenas de acordo com as instruções da CONTRATANTE e em conformidade com estas cláusulas, e que, na eventualidade, de não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poder cumprir estas obrigações, por qualquer razão, concorda em informar de modo formal este fato imediatamente à CONTRATANTE, que terá o direito de rescindir o contrato sem qualquer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multa ou encargo.</w:t>
      </w:r>
    </w:p>
    <w:p>
      <w:pPr>
        <w:pStyle w:val="Style10"/>
        <w:keepNext w:val="0"/>
        <w:keepLines w:val="0"/>
        <w:widowControl w:val="0"/>
        <w:numPr>
          <w:ilvl w:val="0"/>
          <w:numId w:val="79"/>
        </w:numPr>
        <w:shd w:val="clear" w:color="auto" w:fill="auto"/>
        <w:tabs>
          <w:tab w:pos="1802" w:val="left"/>
        </w:tabs>
        <w:bidi w:val="0"/>
        <w:spacing w:before="0" w:after="0" w:line="305" w:lineRule="auto"/>
        <w:ind w:left="180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Manter e utilizar medidas de segurança administrativas, técnicas e físicas apropriadas e suficientes para proteger a </w:t>
      </w:r>
      <w:r>
        <w:rPr>
          <w:rFonts w:ascii="Times New Roman" w:eastAsia="Times New Roman" w:hAnsi="Times New Roman" w:cs="Times New Roman"/>
          <w:color w:val="000000"/>
          <w:spacing w:val="0"/>
          <w:w w:val="100"/>
          <w:position w:val="0"/>
          <w:shd w:val="clear" w:color="auto" w:fill="auto"/>
          <w:lang w:val="pt-BR" w:eastAsia="pt-BR" w:bidi="pt-BR"/>
        </w:rPr>
        <w:t xml:space="preserve">confidencialidade </w:t>
      </w:r>
      <w:r>
        <w:rPr>
          <w:rFonts w:ascii="Times New Roman" w:eastAsia="Times New Roman" w:hAnsi="Times New Roman" w:cs="Times New Roman"/>
          <w:color w:val="000000"/>
          <w:spacing w:val="0"/>
          <w:w w:val="100"/>
          <w:position w:val="0"/>
          <w:shd w:val="clear" w:color="auto" w:fill="auto"/>
          <w:lang w:val="pt-PT" w:eastAsia="pt-PT" w:bidi="pt-PT"/>
        </w:rPr>
        <w:t xml:space="preserve">e integridade de todos os dados pessoais mantidos ou consultados/transmitidos eletronicamente, para garantir a proteção desses dados contra acesso não autorizado, destruição, uso, modificação, divulgação ou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lang w:val="pt-PT" w:eastAsia="pt-PT" w:bidi="pt-PT"/>
        </w:rPr>
        <w:t>acidental ou indevida.</w:t>
      </w:r>
    </w:p>
    <w:p>
      <w:pPr>
        <w:pStyle w:val="Style10"/>
        <w:keepNext w:val="0"/>
        <w:keepLines w:val="0"/>
        <w:widowControl w:val="0"/>
        <w:numPr>
          <w:ilvl w:val="0"/>
          <w:numId w:val="79"/>
        </w:numPr>
        <w:shd w:val="clear" w:color="auto" w:fill="auto"/>
        <w:tabs>
          <w:tab w:pos="1802" w:val="left"/>
        </w:tabs>
        <w:bidi w:val="0"/>
        <w:spacing w:before="0" w:after="0" w:line="305" w:lineRule="auto"/>
        <w:ind w:left="1800" w:right="0" w:hanging="7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Acessar </w:t>
      </w:r>
      <w:r>
        <w:rPr>
          <w:rFonts w:ascii="Times New Roman" w:eastAsia="Times New Roman" w:hAnsi="Times New Roman" w:cs="Times New Roman"/>
          <w:color w:val="000000"/>
          <w:spacing w:val="0"/>
          <w:w w:val="100"/>
          <w:position w:val="0"/>
          <w:shd w:val="clear" w:color="auto" w:fill="auto"/>
          <w:lang w:val="pt-PT" w:eastAsia="pt-PT" w:bidi="pt-PT"/>
        </w:rPr>
        <w:t>os dados dentro de seu escopo e na medida abrangida por sua permissão de acesso (autorização) e que os dados pessoais não podem ser lidos, copiados, modificados ou removidos sem autorização expressa e por escrito da CONTRATANTE.</w:t>
      </w:r>
    </w:p>
    <w:p>
      <w:pPr>
        <w:pStyle w:val="Style10"/>
        <w:keepNext w:val="0"/>
        <w:keepLines w:val="0"/>
        <w:widowControl w:val="0"/>
        <w:numPr>
          <w:ilvl w:val="0"/>
          <w:numId w:val="79"/>
        </w:numPr>
        <w:shd w:val="clear" w:color="auto" w:fill="auto"/>
        <w:tabs>
          <w:tab w:pos="1802" w:val="left"/>
        </w:tabs>
        <w:bidi w:val="0"/>
        <w:spacing w:before="0" w:after="0" w:line="305" w:lineRule="auto"/>
        <w:ind w:left="180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Garantir, por si própria ou quaisquer de seus empregados, prepostos, sócios, diretores, representantes ou terceiros contratados, a </w:t>
      </w:r>
      <w:r>
        <w:rPr>
          <w:rFonts w:ascii="Times New Roman" w:eastAsia="Times New Roman" w:hAnsi="Times New Roman" w:cs="Times New Roman"/>
          <w:color w:val="000000"/>
          <w:spacing w:val="0"/>
          <w:w w:val="100"/>
          <w:position w:val="0"/>
          <w:shd w:val="clear" w:color="auto" w:fill="auto"/>
          <w:lang w:val="pt-BR" w:eastAsia="pt-BR" w:bidi="pt-BR"/>
        </w:rPr>
        <w:t xml:space="preserve">confidencialidade </w:t>
      </w:r>
      <w:r>
        <w:rPr>
          <w:rFonts w:ascii="Times New Roman" w:eastAsia="Times New Roman" w:hAnsi="Times New Roman" w:cs="Times New Roman"/>
          <w:color w:val="000000"/>
          <w:spacing w:val="0"/>
          <w:w w:val="100"/>
          <w:position w:val="0"/>
          <w:shd w:val="clear" w:color="auto" w:fill="auto"/>
          <w:lang w:val="pt-PT" w:eastAsia="pt-PT" w:bidi="pt-PT"/>
        </w:rPr>
        <w:t xml:space="preserve">dos dados processados, assegurando que todos os seus colaboradores prepostos, sócios, diretores, representantes ou terceiros contratados que lidam com os dados pessoais sob responsabilidade da CONTRATANTE assinaram Acordo de </w:t>
      </w:r>
      <w:r>
        <w:rPr>
          <w:rFonts w:ascii="Times New Roman" w:eastAsia="Times New Roman" w:hAnsi="Times New Roman" w:cs="Times New Roman"/>
          <w:color w:val="000000"/>
          <w:spacing w:val="0"/>
          <w:w w:val="100"/>
          <w:position w:val="0"/>
          <w:shd w:val="clear" w:color="auto" w:fill="auto"/>
          <w:lang w:val="pt-BR" w:eastAsia="pt-BR" w:bidi="pt-BR"/>
        </w:rPr>
        <w:t xml:space="preserve">Confidencialidade </w:t>
      </w:r>
      <w:r>
        <w:rPr>
          <w:rFonts w:ascii="Times New Roman" w:eastAsia="Times New Roman" w:hAnsi="Times New Roman" w:cs="Times New Roman"/>
          <w:color w:val="000000"/>
          <w:spacing w:val="0"/>
          <w:w w:val="100"/>
          <w:position w:val="0"/>
          <w:shd w:val="clear" w:color="auto" w:fill="auto"/>
          <w:lang w:val="pt-PT" w:eastAsia="pt-PT" w:bidi="pt-PT"/>
        </w:rPr>
        <w:t>com a CONTRATADA, bem como a manter quaisquer Dados Pessoais estritamente confidenciais e de não os utilizar para outros fins, com exceção da prestação de serviços à CONTRATANTE. Ainda, treinará e orientará a sua equipe sobre as disposições legais aplicáveis em relação à proteção de dados.</w:t>
      </w:r>
    </w:p>
    <w:p>
      <w:pPr>
        <w:pStyle w:val="Style10"/>
        <w:keepNext w:val="0"/>
        <w:keepLines w:val="0"/>
        <w:widowControl w:val="0"/>
        <w:numPr>
          <w:ilvl w:val="0"/>
          <w:numId w:val="77"/>
        </w:numPr>
        <w:shd w:val="clear" w:color="auto" w:fill="auto"/>
        <w:tabs>
          <w:tab w:pos="916" w:val="left"/>
        </w:tabs>
        <w:bidi w:val="0"/>
        <w:spacing w:before="0" w:after="0" w:line="305"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pPr>
        <w:pStyle w:val="Style10"/>
        <w:keepNext w:val="0"/>
        <w:keepLines w:val="0"/>
        <w:widowControl w:val="0"/>
        <w:numPr>
          <w:ilvl w:val="0"/>
          <w:numId w:val="77"/>
        </w:numPr>
        <w:shd w:val="clear" w:color="auto" w:fill="auto"/>
        <w:tabs>
          <w:tab w:pos="916" w:val="left"/>
        </w:tabs>
        <w:bidi w:val="0"/>
        <w:spacing w:before="0" w:after="0" w:line="305"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Caso a CONTRATADA seja obrigada por determinação legal a fornecer dados pessoais a uma autoridade pública, deverá informar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a CONTRATANTE para que esta tome as medidas que julgar cabíveis.</w:t>
      </w:r>
    </w:p>
    <w:p>
      <w:pPr>
        <w:pStyle w:val="Style10"/>
        <w:keepNext w:val="0"/>
        <w:keepLines w:val="0"/>
        <w:widowControl w:val="0"/>
        <w:numPr>
          <w:ilvl w:val="0"/>
          <w:numId w:val="77"/>
        </w:numPr>
        <w:shd w:val="clear" w:color="auto" w:fill="auto"/>
        <w:tabs>
          <w:tab w:pos="916" w:val="left"/>
        </w:tabs>
        <w:bidi w:val="0"/>
        <w:spacing w:before="0" w:after="0" w:line="305"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A CONTRATADA deverá notificar a CONTRATANTE em até 24 (vinte e quatro) horas a respeito de:</w:t>
      </w:r>
    </w:p>
    <w:p>
      <w:pPr>
        <w:pStyle w:val="Style10"/>
        <w:keepNext w:val="0"/>
        <w:keepLines w:val="0"/>
        <w:widowControl w:val="0"/>
        <w:numPr>
          <w:ilvl w:val="0"/>
          <w:numId w:val="81"/>
        </w:numPr>
        <w:shd w:val="clear" w:color="auto" w:fill="auto"/>
        <w:tabs>
          <w:tab w:pos="1074" w:val="left"/>
        </w:tabs>
        <w:bidi w:val="0"/>
        <w:spacing w:before="0" w:after="0" w:line="305" w:lineRule="auto"/>
        <w:ind w:left="1080" w:right="0" w:hanging="480"/>
        <w:jc w:val="left"/>
      </w:pPr>
      <w:r>
        <w:rPr>
          <w:rFonts w:ascii="Times New Roman" w:eastAsia="Times New Roman" w:hAnsi="Times New Roman" w:cs="Times New Roman"/>
          <w:color w:val="000000"/>
          <w:spacing w:val="0"/>
          <w:w w:val="100"/>
          <w:position w:val="0"/>
          <w:shd w:val="clear" w:color="auto" w:fill="auto"/>
          <w:lang w:val="pt-PT" w:eastAsia="pt-PT" w:bidi="pt-PT"/>
        </w:rPr>
        <w:t>Qualquer não cumprimento (ainda que suspeito) das disposições legais relativas à proteção de Dados Pessoais pela CONTRATADA, seus funcionários, ou terceiros autorizados;</w:t>
      </w:r>
    </w:p>
    <w:p>
      <w:pPr>
        <w:pStyle w:val="Style10"/>
        <w:keepNext w:val="0"/>
        <w:keepLines w:val="0"/>
        <w:widowControl w:val="0"/>
        <w:numPr>
          <w:ilvl w:val="0"/>
          <w:numId w:val="81"/>
        </w:numPr>
        <w:shd w:val="clear" w:color="auto" w:fill="auto"/>
        <w:tabs>
          <w:tab w:pos="1074" w:val="left"/>
        </w:tabs>
        <w:bidi w:val="0"/>
        <w:spacing w:before="0" w:after="0" w:line="305" w:lineRule="auto"/>
        <w:ind w:left="1080" w:right="0" w:hanging="540"/>
        <w:jc w:val="left"/>
      </w:pPr>
      <w:r>
        <w:rPr>
          <w:rFonts w:ascii="Times New Roman" w:eastAsia="Times New Roman" w:hAnsi="Times New Roman" w:cs="Times New Roman"/>
          <w:color w:val="000000"/>
          <w:spacing w:val="0"/>
          <w:w w:val="100"/>
          <w:position w:val="0"/>
          <w:shd w:val="clear" w:color="auto" w:fill="auto"/>
          <w:lang w:val="pt-PT" w:eastAsia="pt-PT" w:bidi="pt-PT"/>
        </w:rPr>
        <w:t>Qualquer outra violação de segurança no âmbito das atividades e responsabilidades da CONTRATADA.</w:t>
      </w:r>
    </w:p>
    <w:p>
      <w:pPr>
        <w:pStyle w:val="Style10"/>
        <w:keepNext w:val="0"/>
        <w:keepLines w:val="0"/>
        <w:widowControl w:val="0"/>
        <w:numPr>
          <w:ilvl w:val="0"/>
          <w:numId w:val="77"/>
        </w:numPr>
        <w:shd w:val="clear" w:color="auto" w:fill="auto"/>
        <w:tabs>
          <w:tab w:pos="916" w:val="left"/>
        </w:tabs>
        <w:bidi w:val="0"/>
        <w:spacing w:before="0" w:after="60" w:line="305" w:lineRule="auto"/>
        <w:ind w:left="84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CONTRATADA será integralmente responsável pelo pagamento de </w:t>
      </w:r>
      <w:r>
        <w:rPr>
          <w:rFonts w:ascii="Times New Roman" w:eastAsia="Times New Roman" w:hAnsi="Times New Roman" w:cs="Times New Roman"/>
          <w:color w:val="000000"/>
          <w:spacing w:val="0"/>
          <w:w w:val="100"/>
          <w:position w:val="0"/>
          <w:shd w:val="clear" w:color="auto" w:fill="auto"/>
          <w:lang w:val="pt-BR" w:eastAsia="pt-BR" w:bidi="pt-BR"/>
        </w:rPr>
        <w:t xml:space="preserve">perdas </w:t>
      </w:r>
      <w:r>
        <w:rPr>
          <w:rFonts w:ascii="Times New Roman" w:eastAsia="Times New Roman" w:hAnsi="Times New Roman" w:cs="Times New Roman"/>
          <w:color w:val="000000"/>
          <w:spacing w:val="0"/>
          <w:w w:val="100"/>
          <w:position w:val="0"/>
          <w:shd w:val="clear" w:color="auto" w:fill="auto"/>
          <w:lang w:val="pt-PT" w:eastAsia="pt-PT" w:bidi="pt-PT"/>
        </w:rPr>
        <w:t>e danos de ordem moral e material, bem como pelo ressarcimento do pagamento de qualquer multa ou penalidade imposta à CONTRATANTE e/ou a terceiros diretamente resultantes do</w:t>
      </w:r>
    </w:p>
    <w:p>
      <w:pPr>
        <w:widowControl w:val="0"/>
        <w:jc w:val="right"/>
        <w:rPr>
          <w:sz w:val="2"/>
          <w:szCs w:val="2"/>
        </w:rPr>
      </w:pPr>
      <w:r>
        <w:drawing>
          <wp:inline>
            <wp:extent cx="792480" cy="304800"/>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42"/>
                    <a:stretch/>
                  </pic:blipFill>
                  <pic:spPr>
                    <a:xfrm>
                      <a:ext cx="792480" cy="304800"/>
                    </a:xfrm>
                    <a:prstGeom prst="rect"/>
                  </pic:spPr>
                </pic:pic>
              </a:graphicData>
            </a:graphic>
          </wp:inline>
        </w:drawing>
      </w:r>
      <w:r>
        <w:br w:type="page"/>
      </w:r>
    </w:p>
    <w:p>
      <w:pPr>
        <w:pStyle w:val="Style10"/>
        <w:keepNext w:val="0"/>
        <w:keepLines w:val="0"/>
        <w:widowControl w:val="0"/>
        <w:shd w:val="clear" w:color="auto" w:fill="auto"/>
        <w:bidi w:val="0"/>
        <w:spacing w:before="0" w:after="280" w:line="307" w:lineRule="auto"/>
        <w:ind w:left="88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descumprimento pela CONTRATADA de qualquer das cláusulas previstas neste capítulo quanto a proteção e uso dos dados pessoais.</w:t>
      </w:r>
    </w:p>
    <w:p>
      <w:pPr>
        <w:pStyle w:val="Style2"/>
        <w:keepNext/>
        <w:keepLines/>
        <w:widowControl w:val="0"/>
        <w:shd w:val="clear" w:color="auto" w:fill="auto"/>
        <w:bidi w:val="0"/>
        <w:spacing w:before="0" w:after="0"/>
        <w:ind w:left="0" w:right="0" w:firstLine="0"/>
        <w:jc w:val="both"/>
      </w:pPr>
      <w:bookmarkStart w:id="20" w:name="bookmark20"/>
      <w:r>
        <w:rPr>
          <w:rFonts w:ascii="Times New Roman" w:eastAsia="Times New Roman" w:hAnsi="Times New Roman" w:cs="Times New Roman"/>
          <w:color w:val="000000"/>
          <w:spacing w:val="0"/>
          <w:w w:val="100"/>
          <w:position w:val="0"/>
          <w:shd w:val="clear" w:color="auto" w:fill="auto"/>
          <w:lang w:val="pt-PT" w:eastAsia="pt-PT" w:bidi="pt-PT"/>
        </w:rPr>
        <w:t>CLÁUSULA DÉCIMA SÉTIMA: DA PUBLICIDADE DO CONTRATO</w:t>
      </w:r>
      <w:bookmarkEnd w:id="20"/>
    </w:p>
    <w:p>
      <w:pPr>
        <w:pStyle w:val="Style10"/>
        <w:keepNext w:val="0"/>
        <w:keepLines w:val="0"/>
        <w:widowControl w:val="0"/>
        <w:shd w:val="clear" w:color="auto" w:fill="auto"/>
        <w:bidi w:val="0"/>
        <w:spacing w:before="0" w:after="220" w:line="305" w:lineRule="auto"/>
        <w:ind w:left="88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17.1.0 presente Termo de Contrato será publicado na imprensa oficial e divulgado no Portal Nacional de Contratações Públicas (PNCP), visto que é condição indispensável para a eficácia do contrato e de seus aditamentos, dentro do prazo de 10 (dez) dias úteis, contados da data de sua assinatura, por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de caso de contratação direta, nos termos do art. 94, II da Lei n° 14.133/2021.</w:t>
      </w:r>
    </w:p>
    <w:p>
      <w:pPr>
        <w:pStyle w:val="Style2"/>
        <w:keepNext/>
        <w:keepLines/>
        <w:widowControl w:val="0"/>
        <w:shd w:val="clear" w:color="auto" w:fill="auto"/>
        <w:bidi w:val="0"/>
        <w:spacing w:before="0" w:after="0"/>
        <w:ind w:left="0" w:right="0" w:firstLine="0"/>
        <w:jc w:val="both"/>
      </w:pPr>
      <w:bookmarkStart w:id="21" w:name="bookmark21"/>
      <w:r>
        <w:rPr>
          <w:rFonts w:ascii="Times New Roman" w:eastAsia="Times New Roman" w:hAnsi="Times New Roman" w:cs="Times New Roman"/>
          <w:color w:val="000000"/>
          <w:spacing w:val="0"/>
          <w:w w:val="100"/>
          <w:position w:val="0"/>
          <w:shd w:val="clear" w:color="auto" w:fill="auto"/>
          <w:lang w:val="pt-PT" w:eastAsia="pt-PT" w:bidi="pt-PT"/>
        </w:rPr>
        <w:t>CLÁUSULA DÉCIMA OITAVA: DO FORO</w:t>
      </w:r>
      <w:bookmarkEnd w:id="21"/>
    </w:p>
    <w:p>
      <w:pPr>
        <w:pStyle w:val="Style10"/>
        <w:keepNext w:val="0"/>
        <w:keepLines w:val="0"/>
        <w:widowControl w:val="0"/>
        <w:numPr>
          <w:ilvl w:val="0"/>
          <w:numId w:val="83"/>
        </w:numPr>
        <w:shd w:val="clear" w:color="auto" w:fill="auto"/>
        <w:tabs>
          <w:tab w:pos="1016" w:val="left"/>
        </w:tabs>
        <w:bidi w:val="0"/>
        <w:spacing w:before="0" w:after="280" w:line="307" w:lineRule="auto"/>
        <w:ind w:left="880" w:right="0" w:hanging="4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 competente o Foro da Comarca de Jutaí/AM, com preferência sobre qualquer outro, por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privilegiado, para dirimir as ações originárias deste TERMO DE CONTRATO, em atendimento ao disposto no conforme art. 92, §1° da Lei n° 14.133/21.</w:t>
      </w:r>
    </w:p>
    <w:p>
      <w:pPr>
        <w:pStyle w:val="Style10"/>
        <w:keepNext w:val="0"/>
        <w:keepLines w:val="0"/>
        <w:widowControl w:val="0"/>
        <w:shd w:val="clear" w:color="auto" w:fill="auto"/>
        <w:bidi w:val="0"/>
        <w:spacing w:before="0" w:after="300" w:line="288"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 por estarem, assim de perfeito acordo, subscrevem o presente, em 02 (duas) vias, na presença de 02 (duas) testemunhas, para que surta todos os efeitos legais.</w:t>
      </w:r>
    </w:p>
    <w:p>
      <w:pPr>
        <w:pStyle w:val="Style10"/>
        <w:keepNext w:val="0"/>
        <w:keepLines w:val="0"/>
        <w:widowControl w:val="0"/>
        <w:shd w:val="clear" w:color="auto" w:fill="auto"/>
        <w:bidi w:val="0"/>
        <w:spacing w:before="0" w:after="860" w:line="326"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Jutaí (AM), 03 de fevereiro de 2025.</w:t>
      </w:r>
    </w:p>
    <w:p>
      <w:pPr>
        <w:pStyle w:val="Style2"/>
        <w:keepNext/>
        <w:keepLines/>
        <w:widowControl w:val="0"/>
        <w:shd w:val="clear" w:color="auto" w:fill="auto"/>
        <w:bidi w:val="0"/>
        <w:spacing w:before="0" w:after="0" w:line="298" w:lineRule="auto"/>
        <w:ind w:left="2760" w:right="2800" w:firstLine="0"/>
        <w:jc w:val="right"/>
      </w:pPr>
      <w:bookmarkStart w:id="22" w:name="bookmark22"/>
      <w:r>
        <w:rPr>
          <w:rFonts w:ascii="Times New Roman" w:eastAsia="Times New Roman" w:hAnsi="Times New Roman" w:cs="Times New Roman"/>
          <w:color w:val="000000"/>
          <w:spacing w:val="0"/>
          <w:w w:val="100"/>
          <w:position w:val="0"/>
          <w:shd w:val="clear" w:color="auto" w:fill="auto"/>
          <w:lang w:val="pt-PT" w:eastAsia="pt-PT" w:bidi="pt-PT"/>
        </w:rPr>
        <w:t>MUNICÍPIO DE JUTAÍ/AM3. MERCEDES MENDES VARGAS</w:t>
      </w:r>
      <w:bookmarkEnd w:id="22"/>
    </w:p>
    <w:p>
      <w:pPr>
        <w:pStyle w:val="Style10"/>
        <w:keepNext w:val="0"/>
        <w:keepLines w:val="0"/>
        <w:widowControl w:val="0"/>
        <w:shd w:val="clear" w:color="auto" w:fill="auto"/>
        <w:bidi w:val="0"/>
        <w:spacing w:before="0" w:after="0" w:line="298"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Prefeita </w:t>
      </w:r>
      <w:r>
        <w:rPr>
          <w:rFonts w:ascii="Times New Roman" w:eastAsia="Times New Roman" w:hAnsi="Times New Roman" w:cs="Times New Roman"/>
          <w:color w:val="000000"/>
          <w:spacing w:val="0"/>
          <w:w w:val="100"/>
          <w:position w:val="0"/>
          <w:sz w:val="22"/>
          <w:szCs w:val="22"/>
          <w:shd w:val="clear" w:color="auto" w:fill="auto"/>
          <w:lang w:val="pt-PT" w:eastAsia="pt-PT" w:bidi="pt-PT"/>
        </w:rPr>
        <w:t>Municipal</w:t>
      </w:r>
    </w:p>
    <w:p>
      <w:pPr>
        <w:pStyle w:val="Style10"/>
        <w:keepNext w:val="0"/>
        <w:keepLines w:val="0"/>
        <w:widowControl w:val="0"/>
        <w:shd w:val="clear" w:color="auto" w:fill="auto"/>
        <w:bidi w:val="0"/>
        <w:spacing w:before="0" w:after="940" w:line="298"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CONTRATANTE</w:t>
      </w:r>
    </w:p>
    <w:p>
      <w:pPr>
        <w:pStyle w:val="Style2"/>
        <w:keepNext/>
        <w:keepLines/>
        <w:widowControl w:val="0"/>
        <w:shd w:val="clear" w:color="auto" w:fill="auto"/>
        <w:bidi w:val="0"/>
        <w:spacing w:before="0" w:after="0" w:line="240" w:lineRule="auto"/>
        <w:ind w:left="60" w:right="0" w:firstLine="0"/>
        <w:jc w:val="center"/>
      </w:pPr>
      <w:bookmarkStart w:id="23" w:name="bookmark23"/>
      <w:r>
        <w:rPr>
          <w:rFonts w:ascii="Times New Roman" w:eastAsia="Times New Roman" w:hAnsi="Times New Roman" w:cs="Times New Roman"/>
          <w:color w:val="000000"/>
          <w:spacing w:val="0"/>
          <w:w w:val="100"/>
          <w:position w:val="0"/>
          <w:shd w:val="clear" w:color="auto" w:fill="auto"/>
          <w:lang w:val="pt-PT" w:eastAsia="pt-PT" w:bidi="pt-PT"/>
        </w:rPr>
        <w:t>MARILIA NUNES DA SILVA</w:t>
      </w:r>
      <w:bookmarkEnd w:id="23"/>
    </w:p>
    <w:p>
      <w:pPr>
        <w:pStyle w:val="Style10"/>
        <w:keepNext w:val="0"/>
        <w:keepLines w:val="0"/>
        <w:widowControl w:val="0"/>
        <w:shd w:val="clear" w:color="auto" w:fill="auto"/>
        <w:bidi w:val="0"/>
        <w:spacing w:before="0" w:after="0" w:line="240"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Representante Legal</w:t>
      </w:r>
    </w:p>
    <w:p>
      <w:pPr>
        <w:pStyle w:val="Style10"/>
        <w:keepNext w:val="0"/>
        <w:keepLines w:val="0"/>
        <w:widowControl w:val="0"/>
        <w:shd w:val="clear" w:color="auto" w:fill="auto"/>
        <w:bidi w:val="0"/>
        <w:spacing w:before="0" w:after="320" w:line="240"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CONTRATADA</w:t>
      </w:r>
    </w:p>
    <w:p>
      <w:pPr>
        <w:pStyle w:val="Style10"/>
        <w:keepNext w:val="0"/>
        <w:keepLines w:val="0"/>
        <w:widowControl w:val="0"/>
        <w:shd w:val="clear" w:color="auto" w:fill="auto"/>
        <w:bidi w:val="0"/>
        <w:spacing w:before="0" w:after="6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FISCAL DO CONTRATO</w:t>
      </w:r>
    </w:p>
    <w:p>
      <w:pPr>
        <w:pStyle w:val="Style10"/>
        <w:keepNext w:val="0"/>
        <w:keepLines w:val="0"/>
        <w:widowControl w:val="0"/>
        <w:shd w:val="clear" w:color="auto" w:fill="auto"/>
        <w:bidi w:val="0"/>
        <w:spacing w:before="0" w:after="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ROSINEIDE PEREIRA DA SILVA Fiscal do Contrato</w:t>
      </w:r>
    </w:p>
    <w:p>
      <w:pPr>
        <w:pStyle w:val="Style10"/>
        <w:keepNext w:val="0"/>
        <w:keepLines w:val="0"/>
        <w:widowControl w:val="0"/>
        <w:shd w:val="clear" w:color="auto" w:fill="auto"/>
        <w:bidi w:val="0"/>
        <w:spacing w:before="0" w:after="280" w:line="30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CPF: 601.089.082-91 - Matrícula n° 128</w:t>
      </w:r>
    </w:p>
    <w:p>
      <w:pPr>
        <w:pStyle w:val="Style10"/>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GESTOR DO CONTRATO</w:t>
      </w:r>
    </w:p>
    <w:p>
      <w:pPr>
        <w:pStyle w:val="Style25"/>
        <w:keepNext/>
        <w:keepLines/>
        <w:widowControl w:val="0"/>
        <w:shd w:val="clear" w:color="auto" w:fill="auto"/>
        <w:bidi w:val="0"/>
        <w:spacing w:before="0" w:after="0" w:line="240" w:lineRule="auto"/>
        <w:ind w:right="0"/>
        <w:jc w:val="left"/>
      </w:pPr>
      <w:bookmarkStart w:id="24" w:name="bookmark24"/>
      <w:r>
        <w:rPr>
          <w:spacing w:val="0"/>
          <w:w w:val="100"/>
          <w:position w:val="0"/>
          <w:shd w:val="clear" w:color="auto" w:fill="auto"/>
          <w:lang w:val="pt-PT" w:eastAsia="pt-PT" w:bidi="pt-PT"/>
        </w:rPr>
        <w:t>QJ</w:t>
      </w:r>
      <w:bookmarkEnd w:id="24"/>
    </w:p>
    <w:p>
      <w:pPr>
        <w:pStyle w:val="Style10"/>
        <w:keepNext w:val="0"/>
        <w:keepLines w:val="0"/>
        <w:widowControl w:val="0"/>
        <w:shd w:val="clear" w:color="auto" w:fill="auto"/>
        <w:bidi w:val="0"/>
        <w:spacing w:before="0" w:after="0" w:line="240" w:lineRule="auto"/>
        <w:ind w:left="1900" w:right="0" w:firstLine="0"/>
        <w:jc w:val="left"/>
      </w:pPr>
      <w:r>
        <w:drawing>
          <wp:anchor distT="0" distB="0" distL="114300" distR="114300" simplePos="0" relativeHeight="125829387" behindDoc="0" locked="0" layoutInCell="1" allowOverlap="1">
            <wp:simplePos x="0" y="0"/>
            <wp:positionH relativeFrom="page">
              <wp:posOffset>4600575</wp:posOffset>
            </wp:positionH>
            <wp:positionV relativeFrom="paragraph">
              <wp:posOffset>165100</wp:posOffset>
            </wp:positionV>
            <wp:extent cx="2578735" cy="774065"/>
            <wp:wrapSquare wrapText="bothSides"/>
            <wp:docPr id="108" name="Shape 108"/>
            <a:graphic xmlns:a="http://schemas.openxmlformats.org/drawingml/2006/main">
              <a:graphicData uri="http://schemas.openxmlformats.org/drawingml/2006/picture">
                <pic:pic xmlns:pic="http://schemas.openxmlformats.org/drawingml/2006/picture">
                  <pic:nvPicPr>
                    <pic:cNvPr id="109" name="Picture box 109"/>
                    <pic:cNvPicPr/>
                  </pic:nvPicPr>
                  <pic:blipFill>
                    <a:blip r:embed="rId44"/>
                    <a:stretch/>
                  </pic:blipFill>
                  <pic:spPr>
                    <a:xfrm>
                      <a:ext cx="2578735" cy="774065"/>
                    </a:xfrm>
                    <a:prstGeom prst="rect"/>
                  </pic:spPr>
                </pic:pic>
              </a:graphicData>
            </a:graphic>
          </wp:anchor>
        </w:drawing>
      </w:r>
      <w:r>
        <w:drawing>
          <wp:anchor distT="26670" distB="106680" distL="1234440" distR="224790" simplePos="0" relativeHeight="125829388" behindDoc="0" locked="0" layoutInCell="1" allowOverlap="1">
            <wp:simplePos x="0" y="0"/>
            <wp:positionH relativeFrom="page">
              <wp:posOffset>5720715</wp:posOffset>
            </wp:positionH>
            <wp:positionV relativeFrom="paragraph">
              <wp:posOffset>191770</wp:posOffset>
            </wp:positionV>
            <wp:extent cx="1347470" cy="640080"/>
            <wp:wrapSquare wrapText="bothSides"/>
            <wp:docPr id="110" name="Shape 110"/>
            <a:graphic xmlns:a="http://schemas.openxmlformats.org/drawingml/2006/main">
              <a:graphicData uri="http://schemas.openxmlformats.org/drawingml/2006/picture">
                <pic:pic xmlns:pic="http://schemas.openxmlformats.org/drawingml/2006/picture">
                  <pic:nvPicPr>
                    <pic:cNvPr id="111" name="Picture box 111"/>
                    <pic:cNvPicPr/>
                  </pic:nvPicPr>
                  <pic:blipFill>
                    <a:blip r:embed="rId46"/>
                    <a:stretch/>
                  </pic:blipFill>
                  <pic:spPr>
                    <a:xfrm>
                      <a:ext cx="1347470" cy="64008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PEREIRA</w:t>
      </w:r>
    </w:p>
    <w:p>
      <w:pPr>
        <w:pStyle w:val="Style10"/>
        <w:keepNext w:val="0"/>
        <w:keepLines w:val="0"/>
        <w:widowControl w:val="0"/>
        <w:shd w:val="clear" w:color="auto" w:fill="auto"/>
        <w:bidi w:val="0"/>
        <w:spacing w:before="0" w:after="240" w:line="240" w:lineRule="auto"/>
        <w:ind w:left="600" w:right="0" w:firstLine="20"/>
        <w:jc w:val="left"/>
      </w:pPr>
      <w:r>
        <mc:AlternateContent>
          <mc:Choice Requires="wps">
            <w:drawing>
              <wp:anchor distT="0" distB="0" distL="0" distR="0" simplePos="0" relativeHeight="125829389" behindDoc="0" locked="0" layoutInCell="1" allowOverlap="1">
                <wp:simplePos x="0" y="0"/>
                <wp:positionH relativeFrom="page">
                  <wp:posOffset>870585</wp:posOffset>
                </wp:positionH>
                <wp:positionV relativeFrom="paragraph">
                  <wp:posOffset>12700</wp:posOffset>
                </wp:positionV>
                <wp:extent cx="2217420" cy="350520"/>
                <wp:wrapTopAndBottom/>
                <wp:docPr id="112" name="Shape 112"/>
                <a:graphic xmlns:a="http://schemas.openxmlformats.org/drawingml/2006/main">
                  <a:graphicData uri="http://schemas.microsoft.com/office/word/2010/wordprocessingShape">
                    <wps:wsp>
                      <wps:cNvSpPr txBox="1"/>
                      <wps:spPr>
                        <a:xfrm>
                          <a:ext cx="2217420" cy="350520"/>
                        </a:xfrm>
                        <a:prstGeom prst="rect"/>
                        <a:noFill/>
                      </wps:spPr>
                      <wps:txbx>
                        <w:txbxContent>
                          <w:p>
                            <w:pPr>
                              <w:pStyle w:val="Style10"/>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Gestor</w:t>
                            </w:r>
                          </w:p>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CPF: 600.829.682-68 - Matrícula n° 26</w:t>
                            </w:r>
                          </w:p>
                        </w:txbxContent>
                      </wps:txbx>
                      <wps:bodyPr lIns="0" tIns="0" rIns="0" bIns="0">
                        <a:noAutoFit/>
                      </wps:bodyPr>
                    </wps:wsp>
                  </a:graphicData>
                </a:graphic>
              </wp:anchor>
            </w:drawing>
          </mc:Choice>
          <mc:Fallback>
            <w:pict>
              <v:shape id="_x0000_s1138" type="#_x0000_t202" style="position:absolute;margin-left:68.549999999999997pt;margin-top:1.pt;width:174.59999999999999pt;height:27.600000000000001pt;z-index:-125829364;mso-wrap-distance-left:0;mso-wrap-distance-right:0;mso-position-horizontal-relative:page" filled="f" stroked="f">
                <v:textbox inset="0,0,0,0">
                  <w:txbxContent>
                    <w:p>
                      <w:pPr>
                        <w:pStyle w:val="Style10"/>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Gestor</w:t>
                      </w:r>
                    </w:p>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CPF: 600.829.682-68 - Matrícula n° 26</w:t>
                      </w:r>
                    </w:p>
                  </w:txbxContent>
                </v:textbox>
                <w10:wrap type="topAndBottom"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do Contrato</w:t>
      </w:r>
      <w:r>
        <w:br w:type="page"/>
      </w:r>
    </w:p>
    <w:p>
      <w:pPr>
        <w:pStyle w:val="Style2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TESTEMUNHAS:</w:t>
      </w:r>
    </w:p>
    <w:p>
      <w:pPr>
        <w:widowControl w:val="0"/>
        <w:jc w:val="left"/>
        <w:rPr>
          <w:sz w:val="2"/>
          <w:szCs w:val="2"/>
        </w:rPr>
      </w:pPr>
      <w:r>
        <w:drawing>
          <wp:inline>
            <wp:extent cx="3206750" cy="1432560"/>
            <wp:docPr id="114" name="Picutre 114"/>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48"/>
                    <a:stretch/>
                  </pic:blipFill>
                  <pic:spPr>
                    <a:xfrm>
                      <a:ext cx="3206750" cy="1432560"/>
                    </a:xfrm>
                    <a:prstGeom prst="rect"/>
                  </pic:spPr>
                </pic:pic>
              </a:graphicData>
            </a:graphic>
          </wp:inline>
        </w:drawing>
      </w:r>
    </w:p>
    <w:sectPr>
      <w:headerReference w:type="default" r:id="rId50"/>
      <w:footerReference w:type="default" r:id="rId51"/>
      <w:headerReference w:type="even" r:id="rId52"/>
      <w:footerReference w:type="even" r:id="rId53"/>
      <w:headerReference w:type="first" r:id="rId54"/>
      <w:footerReference w:type="first" r:id="rId55"/>
      <w:footnotePr>
        <w:pos w:val="pageBottom"/>
        <w:numFmt w:val="decimal"/>
        <w:numRestart w:val="continuous"/>
      </w:footnotePr>
      <w:pgSz w:w="11900" w:h="16840"/>
      <w:pgMar w:top="1566" w:left="1344" w:right="1357" w:bottom="856"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6002655</wp:posOffset>
              </wp:positionH>
              <wp:positionV relativeFrom="page">
                <wp:posOffset>10186035</wp:posOffset>
              </wp:positionV>
              <wp:extent cx="594360" cy="95250"/>
              <wp:wrapNone/>
              <wp:docPr id="51" name="Shape 51"/>
              <a:graphic xmlns:a="http://schemas.openxmlformats.org/drawingml/2006/main">
                <a:graphicData uri="http://schemas.microsoft.com/office/word/2010/wordprocessingShape">
                  <wps:wsp>
                    <wps:cNvSpPr txBox="1"/>
                    <wps:spPr>
                      <a:xfrm>
                        <a:ext cx="594360" cy="952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77" type="#_x0000_t202" style="position:absolute;margin-left:472.64999999999998pt;margin-top:802.04999999999995pt;width:46.799999999999997pt;height:7.5pt;z-index:-18874402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6056630</wp:posOffset>
              </wp:positionH>
              <wp:positionV relativeFrom="page">
                <wp:posOffset>10208895</wp:posOffset>
              </wp:positionV>
              <wp:extent cx="594360" cy="91440"/>
              <wp:wrapNone/>
              <wp:docPr id="59" name="Shape 59"/>
              <a:graphic xmlns:a="http://schemas.openxmlformats.org/drawingml/2006/main">
                <a:graphicData uri="http://schemas.microsoft.com/office/word/2010/wordprocessingShape">
                  <wps:wsp>
                    <wps:cNvSpPr txBox="1"/>
                    <wps:spPr>
                      <a:xfrm>
                        <a:ext cx="594360" cy="914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85" type="#_x0000_t202" style="position:absolute;margin-left:476.89999999999998pt;margin-top:803.85000000000002pt;width:46.799999999999997pt;height:7.2000000000000002pt;z-index:-18874402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6056630</wp:posOffset>
              </wp:positionH>
              <wp:positionV relativeFrom="page">
                <wp:posOffset>10208895</wp:posOffset>
              </wp:positionV>
              <wp:extent cx="594360" cy="91440"/>
              <wp:wrapNone/>
              <wp:docPr id="67" name="Shape 67"/>
              <a:graphic xmlns:a="http://schemas.openxmlformats.org/drawingml/2006/main">
                <a:graphicData uri="http://schemas.microsoft.com/office/word/2010/wordprocessingShape">
                  <wps:wsp>
                    <wps:cNvSpPr txBox="1"/>
                    <wps:spPr>
                      <a:xfrm>
                        <a:ext cx="594360" cy="914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93" type="#_x0000_t202" style="position:absolute;margin-left:476.89999999999998pt;margin-top:803.85000000000002pt;width:46.799999999999997pt;height:7.2000000000000002pt;z-index:-18874401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4" behindDoc="1" locked="0" layoutInCell="1" allowOverlap="1">
              <wp:simplePos x="0" y="0"/>
              <wp:positionH relativeFrom="page">
                <wp:posOffset>6061710</wp:posOffset>
              </wp:positionH>
              <wp:positionV relativeFrom="page">
                <wp:posOffset>10213340</wp:posOffset>
              </wp:positionV>
              <wp:extent cx="594360" cy="91440"/>
              <wp:wrapNone/>
              <wp:docPr id="77" name="Shape 77"/>
              <a:graphic xmlns:a="http://schemas.openxmlformats.org/drawingml/2006/main">
                <a:graphicData uri="http://schemas.microsoft.com/office/word/2010/wordprocessingShape">
                  <wps:wsp>
                    <wps:cNvSpPr txBox="1"/>
                    <wps:spPr>
                      <a:xfrm>
                        <a:ext cx="594360" cy="914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03" type="#_x0000_t202" style="position:absolute;margin-left:477.30000000000001pt;margin-top:804.20000000000005pt;width:46.799999999999997pt;height:7.2000000000000002pt;z-index:-18874400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0" behindDoc="1" locked="0" layoutInCell="1" allowOverlap="1">
              <wp:simplePos x="0" y="0"/>
              <wp:positionH relativeFrom="page">
                <wp:posOffset>5993130</wp:posOffset>
              </wp:positionH>
              <wp:positionV relativeFrom="page">
                <wp:posOffset>10213340</wp:posOffset>
              </wp:positionV>
              <wp:extent cx="647700" cy="95250"/>
              <wp:wrapNone/>
              <wp:docPr id="83" name="Shape 83"/>
              <a:graphic xmlns:a="http://schemas.openxmlformats.org/drawingml/2006/main">
                <a:graphicData uri="http://schemas.microsoft.com/office/word/2010/wordprocessingShape">
                  <wps:wsp>
                    <wps:cNvSpPr txBox="1"/>
                    <wps:spPr>
                      <a:xfrm>
                        <a:ext cx="647700" cy="952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09" type="#_x0000_t202" style="position:absolute;margin-left:471.89999999999998pt;margin-top:804.20000000000005pt;width:51.pt;height:7.5pt;z-index:-18874400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7" behindDoc="1" locked="0" layoutInCell="1" allowOverlap="1">
              <wp:simplePos x="0" y="0"/>
              <wp:positionH relativeFrom="page">
                <wp:posOffset>5993130</wp:posOffset>
              </wp:positionH>
              <wp:positionV relativeFrom="page">
                <wp:posOffset>10213340</wp:posOffset>
              </wp:positionV>
              <wp:extent cx="647700" cy="95250"/>
              <wp:wrapNone/>
              <wp:docPr id="99" name="Shape 99"/>
              <a:graphic xmlns:a="http://schemas.openxmlformats.org/drawingml/2006/main">
                <a:graphicData uri="http://schemas.microsoft.com/office/word/2010/wordprocessingShape">
                  <wps:wsp>
                    <wps:cNvSpPr txBox="1"/>
                    <wps:spPr>
                      <a:xfrm>
                        <a:ext cx="647700" cy="952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25" type="#_x0000_t202" style="position:absolute;margin-left:471.89999999999998pt;margin-top:804.20000000000005pt;width:51.pt;height:7.5pt;z-index:-18874399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7" behindDoc="1" locked="0" layoutInCell="1" allowOverlap="1">
              <wp:simplePos x="0" y="0"/>
              <wp:positionH relativeFrom="page">
                <wp:posOffset>5983605</wp:posOffset>
              </wp:positionH>
              <wp:positionV relativeFrom="page">
                <wp:posOffset>10213340</wp:posOffset>
              </wp:positionV>
              <wp:extent cx="643890" cy="99060"/>
              <wp:wrapNone/>
              <wp:docPr id="121" name="Shape 121"/>
              <a:graphic xmlns:a="http://schemas.openxmlformats.org/drawingml/2006/main">
                <a:graphicData uri="http://schemas.microsoft.com/office/word/2010/wordprocessingShape">
                  <wps:wsp>
                    <wps:cNvSpPr txBox="1"/>
                    <wps:spPr>
                      <a:xfrm>
                        <a:ext cx="643890" cy="990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47" type="#_x0000_t202" style="position:absolute;margin-left:471.14999999999998pt;margin-top:804.20000000000005pt;width:50.700000000000003pt;height:7.7999999999999998pt;z-index:-18874398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3" behindDoc="1" locked="0" layoutInCell="1" allowOverlap="1">
              <wp:simplePos x="0" y="0"/>
              <wp:positionH relativeFrom="page">
                <wp:posOffset>5983605</wp:posOffset>
              </wp:positionH>
              <wp:positionV relativeFrom="page">
                <wp:posOffset>10213340</wp:posOffset>
              </wp:positionV>
              <wp:extent cx="643890" cy="99060"/>
              <wp:wrapNone/>
              <wp:docPr id="129" name="Shape 129"/>
              <a:graphic xmlns:a="http://schemas.openxmlformats.org/drawingml/2006/main">
                <a:graphicData uri="http://schemas.microsoft.com/office/word/2010/wordprocessingShape">
                  <wps:wsp>
                    <wps:cNvSpPr txBox="1"/>
                    <wps:spPr>
                      <a:xfrm>
                        <a:ext cx="643890" cy="990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55" type="#_x0000_t202" style="position:absolute;margin-left:471.14999999999998pt;margin-top:804.20000000000005pt;width:50.700000000000003pt;height:7.7999999999999998pt;z-index:-18874398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1" behindDoc="1" locked="0" layoutInCell="1" allowOverlap="1">
              <wp:simplePos x="0" y="0"/>
              <wp:positionH relativeFrom="page">
                <wp:posOffset>5989320</wp:posOffset>
              </wp:positionH>
              <wp:positionV relativeFrom="page">
                <wp:posOffset>10213340</wp:posOffset>
              </wp:positionV>
              <wp:extent cx="643890" cy="95250"/>
              <wp:wrapNone/>
              <wp:docPr id="139" name="Shape 139"/>
              <a:graphic xmlns:a="http://schemas.openxmlformats.org/drawingml/2006/main">
                <a:graphicData uri="http://schemas.microsoft.com/office/word/2010/wordprocessingShape">
                  <wps:wsp>
                    <wps:cNvSpPr txBox="1"/>
                    <wps:spPr>
                      <a:xfrm>
                        <a:ext cx="643890" cy="952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65" type="#_x0000_t202" style="position:absolute;margin-left:471.60000000000002pt;margin-top:804.20000000000005pt;width:50.700000000000003pt;height:7.5pt;z-index:-18874397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866775</wp:posOffset>
              </wp:positionH>
              <wp:positionV relativeFrom="page">
                <wp:posOffset>260985</wp:posOffset>
              </wp:positionV>
              <wp:extent cx="381000" cy="445770"/>
              <wp:wrapNone/>
              <wp:docPr id="3" name="Shape 3"/>
              <a:graphic xmlns:a="http://schemas.openxmlformats.org/drawingml/2006/main">
                <a:graphicData uri="http://schemas.microsoft.com/office/word/2010/wordprocessingShape">
                  <wps:wsp>
                    <wps:cNvSpPr txBox="1"/>
                    <wps:spPr>
                      <a:xfrm>
                        <a:ext cx="381000" cy="445770"/>
                      </a:xfrm>
                      <a:prstGeom prst="rect"/>
                      <a:noFill/>
                    </wps:spPr>
                    <wps:txbx>
                      <w:txbxContent>
                        <w:p>
                          <w:pPr>
                            <w:widowControl w:val="0"/>
                            <w:rPr>
                              <w:sz w:val="2"/>
                              <w:szCs w:val="2"/>
                            </w:rPr>
                          </w:pPr>
                          <w:r>
                            <w:drawing>
                              <wp:inline>
                                <wp:extent cx="384175" cy="445135"/>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68.25pt;margin-top:20.550000000000001pt;width:30.pt;height:35.100000000000001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1884045</wp:posOffset>
              </wp:positionH>
              <wp:positionV relativeFrom="page">
                <wp:posOffset>287655</wp:posOffset>
              </wp:positionV>
              <wp:extent cx="3497580" cy="510540"/>
              <wp:wrapNone/>
              <wp:docPr id="7" name="Shape 7"/>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33" type="#_x0000_t202" style="position:absolute;margin-left:148.34999999999999pt;margin-top:22.649999999999999pt;width:275.39999999999998pt;height:40.200000000000003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5854065</wp:posOffset>
              </wp:positionH>
              <wp:positionV relativeFrom="page">
                <wp:posOffset>440055</wp:posOffset>
              </wp:positionV>
              <wp:extent cx="723900" cy="323850"/>
              <wp:wrapNone/>
              <wp:docPr id="9" name="Shape 9"/>
              <a:graphic xmlns:a="http://schemas.openxmlformats.org/drawingml/2006/main">
                <a:graphicData uri="http://schemas.microsoft.com/office/word/2010/wordprocessingShape">
                  <wps:wsp>
                    <wps:cNvSpPr txBox="1"/>
                    <wps:spPr>
                      <a:xfrm>
                        <a:ext cx="723900" cy="323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A</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pt-PT" w:eastAsia="pt-PT" w:bidi="pt-PT"/>
                            </w:rPr>
                            <w:t>JUT.i.l</w:t>
                          </w:r>
                        </w:p>
                      </w:txbxContent>
                    </wps:txbx>
                    <wps:bodyPr wrap="none" lIns="0" tIns="0" rIns="0" bIns="0">
                      <a:spAutoFit/>
                    </wps:bodyPr>
                  </wps:wsp>
                </a:graphicData>
              </a:graphic>
            </wp:anchor>
          </w:drawing>
        </mc:Choice>
        <mc:Fallback>
          <w:pict>
            <v:shape id="_x0000_s1035" type="#_x0000_t202" style="position:absolute;margin-left:460.94999999999999pt;margin-top:34.649999999999999pt;width:57.pt;height:25.5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A</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pt-PT" w:eastAsia="pt-PT" w:bidi="pt-PT"/>
                      </w:rPr>
                      <w:t>JUT.i.l</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866775</wp:posOffset>
              </wp:positionH>
              <wp:positionV relativeFrom="page">
                <wp:posOffset>260985</wp:posOffset>
              </wp:positionV>
              <wp:extent cx="381000" cy="445770"/>
              <wp:wrapNone/>
              <wp:docPr id="11" name="Shape 11"/>
              <a:graphic xmlns:a="http://schemas.openxmlformats.org/drawingml/2006/main">
                <a:graphicData uri="http://schemas.microsoft.com/office/word/2010/wordprocessingShape">
                  <wps:wsp>
                    <wps:cNvSpPr txBox="1"/>
                    <wps:spPr>
                      <a:xfrm>
                        <a:ext cx="381000" cy="445770"/>
                      </a:xfrm>
                      <a:prstGeom prst="rect"/>
                      <a:noFill/>
                    </wps:spPr>
                    <wps:txbx>
                      <w:txbxContent>
                        <w:p>
                          <w:pPr>
                            <w:widowControl w:val="0"/>
                            <w:rPr>
                              <w:sz w:val="2"/>
                              <w:szCs w:val="2"/>
                            </w:rPr>
                          </w:pPr>
                          <w:r>
                            <w:drawing>
                              <wp:inline>
                                <wp:extent cx="384175" cy="44513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38" type="#_x0000_t202" style="position:absolute;margin-left:68.25pt;margin-top:20.550000000000001pt;width:30.pt;height:35.100000000000001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1884045</wp:posOffset>
              </wp:positionH>
              <wp:positionV relativeFrom="page">
                <wp:posOffset>287655</wp:posOffset>
              </wp:positionV>
              <wp:extent cx="3497580" cy="510540"/>
              <wp:wrapNone/>
              <wp:docPr id="15" name="Shape 15"/>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41" type="#_x0000_t202" style="position:absolute;margin-left:148.34999999999999pt;margin-top:22.649999999999999pt;width:275.39999999999998pt;height:40.200000000000003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5854065</wp:posOffset>
              </wp:positionH>
              <wp:positionV relativeFrom="page">
                <wp:posOffset>440055</wp:posOffset>
              </wp:positionV>
              <wp:extent cx="723900" cy="323850"/>
              <wp:wrapNone/>
              <wp:docPr id="17" name="Shape 17"/>
              <a:graphic xmlns:a="http://schemas.openxmlformats.org/drawingml/2006/main">
                <a:graphicData uri="http://schemas.microsoft.com/office/word/2010/wordprocessingShape">
                  <wps:wsp>
                    <wps:cNvSpPr txBox="1"/>
                    <wps:spPr>
                      <a:xfrm>
                        <a:ext cx="723900" cy="323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A</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pt-PT" w:eastAsia="pt-PT" w:bidi="pt-PT"/>
                            </w:rPr>
                            <w:t>JUT.i.l</w:t>
                          </w:r>
                        </w:p>
                      </w:txbxContent>
                    </wps:txbx>
                    <wps:bodyPr wrap="none" lIns="0" tIns="0" rIns="0" bIns="0">
                      <a:spAutoFit/>
                    </wps:bodyPr>
                  </wps:wsp>
                </a:graphicData>
              </a:graphic>
            </wp:anchor>
          </w:drawing>
        </mc:Choice>
        <mc:Fallback>
          <w:pict>
            <v:shape id="_x0000_s1043" type="#_x0000_t202" style="position:absolute;margin-left:460.94999999999999pt;margin-top:34.649999999999999pt;width:57.pt;height:25.5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A</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pt-PT" w:eastAsia="pt-PT" w:bidi="pt-PT"/>
                      </w:rPr>
                      <w:t>JUT.i.l</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1884045</wp:posOffset>
              </wp:positionH>
              <wp:positionV relativeFrom="page">
                <wp:posOffset>276225</wp:posOffset>
              </wp:positionV>
              <wp:extent cx="3501390" cy="518160"/>
              <wp:wrapNone/>
              <wp:docPr id="19" name="Shape 19"/>
              <a:graphic xmlns:a="http://schemas.openxmlformats.org/drawingml/2006/main">
                <a:graphicData uri="http://schemas.microsoft.com/office/word/2010/wordprocessingShape">
                  <wps:wsp>
                    <wps:cNvSpPr txBox="1"/>
                    <wps:spPr>
                      <a:xfrm>
                        <a:ext cx="3501390" cy="5181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45" type="#_x0000_t202" style="position:absolute;margin-left:148.34999999999999pt;margin-top:21.75pt;width:275.69999999999999pt;height:40.799999999999997pt;z-index:-18874405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5857875</wp:posOffset>
              </wp:positionH>
              <wp:positionV relativeFrom="page">
                <wp:posOffset>455295</wp:posOffset>
              </wp:positionV>
              <wp:extent cx="723900" cy="300990"/>
              <wp:wrapNone/>
              <wp:docPr id="21" name="Shape 21"/>
              <a:graphic xmlns:a="http://schemas.openxmlformats.org/drawingml/2006/main">
                <a:graphicData uri="http://schemas.microsoft.com/office/word/2010/wordprocessingShape">
                  <wps:wsp>
                    <wps:cNvSpPr txBox="1"/>
                    <wps:spPr>
                      <a:xfrm>
                        <a:ext cx="723900" cy="3009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u w:val="single"/>
                              <w:shd w:val="clear" w:color="auto" w:fill="auto"/>
                              <w:lang w:val="pt-PT" w:eastAsia="pt-PT" w:bidi="pt-PT"/>
                            </w:rPr>
                            <w:t>JUTAÍ</w:t>
                          </w:r>
                        </w:p>
                      </w:txbxContent>
                    </wps:txbx>
                    <wps:bodyPr wrap="none" lIns="0" tIns="0" rIns="0" bIns="0">
                      <a:spAutoFit/>
                    </wps:bodyPr>
                  </wps:wsp>
                </a:graphicData>
              </a:graphic>
            </wp:anchor>
          </w:drawing>
        </mc:Choice>
        <mc:Fallback>
          <w:pict>
            <v:shape id="_x0000_s1047" type="#_x0000_t202" style="position:absolute;margin-left:461.25pt;margin-top:35.850000000000001pt;width:57.pt;height:23.699999999999999pt;z-index:-18874404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u w:val="single"/>
                        <w:shd w:val="clear" w:color="auto" w:fill="auto"/>
                        <w:lang w:val="pt-PT" w:eastAsia="pt-PT" w:bidi="pt-PT"/>
                      </w:rPr>
                      <w:t>JUTAÍ</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861060</wp:posOffset>
              </wp:positionH>
              <wp:positionV relativeFrom="page">
                <wp:posOffset>257175</wp:posOffset>
              </wp:positionV>
              <wp:extent cx="384810" cy="445770"/>
              <wp:wrapNone/>
              <wp:docPr id="27" name="Shape 27"/>
              <a:graphic xmlns:a="http://schemas.openxmlformats.org/drawingml/2006/main">
                <a:graphicData uri="http://schemas.microsoft.com/office/word/2010/wordprocessingShape">
                  <wps:wsp>
                    <wps:cNvSpPr txBox="1"/>
                    <wps:spPr>
                      <a:xfrm>
                        <a:ext cx="384810" cy="445770"/>
                      </a:xfrm>
                      <a:prstGeom prst="rect"/>
                      <a:noFill/>
                    </wps:spPr>
                    <wps:txbx>
                      <w:txbxContent>
                        <w:p>
                          <w:pPr>
                            <w:widowControl w:val="0"/>
                            <w:rPr>
                              <w:sz w:val="2"/>
                              <w:szCs w:val="2"/>
                            </w:rPr>
                          </w:pPr>
                          <w:r>
                            <w:drawing>
                              <wp:inline>
                                <wp:extent cx="384175" cy="445135"/>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54" type="#_x0000_t202" style="position:absolute;margin-left:67.799999999999997pt;margin-top:20.25pt;width:30.300000000000001pt;height:35.100000000000001pt;z-index:-188744047;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30" name="Picutre 30"/>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1882140</wp:posOffset>
              </wp:positionH>
              <wp:positionV relativeFrom="page">
                <wp:posOffset>283845</wp:posOffset>
              </wp:positionV>
              <wp:extent cx="3497580" cy="510540"/>
              <wp:wrapNone/>
              <wp:docPr id="31" name="Shape 31"/>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57" type="#_x0000_t202" style="position:absolute;margin-left:148.19999999999999pt;margin-top:22.350000000000001pt;width:275.39999999999998pt;height:40.200000000000003pt;z-index:-18874404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10" behindDoc="1" locked="0" layoutInCell="1" allowOverlap="1">
              <wp:simplePos x="0" y="0"/>
              <wp:positionH relativeFrom="page">
                <wp:posOffset>5852160</wp:posOffset>
              </wp:positionH>
              <wp:positionV relativeFrom="page">
                <wp:posOffset>409575</wp:posOffset>
              </wp:positionV>
              <wp:extent cx="723900" cy="350520"/>
              <wp:wrapNone/>
              <wp:docPr id="33" name="Shape 33"/>
              <a:graphic xmlns:a="http://schemas.openxmlformats.org/drawingml/2006/main">
                <a:graphicData uri="http://schemas.microsoft.com/office/word/2010/wordprocessingShape">
                  <wps:wsp>
                    <wps:cNvSpPr txBox="1"/>
                    <wps:spPr>
                      <a:xfrm>
                        <a:ext cx="723900" cy="3505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jA</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u w:val="single"/>
                              <w:shd w:val="clear" w:color="auto" w:fill="auto"/>
                              <w:lang w:val="pt-PT" w:eastAsia="pt-PT" w:bidi="pt-PT"/>
                            </w:rPr>
                            <w:t>JUT1.I</w:t>
                          </w:r>
                        </w:p>
                      </w:txbxContent>
                    </wps:txbx>
                    <wps:bodyPr wrap="none" lIns="0" tIns="0" rIns="0" bIns="0">
                      <a:spAutoFit/>
                    </wps:bodyPr>
                  </wps:wsp>
                </a:graphicData>
              </a:graphic>
            </wp:anchor>
          </w:drawing>
        </mc:Choice>
        <mc:Fallback>
          <w:pict>
            <v:shape id="_x0000_s1059" type="#_x0000_t202" style="position:absolute;margin-left:460.80000000000001pt;margin-top:32.25pt;width:57.pt;height:27.600000000000001pt;z-index:-18874404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jA</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u w:val="single"/>
                        <w:shd w:val="clear" w:color="auto" w:fill="auto"/>
                        <w:lang w:val="pt-PT" w:eastAsia="pt-PT" w:bidi="pt-PT"/>
                      </w:rPr>
                      <w:t>JUT1.I</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861060</wp:posOffset>
              </wp:positionH>
              <wp:positionV relativeFrom="page">
                <wp:posOffset>257175</wp:posOffset>
              </wp:positionV>
              <wp:extent cx="384810" cy="445770"/>
              <wp:wrapNone/>
              <wp:docPr id="35" name="Shape 35"/>
              <a:graphic xmlns:a="http://schemas.openxmlformats.org/drawingml/2006/main">
                <a:graphicData uri="http://schemas.microsoft.com/office/word/2010/wordprocessingShape">
                  <wps:wsp>
                    <wps:cNvSpPr txBox="1"/>
                    <wps:spPr>
                      <a:xfrm>
                        <a:ext cx="384810" cy="445770"/>
                      </a:xfrm>
                      <a:prstGeom prst="rect"/>
                      <a:noFill/>
                    </wps:spPr>
                    <wps:txbx>
                      <w:txbxContent>
                        <w:p>
                          <w:pPr>
                            <w:widowControl w:val="0"/>
                            <w:rPr>
                              <w:sz w:val="2"/>
                              <w:szCs w:val="2"/>
                            </w:rPr>
                          </w:pPr>
                          <w:r>
                            <w:drawing>
                              <wp:inline>
                                <wp:extent cx="384175" cy="445135"/>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62" type="#_x0000_t202" style="position:absolute;margin-left:67.799999999999997pt;margin-top:20.25pt;width:30.300000000000001pt;height:35.100000000000001pt;z-index:-188744041;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1882140</wp:posOffset>
              </wp:positionH>
              <wp:positionV relativeFrom="page">
                <wp:posOffset>283845</wp:posOffset>
              </wp:positionV>
              <wp:extent cx="3497580" cy="510540"/>
              <wp:wrapNone/>
              <wp:docPr id="39" name="Shape 39"/>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65" type="#_x0000_t202" style="position:absolute;margin-left:148.19999999999999pt;margin-top:22.350000000000001pt;width:275.39999999999998pt;height:40.200000000000003pt;z-index:-18874403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5852160</wp:posOffset>
              </wp:positionH>
              <wp:positionV relativeFrom="page">
                <wp:posOffset>409575</wp:posOffset>
              </wp:positionV>
              <wp:extent cx="723900" cy="350520"/>
              <wp:wrapNone/>
              <wp:docPr id="41" name="Shape 41"/>
              <a:graphic xmlns:a="http://schemas.openxmlformats.org/drawingml/2006/main">
                <a:graphicData uri="http://schemas.microsoft.com/office/word/2010/wordprocessingShape">
                  <wps:wsp>
                    <wps:cNvSpPr txBox="1"/>
                    <wps:spPr>
                      <a:xfrm>
                        <a:ext cx="723900" cy="3505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jA</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u w:val="single"/>
                              <w:shd w:val="clear" w:color="auto" w:fill="auto"/>
                              <w:lang w:val="pt-PT" w:eastAsia="pt-PT" w:bidi="pt-PT"/>
                            </w:rPr>
                            <w:t>JUT1.I</w:t>
                          </w:r>
                        </w:p>
                      </w:txbxContent>
                    </wps:txbx>
                    <wps:bodyPr wrap="none" lIns="0" tIns="0" rIns="0" bIns="0">
                      <a:spAutoFit/>
                    </wps:bodyPr>
                  </wps:wsp>
                </a:graphicData>
              </a:graphic>
            </wp:anchor>
          </w:drawing>
        </mc:Choice>
        <mc:Fallback>
          <w:pict>
            <v:shape id="_x0000_s1067" type="#_x0000_t202" style="position:absolute;margin-left:460.80000000000001pt;margin-top:32.25pt;width:57.pt;height:27.600000000000001pt;z-index:-18874403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jA</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u w:val="single"/>
                        <w:shd w:val="clear" w:color="auto" w:fill="auto"/>
                        <w:lang w:val="pt-PT" w:eastAsia="pt-PT" w:bidi="pt-PT"/>
                      </w:rPr>
                      <w:t>JUT1.I</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862965</wp:posOffset>
              </wp:positionH>
              <wp:positionV relativeFrom="page">
                <wp:posOffset>253365</wp:posOffset>
              </wp:positionV>
              <wp:extent cx="381000" cy="445770"/>
              <wp:wrapNone/>
              <wp:docPr id="43" name="Shape 43"/>
              <a:graphic xmlns:a="http://schemas.openxmlformats.org/drawingml/2006/main">
                <a:graphicData uri="http://schemas.microsoft.com/office/word/2010/wordprocessingShape">
                  <wps:wsp>
                    <wps:cNvSpPr txBox="1"/>
                    <wps:spPr>
                      <a:xfrm>
                        <a:ext cx="381000" cy="445770"/>
                      </a:xfrm>
                      <a:prstGeom prst="rect"/>
                      <a:noFill/>
                    </wps:spPr>
                    <wps:txbx>
                      <w:txbxContent>
                        <w:p>
                          <w:pPr>
                            <w:widowControl w:val="0"/>
                            <w:rPr>
                              <w:sz w:val="2"/>
                              <w:szCs w:val="2"/>
                            </w:rPr>
                          </w:pPr>
                          <w:r>
                            <w:drawing>
                              <wp:inline>
                                <wp:extent cx="384175" cy="44513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70" type="#_x0000_t202" style="position:absolute;margin-left:67.950000000000003pt;margin-top:19.949999999999999pt;width:30.pt;height:35.100000000000001pt;z-index:-188744035;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1880235</wp:posOffset>
              </wp:positionH>
              <wp:positionV relativeFrom="page">
                <wp:posOffset>280035</wp:posOffset>
              </wp:positionV>
              <wp:extent cx="3497580" cy="514350"/>
              <wp:wrapNone/>
              <wp:docPr id="47" name="Shape 47"/>
              <a:graphic xmlns:a="http://schemas.openxmlformats.org/drawingml/2006/main">
                <a:graphicData uri="http://schemas.microsoft.com/office/word/2010/wordprocessingShape">
                  <wps:wsp>
                    <wps:cNvSpPr txBox="1"/>
                    <wps:spPr>
                      <a:xfrm>
                        <a:ext cx="3497580" cy="5143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73" type="#_x0000_t202" style="position:absolute;margin-left:148.05000000000001pt;margin-top:22.050000000000001pt;width:275.39999999999998pt;height:40.5pt;z-index:-18874403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22" behindDoc="1" locked="0" layoutInCell="1" allowOverlap="1">
              <wp:simplePos x="0" y="0"/>
              <wp:positionH relativeFrom="page">
                <wp:posOffset>5850255</wp:posOffset>
              </wp:positionH>
              <wp:positionV relativeFrom="page">
                <wp:posOffset>481965</wp:posOffset>
              </wp:positionV>
              <wp:extent cx="723900" cy="274320"/>
              <wp:wrapNone/>
              <wp:docPr id="49" name="Shape 49"/>
              <a:graphic xmlns:a="http://schemas.openxmlformats.org/drawingml/2006/main">
                <a:graphicData uri="http://schemas.microsoft.com/office/word/2010/wordprocessingShape">
                  <wps:wsp>
                    <wps:cNvSpPr txBox="1"/>
                    <wps:spPr>
                      <a:xfrm>
                        <a:ext cx="723900" cy="2743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 -</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en-US" w:eastAsia="en-US" w:bidi="en-US"/>
                            </w:rPr>
                            <w:t>JUT.il</w:t>
                          </w:r>
                        </w:p>
                      </w:txbxContent>
                    </wps:txbx>
                    <wps:bodyPr wrap="none" lIns="0" tIns="0" rIns="0" bIns="0">
                      <a:spAutoFit/>
                    </wps:bodyPr>
                  </wps:wsp>
                </a:graphicData>
              </a:graphic>
            </wp:anchor>
          </w:drawing>
        </mc:Choice>
        <mc:Fallback>
          <w:pict>
            <v:shape id="_x0000_s1075" type="#_x0000_t202" style="position:absolute;margin-left:460.64999999999998pt;margin-top:37.950000000000003pt;width:57.pt;height:21.600000000000001pt;z-index:-18874403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 -</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en-US" w:eastAsia="en-US" w:bidi="en-US"/>
                      </w:rPr>
                      <w:t>JUT.il</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916940</wp:posOffset>
              </wp:positionH>
              <wp:positionV relativeFrom="page">
                <wp:posOffset>272415</wp:posOffset>
              </wp:positionV>
              <wp:extent cx="384810" cy="449580"/>
              <wp:wrapNone/>
              <wp:docPr id="53" name="Shape 53"/>
              <a:graphic xmlns:a="http://schemas.openxmlformats.org/drawingml/2006/main">
                <a:graphicData uri="http://schemas.microsoft.com/office/word/2010/wordprocessingShape">
                  <wps:wsp>
                    <wps:cNvSpPr txBox="1"/>
                    <wps:spPr>
                      <a:xfrm>
                        <a:ext cx="384810" cy="449580"/>
                      </a:xfrm>
                      <a:prstGeom prst="rect"/>
                      <a:noFill/>
                    </wps:spPr>
                    <wps:txbx>
                      <w:txbxContent>
                        <w:p>
                          <w:pPr>
                            <w:widowControl w:val="0"/>
                            <w:rPr>
                              <w:sz w:val="2"/>
                              <w:szCs w:val="2"/>
                            </w:rPr>
                          </w:pPr>
                          <w:r>
                            <w:drawing>
                              <wp:inline>
                                <wp:extent cx="384175" cy="450850"/>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pic:blipFill>
                                      <pic:spPr>
                                        <a:xfrm>
                                          <a:ext cx="384175" cy="450850"/>
                                        </a:xfrm>
                                        <a:prstGeom prst="rect"/>
                                      </pic:spPr>
                                    </pic:pic>
                                  </a:graphicData>
                                </a:graphic>
                              </wp:inline>
                            </w:drawing>
                          </w:r>
                        </w:p>
                      </w:txbxContent>
                    </wps:txbx>
                    <wps:bodyPr lIns="0" tIns="0" rIns="0" bIns="0">
                      <a:noAutoFit/>
                    </wps:bodyPr>
                  </wps:wsp>
                </a:graphicData>
              </a:graphic>
            </wp:anchor>
          </w:drawing>
        </mc:Choice>
        <mc:Fallback>
          <w:pict>
            <v:shape id="_x0000_s1080" type="#_x0000_t202" style="position:absolute;margin-left:72.200000000000003pt;margin-top:21.449999999999999pt;width:30.300000000000001pt;height:35.399999999999999pt;z-index:-188744027;mso-wrap-distance-left:0;mso-wrap-distance-right:0;mso-position-horizontal-relative:page;mso-position-vertical-relative:page" wrapcoords="0 0" filled="f" stroked="f">
              <v:textbox inset="0,0,0,0">
                <w:txbxContent>
                  <w:p>
                    <w:pPr>
                      <w:widowControl w:val="0"/>
                      <w:rPr>
                        <w:sz w:val="2"/>
                        <w:szCs w:val="2"/>
                      </w:rPr>
                    </w:pPr>
                    <w:r>
                      <w:drawing>
                        <wp:inline>
                          <wp:extent cx="384175" cy="450850"/>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pic:blipFill>
                                <pic:spPr>
                                  <a:xfrm>
                                    <a:ext cx="38417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8" behindDoc="1" locked="0" layoutInCell="1" allowOverlap="1">
              <wp:simplePos x="0" y="0"/>
              <wp:positionH relativeFrom="page">
                <wp:posOffset>1938020</wp:posOffset>
              </wp:positionH>
              <wp:positionV relativeFrom="page">
                <wp:posOffset>302895</wp:posOffset>
              </wp:positionV>
              <wp:extent cx="3497580" cy="510540"/>
              <wp:wrapNone/>
              <wp:docPr id="57" name="Shape 57"/>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83" type="#_x0000_t202" style="position:absolute;margin-left:152.59999999999999pt;margin-top:23.850000000000001pt;width:275.39999999999998pt;height:40.200000000000003pt;z-index:-18874402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916940</wp:posOffset>
              </wp:positionH>
              <wp:positionV relativeFrom="page">
                <wp:posOffset>272415</wp:posOffset>
              </wp:positionV>
              <wp:extent cx="384810" cy="449580"/>
              <wp:wrapNone/>
              <wp:docPr id="61" name="Shape 61"/>
              <a:graphic xmlns:a="http://schemas.openxmlformats.org/drawingml/2006/main">
                <a:graphicData uri="http://schemas.microsoft.com/office/word/2010/wordprocessingShape">
                  <wps:wsp>
                    <wps:cNvSpPr txBox="1"/>
                    <wps:spPr>
                      <a:xfrm>
                        <a:ext cx="384810" cy="449580"/>
                      </a:xfrm>
                      <a:prstGeom prst="rect"/>
                      <a:noFill/>
                    </wps:spPr>
                    <wps:txbx>
                      <w:txbxContent>
                        <w:p>
                          <w:pPr>
                            <w:widowControl w:val="0"/>
                            <w:rPr>
                              <w:sz w:val="2"/>
                              <w:szCs w:val="2"/>
                            </w:rPr>
                          </w:pPr>
                          <w:r>
                            <w:drawing>
                              <wp:inline>
                                <wp:extent cx="384175" cy="450850"/>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stretch/>
                                      </pic:blipFill>
                                      <pic:spPr>
                                        <a:xfrm>
                                          <a:ext cx="384175" cy="450850"/>
                                        </a:xfrm>
                                        <a:prstGeom prst="rect"/>
                                      </pic:spPr>
                                    </pic:pic>
                                  </a:graphicData>
                                </a:graphic>
                              </wp:inline>
                            </w:drawing>
                          </w:r>
                        </w:p>
                      </w:txbxContent>
                    </wps:txbx>
                    <wps:bodyPr lIns="0" tIns="0" rIns="0" bIns="0">
                      <a:noAutoFit/>
                    </wps:bodyPr>
                  </wps:wsp>
                </a:graphicData>
              </a:graphic>
            </wp:anchor>
          </w:drawing>
        </mc:Choice>
        <mc:Fallback>
          <w:pict>
            <v:shape id="_x0000_s1088" type="#_x0000_t202" style="position:absolute;margin-left:72.200000000000003pt;margin-top:21.449999999999999pt;width:30.300000000000001pt;height:35.399999999999999pt;z-index:-188744021;mso-wrap-distance-left:0;mso-wrap-distance-right:0;mso-position-horizontal-relative:page;mso-position-vertical-relative:page" wrapcoords="0 0" filled="f" stroked="f">
              <v:textbox inset="0,0,0,0">
                <w:txbxContent>
                  <w:p>
                    <w:pPr>
                      <w:widowControl w:val="0"/>
                      <w:rPr>
                        <w:sz w:val="2"/>
                        <w:szCs w:val="2"/>
                      </w:rPr>
                    </w:pPr>
                    <w:r>
                      <w:drawing>
                        <wp:inline>
                          <wp:extent cx="384175" cy="450850"/>
                          <wp:docPr id="64" name="Picutre 64"/>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pic:blipFill>
                                <pic:spPr>
                                  <a:xfrm>
                                    <a:ext cx="38417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4" behindDoc="1" locked="0" layoutInCell="1" allowOverlap="1">
              <wp:simplePos x="0" y="0"/>
              <wp:positionH relativeFrom="page">
                <wp:posOffset>1938020</wp:posOffset>
              </wp:positionH>
              <wp:positionV relativeFrom="page">
                <wp:posOffset>302895</wp:posOffset>
              </wp:positionV>
              <wp:extent cx="3497580" cy="510540"/>
              <wp:wrapNone/>
              <wp:docPr id="65" name="Shape 65"/>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91" type="#_x0000_t202" style="position:absolute;margin-left:152.59999999999999pt;margin-top:23.850000000000001pt;width:275.39999999999998pt;height:40.200000000000003pt;z-index:-18874401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933450</wp:posOffset>
              </wp:positionH>
              <wp:positionV relativeFrom="page">
                <wp:posOffset>269240</wp:posOffset>
              </wp:positionV>
              <wp:extent cx="384810" cy="445770"/>
              <wp:wrapNone/>
              <wp:docPr id="69" name="Shape 69"/>
              <a:graphic xmlns:a="http://schemas.openxmlformats.org/drawingml/2006/main">
                <a:graphicData uri="http://schemas.microsoft.com/office/word/2010/wordprocessingShape">
                  <wps:wsp>
                    <wps:cNvSpPr txBox="1"/>
                    <wps:spPr>
                      <a:xfrm>
                        <a:ext cx="384810" cy="445770"/>
                      </a:xfrm>
                      <a:prstGeom prst="rect"/>
                      <a:noFill/>
                    </wps:spPr>
                    <wps:txbx>
                      <w:txbxContent>
                        <w:p>
                          <w:pPr>
                            <w:widowControl w:val="0"/>
                            <w:rPr>
                              <w:sz w:val="2"/>
                              <w:szCs w:val="2"/>
                            </w:rPr>
                          </w:pPr>
                          <w:r>
                            <w:drawing>
                              <wp:inline>
                                <wp:extent cx="384175" cy="445135"/>
                                <wp:docPr id="70" name="Picutre 70"/>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96" type="#_x0000_t202" style="position:absolute;margin-left:73.5pt;margin-top:21.199999999999999pt;width:30.300000000000001pt;height:35.100000000000001pt;z-index:-188744015;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0" behindDoc="1" locked="0" layoutInCell="1" allowOverlap="1">
              <wp:simplePos x="0" y="0"/>
              <wp:positionH relativeFrom="page">
                <wp:posOffset>1954530</wp:posOffset>
              </wp:positionH>
              <wp:positionV relativeFrom="page">
                <wp:posOffset>299720</wp:posOffset>
              </wp:positionV>
              <wp:extent cx="3497580" cy="510540"/>
              <wp:wrapNone/>
              <wp:docPr id="73" name="Shape 73"/>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99" type="#_x0000_t202" style="position:absolute;margin-left:153.90000000000001pt;margin-top:23.600000000000001pt;width:275.39999999999998pt;height:40.200000000000003pt;z-index:-18874401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42" behindDoc="1" locked="0" layoutInCell="1" allowOverlap="1">
              <wp:simplePos x="0" y="0"/>
              <wp:positionH relativeFrom="page">
                <wp:posOffset>5913120</wp:posOffset>
              </wp:positionH>
              <wp:positionV relativeFrom="page">
                <wp:posOffset>501650</wp:posOffset>
              </wp:positionV>
              <wp:extent cx="731520" cy="278130"/>
              <wp:wrapNone/>
              <wp:docPr id="75" name="Shape 75"/>
              <a:graphic xmlns:a="http://schemas.openxmlformats.org/drawingml/2006/main">
                <a:graphicData uri="http://schemas.microsoft.com/office/word/2010/wordprocessingShape">
                  <wps:wsp>
                    <wps:cNvSpPr txBox="1"/>
                    <wps:spPr>
                      <a:xfrm>
                        <a:ext cx="731520" cy="2781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u w:val="single"/>
                              <w:shd w:val="clear" w:color="auto" w:fill="auto"/>
                              <w:lang w:val="pt-PT" w:eastAsia="pt-PT" w:bidi="pt-PT"/>
                            </w:rPr>
                            <w:t>JUTAÍ</w:t>
                          </w:r>
                        </w:p>
                      </w:txbxContent>
                    </wps:txbx>
                    <wps:bodyPr wrap="none" lIns="0" tIns="0" rIns="0" bIns="0">
                      <a:spAutoFit/>
                    </wps:bodyPr>
                  </wps:wsp>
                </a:graphicData>
              </a:graphic>
            </wp:anchor>
          </w:drawing>
        </mc:Choice>
        <mc:Fallback>
          <w:pict>
            <v:shape id="_x0000_s1101" type="#_x0000_t202" style="position:absolute;margin-left:465.60000000000002pt;margin-top:39.5pt;width:57.600000000000001pt;height:21.899999999999999pt;z-index:-18874401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u w:val="single"/>
                        <w:shd w:val="clear" w:color="auto" w:fill="auto"/>
                        <w:lang w:val="pt-PT" w:eastAsia="pt-PT" w:bidi="pt-PT"/>
                      </w:rPr>
                      <w:t>JUTAÍ</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1952625</wp:posOffset>
              </wp:positionH>
              <wp:positionV relativeFrom="page">
                <wp:posOffset>262890</wp:posOffset>
              </wp:positionV>
              <wp:extent cx="3501390" cy="510540"/>
              <wp:wrapNone/>
              <wp:docPr id="79" name="Shape 79"/>
              <a:graphic xmlns:a="http://schemas.openxmlformats.org/drawingml/2006/main">
                <a:graphicData uri="http://schemas.microsoft.com/office/word/2010/wordprocessingShape">
                  <wps:wsp>
                    <wps:cNvSpPr txBox="1"/>
                    <wps:spPr>
                      <a:xfrm>
                        <a:ext cx="350139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05" type="#_x0000_t202" style="position:absolute;margin-left:153.75pt;margin-top:20.699999999999999pt;width:275.69999999999999pt;height:40.200000000000003pt;z-index:-18874400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48" behindDoc="1" locked="0" layoutInCell="1" allowOverlap="1">
              <wp:simplePos x="0" y="0"/>
              <wp:positionH relativeFrom="page">
                <wp:posOffset>5918835</wp:posOffset>
              </wp:positionH>
              <wp:positionV relativeFrom="page">
                <wp:posOffset>464820</wp:posOffset>
              </wp:positionV>
              <wp:extent cx="731520" cy="270510"/>
              <wp:wrapNone/>
              <wp:docPr id="81" name="Shape 81"/>
              <a:graphic xmlns:a="http://schemas.openxmlformats.org/drawingml/2006/main">
                <a:graphicData uri="http://schemas.microsoft.com/office/word/2010/wordprocessingShape">
                  <wps:wsp>
                    <wps:cNvSpPr txBox="1"/>
                    <wps:spPr>
                      <a:xfrm>
                        <a:ext cx="731520" cy="27051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pt-PT" w:eastAsia="pt-PT" w:bidi="pt-PT"/>
                            </w:rPr>
                            <w:t>JUT.i.l</w:t>
                          </w:r>
                        </w:p>
                      </w:txbxContent>
                    </wps:txbx>
                    <wps:bodyPr wrap="none" lIns="0" tIns="0" rIns="0" bIns="0">
                      <a:spAutoFit/>
                    </wps:bodyPr>
                  </wps:wsp>
                </a:graphicData>
              </a:graphic>
            </wp:anchor>
          </w:drawing>
        </mc:Choice>
        <mc:Fallback>
          <w:pict>
            <v:shape id="_x0000_s1107" type="#_x0000_t202" style="position:absolute;margin-left:466.05000000000001pt;margin-top:36.600000000000001pt;width:57.600000000000001pt;height:21.300000000000001pt;z-index:-18874400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pt-PT" w:eastAsia="pt-PT" w:bidi="pt-PT"/>
                      </w:rPr>
                      <w:t>JUT.i.l</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1952625</wp:posOffset>
              </wp:positionH>
              <wp:positionV relativeFrom="page">
                <wp:posOffset>262890</wp:posOffset>
              </wp:positionV>
              <wp:extent cx="3501390" cy="510540"/>
              <wp:wrapNone/>
              <wp:docPr id="95" name="Shape 95"/>
              <a:graphic xmlns:a="http://schemas.openxmlformats.org/drawingml/2006/main">
                <a:graphicData uri="http://schemas.microsoft.com/office/word/2010/wordprocessingShape">
                  <wps:wsp>
                    <wps:cNvSpPr txBox="1"/>
                    <wps:spPr>
                      <a:xfrm>
                        <a:ext cx="350139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21" type="#_x0000_t202" style="position:absolute;margin-left:153.75pt;margin-top:20.699999999999999pt;width:275.69999999999999pt;height:40.200000000000003pt;z-index:-18874400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55" behindDoc="1" locked="0" layoutInCell="1" allowOverlap="1">
              <wp:simplePos x="0" y="0"/>
              <wp:positionH relativeFrom="page">
                <wp:posOffset>5918835</wp:posOffset>
              </wp:positionH>
              <wp:positionV relativeFrom="page">
                <wp:posOffset>464820</wp:posOffset>
              </wp:positionV>
              <wp:extent cx="731520" cy="270510"/>
              <wp:wrapNone/>
              <wp:docPr id="97" name="Shape 97"/>
              <a:graphic xmlns:a="http://schemas.openxmlformats.org/drawingml/2006/main">
                <a:graphicData uri="http://schemas.microsoft.com/office/word/2010/wordprocessingShape">
                  <wps:wsp>
                    <wps:cNvSpPr txBox="1"/>
                    <wps:spPr>
                      <a:xfrm>
                        <a:ext cx="731520" cy="27051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pt-PT" w:eastAsia="pt-PT" w:bidi="pt-PT"/>
                            </w:rPr>
                            <w:t>JUT.i.l</w:t>
                          </w:r>
                        </w:p>
                      </w:txbxContent>
                    </wps:txbx>
                    <wps:bodyPr wrap="none" lIns="0" tIns="0" rIns="0" bIns="0">
                      <a:spAutoFit/>
                    </wps:bodyPr>
                  </wps:wsp>
                </a:graphicData>
              </a:graphic>
            </wp:anchor>
          </w:drawing>
        </mc:Choice>
        <mc:Fallback>
          <w:pict>
            <v:shape id="_x0000_s1123" type="#_x0000_t202" style="position:absolute;margin-left:466.05000000000001pt;margin-top:36.600000000000001pt;width:57.600000000000001pt;height:21.300000000000001pt;z-index:-18874399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pt-PT" w:eastAsia="pt-PT" w:bidi="pt-PT"/>
                      </w:rPr>
                      <w:t>JUT.i.l</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9" behindDoc="1" locked="0" layoutInCell="1" allowOverlap="1">
              <wp:simplePos x="0" y="0"/>
              <wp:positionH relativeFrom="page">
                <wp:posOffset>1931670</wp:posOffset>
              </wp:positionH>
              <wp:positionV relativeFrom="page">
                <wp:posOffset>259080</wp:posOffset>
              </wp:positionV>
              <wp:extent cx="3497580" cy="518160"/>
              <wp:wrapNone/>
              <wp:docPr id="101" name="Shape 101"/>
              <a:graphic xmlns:a="http://schemas.openxmlformats.org/drawingml/2006/main">
                <a:graphicData uri="http://schemas.microsoft.com/office/word/2010/wordprocessingShape">
                  <wps:wsp>
                    <wps:cNvSpPr txBox="1"/>
                    <wps:spPr>
                      <a:xfrm>
                        <a:ext cx="3497580" cy="5181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27" type="#_x0000_t202" style="position:absolute;margin-left:152.09999999999999pt;margin-top:20.399999999999999pt;width:275.39999999999998pt;height:40.799999999999997pt;z-index:-18874399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61" behindDoc="1" locked="0" layoutInCell="1" allowOverlap="1">
              <wp:simplePos x="0" y="0"/>
              <wp:positionH relativeFrom="page">
                <wp:posOffset>5890260</wp:posOffset>
              </wp:positionH>
              <wp:positionV relativeFrom="page">
                <wp:posOffset>392430</wp:posOffset>
              </wp:positionV>
              <wp:extent cx="731520" cy="365760"/>
              <wp:wrapNone/>
              <wp:docPr id="103" name="Shape 103"/>
              <a:graphic xmlns:a="http://schemas.openxmlformats.org/drawingml/2006/main">
                <a:graphicData uri="http://schemas.microsoft.com/office/word/2010/wordprocessingShape">
                  <wps:wsp>
                    <wps:cNvSpPr txBox="1"/>
                    <wps:spPr>
                      <a:xfrm>
                        <a:ext cx="731520" cy="36576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Jb</w:t>
                          </w:r>
                        </w:p>
                        <w:p>
                          <w:pPr>
                            <w:pStyle w:val="Style4"/>
                            <w:keepNext w:val="0"/>
                            <w:keepLines w:val="0"/>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2B73BE"/>
                              <w:spacing w:val="0"/>
                              <w:w w:val="100"/>
                              <w:position w:val="0"/>
                              <w:sz w:val="42"/>
                              <w:szCs w:val="42"/>
                              <w:shd w:val="clear" w:color="auto" w:fill="auto"/>
                              <w:lang w:val="pt-PT" w:eastAsia="pt-PT" w:bidi="pt-PT"/>
                            </w:rPr>
                            <w:t>JUTÀI</w:t>
                          </w:r>
                        </w:p>
                      </w:txbxContent>
                    </wps:txbx>
                    <wps:bodyPr wrap="none" lIns="0" tIns="0" rIns="0" bIns="0">
                      <a:spAutoFit/>
                    </wps:bodyPr>
                  </wps:wsp>
                </a:graphicData>
              </a:graphic>
            </wp:anchor>
          </w:drawing>
        </mc:Choice>
        <mc:Fallback>
          <w:pict>
            <v:shape id="_x0000_s1129" type="#_x0000_t202" style="position:absolute;margin-left:463.80000000000001pt;margin-top:30.899999999999999pt;width:57.600000000000001pt;height:28.800000000000001pt;z-index:-18874399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B9744"/>
                        <w:spacing w:val="0"/>
                        <w:w w:val="100"/>
                        <w:position w:val="0"/>
                        <w:sz w:val="9"/>
                        <w:szCs w:val="9"/>
                        <w:shd w:val="clear" w:color="auto" w:fill="auto"/>
                        <w:lang w:val="pt-PT" w:eastAsia="pt-PT" w:bidi="pt-PT"/>
                      </w:rPr>
                      <w:t>Jb</w:t>
                    </w:r>
                  </w:p>
                  <w:p>
                    <w:pPr>
                      <w:pStyle w:val="Style4"/>
                      <w:keepNext w:val="0"/>
                      <w:keepLines w:val="0"/>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2B73BE"/>
                        <w:spacing w:val="0"/>
                        <w:w w:val="100"/>
                        <w:position w:val="0"/>
                        <w:sz w:val="42"/>
                        <w:szCs w:val="42"/>
                        <w:shd w:val="clear" w:color="auto" w:fill="auto"/>
                        <w:lang w:val="pt-PT" w:eastAsia="pt-PT" w:bidi="pt-PT"/>
                      </w:rPr>
                      <w:t>JUTÀI</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3" behindDoc="1" locked="0" layoutInCell="1" allowOverlap="1">
              <wp:simplePos x="0" y="0"/>
              <wp:positionH relativeFrom="page">
                <wp:posOffset>1929765</wp:posOffset>
              </wp:positionH>
              <wp:positionV relativeFrom="page">
                <wp:posOffset>322580</wp:posOffset>
              </wp:positionV>
              <wp:extent cx="3497580" cy="514350"/>
              <wp:wrapNone/>
              <wp:docPr id="115" name="Shape 115"/>
              <a:graphic xmlns:a="http://schemas.openxmlformats.org/drawingml/2006/main">
                <a:graphicData uri="http://schemas.microsoft.com/office/word/2010/wordprocessingShape">
                  <wps:wsp>
                    <wps:cNvSpPr txBox="1"/>
                    <wps:spPr>
                      <a:xfrm>
                        <a:ext cx="3497580" cy="5143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41" type="#_x0000_t202" style="position:absolute;margin-left:151.94999999999999pt;margin-top:25.399999999999999pt;width:275.39999999999998pt;height:40.5pt;z-index:-18874399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65" behindDoc="1" locked="0" layoutInCell="1" allowOverlap="1">
              <wp:simplePos x="0" y="0"/>
              <wp:positionH relativeFrom="page">
                <wp:posOffset>5895975</wp:posOffset>
              </wp:positionH>
              <wp:positionV relativeFrom="page">
                <wp:posOffset>433070</wp:posOffset>
              </wp:positionV>
              <wp:extent cx="750570" cy="430530"/>
              <wp:wrapNone/>
              <wp:docPr id="117" name="Shape 117"/>
              <a:graphic xmlns:a="http://schemas.openxmlformats.org/drawingml/2006/main">
                <a:graphicData uri="http://schemas.microsoft.com/office/word/2010/wordprocessingShape">
                  <wps:wsp>
                    <wps:cNvSpPr txBox="1"/>
                    <wps:spPr>
                      <a:xfrm>
                        <a:ext cx="750570" cy="430530"/>
                      </a:xfrm>
                      <a:prstGeom prst="rect"/>
                      <a:noFill/>
                    </wps:spPr>
                    <wps:txbx>
                      <w:txbxContent>
                        <w:p>
                          <w:pPr>
                            <w:widowControl w:val="0"/>
                            <w:rPr>
                              <w:sz w:val="2"/>
                              <w:szCs w:val="2"/>
                            </w:rPr>
                          </w:pPr>
                          <w:r>
                            <w:drawing>
                              <wp:inline>
                                <wp:extent cx="749935" cy="433070"/>
                                <wp:docPr id="118" name="Picutre 118"/>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pic:blipFill>
                                      <pic:spPr>
                                        <a:xfrm>
                                          <a:ext cx="749935" cy="433070"/>
                                        </a:xfrm>
                                        <a:prstGeom prst="rect"/>
                                      </pic:spPr>
                                    </pic:pic>
                                  </a:graphicData>
                                </a:graphic>
                              </wp:inline>
                            </w:drawing>
                          </w:r>
                        </w:p>
                      </w:txbxContent>
                    </wps:txbx>
                    <wps:bodyPr lIns="0" tIns="0" rIns="0" bIns="0">
                      <a:noAutoFit/>
                    </wps:bodyPr>
                  </wps:wsp>
                </a:graphicData>
              </a:graphic>
            </wp:anchor>
          </w:drawing>
        </mc:Choice>
        <mc:Fallback>
          <w:pict>
            <v:shape id="_x0000_s1144" type="#_x0000_t202" style="position:absolute;margin-left:464.25pt;margin-top:34.100000000000001pt;width:59.100000000000001pt;height:33.899999999999999pt;z-index:-188743988;mso-wrap-distance-left:0;mso-wrap-distance-right:0;mso-position-horizontal-relative:page;mso-position-vertical-relative:page" wrapcoords="0 0" filled="f" stroked="f">
              <v:textbox inset="0,0,0,0">
                <w:txbxContent>
                  <w:p>
                    <w:pPr>
                      <w:widowControl w:val="0"/>
                      <w:rPr>
                        <w:sz w:val="2"/>
                        <w:szCs w:val="2"/>
                      </w:rPr>
                    </w:pPr>
                    <w:r>
                      <w:drawing>
                        <wp:inline>
                          <wp:extent cx="749935" cy="433070"/>
                          <wp:docPr id="120" name="Picutre 120"/>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
                                  <a:stretch/>
                                </pic:blipFill>
                                <pic:spPr>
                                  <a:xfrm>
                                    <a:ext cx="749935" cy="433070"/>
                                  </a:xfrm>
                                  <a:prstGeom prst="rect"/>
                                </pic:spPr>
                              </pic:pic>
                            </a:graphicData>
                          </a:graphic>
                        </wp:inline>
                      </w:drawing>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9" behindDoc="1" locked="0" layoutInCell="1" allowOverlap="1">
              <wp:simplePos x="0" y="0"/>
              <wp:positionH relativeFrom="page">
                <wp:posOffset>1929765</wp:posOffset>
              </wp:positionH>
              <wp:positionV relativeFrom="page">
                <wp:posOffset>322580</wp:posOffset>
              </wp:positionV>
              <wp:extent cx="3497580" cy="514350"/>
              <wp:wrapNone/>
              <wp:docPr id="123" name="Shape 123"/>
              <a:graphic xmlns:a="http://schemas.openxmlformats.org/drawingml/2006/main">
                <a:graphicData uri="http://schemas.microsoft.com/office/word/2010/wordprocessingShape">
                  <wps:wsp>
                    <wps:cNvSpPr txBox="1"/>
                    <wps:spPr>
                      <a:xfrm>
                        <a:ext cx="3497580" cy="5143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49" type="#_x0000_t202" style="position:absolute;margin-left:151.94999999999999pt;margin-top:25.399999999999999pt;width:275.39999999999998pt;height:40.5pt;z-index:-18874398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71" behindDoc="1" locked="0" layoutInCell="1" allowOverlap="1">
              <wp:simplePos x="0" y="0"/>
              <wp:positionH relativeFrom="page">
                <wp:posOffset>5895975</wp:posOffset>
              </wp:positionH>
              <wp:positionV relativeFrom="page">
                <wp:posOffset>433070</wp:posOffset>
              </wp:positionV>
              <wp:extent cx="750570" cy="430530"/>
              <wp:wrapNone/>
              <wp:docPr id="125" name="Shape 125"/>
              <a:graphic xmlns:a="http://schemas.openxmlformats.org/drawingml/2006/main">
                <a:graphicData uri="http://schemas.microsoft.com/office/word/2010/wordprocessingShape">
                  <wps:wsp>
                    <wps:cNvSpPr txBox="1"/>
                    <wps:spPr>
                      <a:xfrm>
                        <a:ext cx="750570" cy="430530"/>
                      </a:xfrm>
                      <a:prstGeom prst="rect"/>
                      <a:noFill/>
                    </wps:spPr>
                    <wps:txbx>
                      <w:txbxContent>
                        <w:p>
                          <w:pPr>
                            <w:widowControl w:val="0"/>
                            <w:rPr>
                              <w:sz w:val="2"/>
                              <w:szCs w:val="2"/>
                            </w:rPr>
                          </w:pPr>
                          <w:r>
                            <w:drawing>
                              <wp:inline>
                                <wp:extent cx="749935" cy="433070"/>
                                <wp:docPr id="126" name="Picutre 126"/>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1"/>
                                        <a:stretch/>
                                      </pic:blipFill>
                                      <pic:spPr>
                                        <a:xfrm>
                                          <a:ext cx="749935" cy="433070"/>
                                        </a:xfrm>
                                        <a:prstGeom prst="rect"/>
                                      </pic:spPr>
                                    </pic:pic>
                                  </a:graphicData>
                                </a:graphic>
                              </wp:inline>
                            </w:drawing>
                          </w:r>
                        </w:p>
                      </w:txbxContent>
                    </wps:txbx>
                    <wps:bodyPr lIns="0" tIns="0" rIns="0" bIns="0">
                      <a:noAutoFit/>
                    </wps:bodyPr>
                  </wps:wsp>
                </a:graphicData>
              </a:graphic>
            </wp:anchor>
          </w:drawing>
        </mc:Choice>
        <mc:Fallback>
          <w:pict>
            <v:shape id="_x0000_s1152" type="#_x0000_t202" style="position:absolute;margin-left:464.25pt;margin-top:34.100000000000001pt;width:59.100000000000001pt;height:33.899999999999999pt;z-index:-188743982;mso-wrap-distance-left:0;mso-wrap-distance-right:0;mso-position-horizontal-relative:page;mso-position-vertical-relative:page" wrapcoords="0 0" filled="f" stroked="f">
              <v:textbox inset="0,0,0,0">
                <w:txbxContent>
                  <w:p>
                    <w:pPr>
                      <w:widowControl w:val="0"/>
                      <w:rPr>
                        <w:sz w:val="2"/>
                        <w:szCs w:val="2"/>
                      </w:rPr>
                    </w:pPr>
                    <w:r>
                      <w:drawing>
                        <wp:inline>
                          <wp:extent cx="749935" cy="433070"/>
                          <wp:docPr id="128" name="Picutre 128"/>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
                                  <a:stretch/>
                                </pic:blipFill>
                                <pic:spPr>
                                  <a:xfrm>
                                    <a:ext cx="749935" cy="433070"/>
                                  </a:xfrm>
                                  <a:prstGeom prst="rect"/>
                                </pic:spPr>
                              </pic:pic>
                            </a:graphicData>
                          </a:graphic>
                        </wp:inline>
                      </w:drawing>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5" behindDoc="1" locked="0" layoutInCell="1" allowOverlap="1">
              <wp:simplePos x="0" y="0"/>
              <wp:positionH relativeFrom="page">
                <wp:posOffset>902970</wp:posOffset>
              </wp:positionH>
              <wp:positionV relativeFrom="page">
                <wp:posOffset>288290</wp:posOffset>
              </wp:positionV>
              <wp:extent cx="381000" cy="445770"/>
              <wp:wrapNone/>
              <wp:docPr id="131" name="Shape 131"/>
              <a:graphic xmlns:a="http://schemas.openxmlformats.org/drawingml/2006/main">
                <a:graphicData uri="http://schemas.microsoft.com/office/word/2010/wordprocessingShape">
                  <wps:wsp>
                    <wps:cNvSpPr txBox="1"/>
                    <wps:spPr>
                      <a:xfrm>
                        <a:ext cx="381000" cy="445770"/>
                      </a:xfrm>
                      <a:prstGeom prst="rect"/>
                      <a:noFill/>
                    </wps:spPr>
                    <wps:txbx>
                      <w:txbxContent>
                        <w:p>
                          <w:pPr>
                            <w:widowControl w:val="0"/>
                            <w:rPr>
                              <w:sz w:val="2"/>
                              <w:szCs w:val="2"/>
                            </w:rPr>
                          </w:pPr>
                          <w:r>
                            <w:drawing>
                              <wp:inline>
                                <wp:extent cx="384175" cy="445135"/>
                                <wp:docPr id="132" name="Picutre 132"/>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158" type="#_x0000_t202" style="position:absolute;margin-left:71.099999999999994pt;margin-top:22.699999999999999pt;width:30.pt;height:35.100000000000001pt;z-index:-188743978;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134" name="Picutre 134"/>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7" behindDoc="1" locked="0" layoutInCell="1" allowOverlap="1">
              <wp:simplePos x="0" y="0"/>
              <wp:positionH relativeFrom="page">
                <wp:posOffset>1920240</wp:posOffset>
              </wp:positionH>
              <wp:positionV relativeFrom="page">
                <wp:posOffset>307340</wp:posOffset>
              </wp:positionV>
              <wp:extent cx="3497580" cy="510540"/>
              <wp:wrapNone/>
              <wp:docPr id="135" name="Shape 135"/>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61" type="#_x0000_t202" style="position:absolute;margin-left:151.19999999999999pt;margin-top:24.199999999999999pt;width:275.39999999999998pt;height:40.200000000000003pt;z-index:-18874397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79" behindDoc="1" locked="0" layoutInCell="1" allowOverlap="1">
              <wp:simplePos x="0" y="0"/>
              <wp:positionH relativeFrom="page">
                <wp:posOffset>5882640</wp:posOffset>
              </wp:positionH>
              <wp:positionV relativeFrom="page">
                <wp:posOffset>505460</wp:posOffset>
              </wp:positionV>
              <wp:extent cx="731520" cy="274320"/>
              <wp:wrapNone/>
              <wp:docPr id="137" name="Shape 137"/>
              <a:graphic xmlns:a="http://schemas.openxmlformats.org/drawingml/2006/main">
                <a:graphicData uri="http://schemas.microsoft.com/office/word/2010/wordprocessingShape">
                  <wps:wsp>
                    <wps:cNvSpPr txBox="1"/>
                    <wps:spPr>
                      <a:xfrm>
                        <a:ext cx="731520" cy="2743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en-US" w:eastAsia="en-US" w:bidi="en-US"/>
                            </w:rPr>
                            <w:t>JUT.il</w:t>
                          </w:r>
                        </w:p>
                      </w:txbxContent>
                    </wps:txbx>
                    <wps:bodyPr wrap="none" lIns="0" tIns="0" rIns="0" bIns="0">
                      <a:spAutoFit/>
                    </wps:bodyPr>
                  </wps:wsp>
                </a:graphicData>
              </a:graphic>
            </wp:anchor>
          </w:drawing>
        </mc:Choice>
        <mc:Fallback>
          <w:pict>
            <v:shape id="_x0000_s1163" type="#_x0000_t202" style="position:absolute;margin-left:463.19999999999999pt;margin-top:39.799999999999997pt;width:57.600000000000001pt;height:21.600000000000001pt;z-index:-18874397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4"/>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B73BE"/>
                        <w:spacing w:val="0"/>
                        <w:w w:val="100"/>
                        <w:position w:val="0"/>
                        <w:sz w:val="36"/>
                        <w:szCs w:val="36"/>
                        <w:shd w:val="clear" w:color="auto" w:fill="auto"/>
                        <w:lang w:val="en-US" w:eastAsia="en-US" w:bidi="en-US"/>
                      </w:rPr>
                      <w:t>JUT.il</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1"/>
      <w:numFmt w:val="decimal"/>
      <w:lvlText w:val="4.%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
    <w:multiLevelType w:val="multilevel"/>
    <w:lvl w:ilvl="0">
      <w:start w:val="1"/>
      <w:numFmt w:val="decimal"/>
      <w:lvlText w:val="4.1.%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
    <w:multiLevelType w:val="multilevel"/>
    <w:lvl w:ilvl="0">
      <w:start w:val="2"/>
      <w:numFmt w:val="decimal"/>
      <w:lvlText w:val="4.2.%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decimal"/>
      <w:lvlText w:val="4.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2">
    <w:multiLevelType w:val="multilevel"/>
    <w:lvl w:ilvl="0">
      <w:start w:val="3"/>
      <w:numFmt w:val="decimal"/>
      <w:lvlText w:val="4.3.%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6">
    <w:multiLevelType w:val="multilevel"/>
    <w:lvl w:ilvl="0">
      <w:start w:val="1"/>
      <w:numFmt w:val="decimal"/>
      <w:lvlText w:val="4.3.10.%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8">
    <w:multiLevelType w:val="multilevel"/>
    <w:lvl w:ilvl="0">
      <w:start w:val="1"/>
      <w:numFmt w:val="decimal"/>
      <w:lvlText w:val="6.%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0">
    <w:multiLevelType w:val="multilevel"/>
    <w:lvl w:ilvl="0">
      <w:start w:val="1"/>
      <w:numFmt w:val="decimal"/>
      <w:lvlText w:val="7.%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lvl w:ilvl="1">
      <w:start w:val="9"/>
      <w:numFmt w:val="decimal"/>
      <w:lvlText w:val="%1.%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2">
    <w:multiLevelType w:val="multilevel"/>
    <w:lvl w:ilvl="0">
      <w:start w:val="1"/>
      <w:numFmt w:val="decimal"/>
      <w:lvlText w:val="8.%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4">
    <w:multiLevelType w:val="multilevel"/>
    <w:lvl w:ilvl="0">
      <w:start w:val="1"/>
      <w:numFmt w:val="decimal"/>
      <w:lvlText w:val="9.%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8">
    <w:multiLevelType w:val="multilevel"/>
    <w:lvl w:ilvl="0">
      <w:start w:val="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4">
    <w:multiLevelType w:val="multilevel"/>
    <w:lvl w:ilvl="0">
      <w:start w:val="1"/>
      <w:numFmt w:val="decimal"/>
      <w:lvlText w:val="10.%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6">
    <w:multiLevelType w:val="multilevel"/>
    <w:lvl w:ilvl="0">
      <w:start w:val="1"/>
      <w:numFmt w:val="decimal"/>
      <w:lvlText w:val="10.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0">
    <w:multiLevelType w:val="multilevel"/>
    <w:lvl w:ilvl="0">
      <w:start w:val="2"/>
      <w:numFmt w:val="decimal"/>
      <w:lvlText w:val="10.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2">
    <w:multiLevelType w:val="multilevel"/>
    <w:lvl w:ilvl="0">
      <w:start w:val="1"/>
      <w:numFmt w:val="decimal"/>
      <w:lvlText w:val="11.%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4">
    <w:multiLevelType w:val="multilevel"/>
    <w:lvl w:ilvl="0">
      <w:start w:val="1"/>
      <w:numFmt w:val="decimal"/>
      <w:lvlText w:val="11.1.%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8">
    <w:multiLevelType w:val="multilevel"/>
    <w:lvl w:ilvl="0">
      <w:start w:val="1"/>
      <w:numFmt w:val="decimal"/>
      <w:lvlText w:val="11.1.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2">
    <w:multiLevelType w:val="multilevel"/>
    <w:lvl w:ilvl="0">
      <w:start w:val="1"/>
      <w:numFmt w:val="decimal"/>
      <w:lvlText w:val="11.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4">
    <w:multiLevelType w:val="multilevel"/>
    <w:lvl w:ilvl="0">
      <w:start w:val="1"/>
      <w:numFmt w:val="decimal"/>
      <w:lvlText w:val="11.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6">
    <w:multiLevelType w:val="multilevel"/>
    <w:lvl w:ilvl="0">
      <w:start w:val="1"/>
      <w:numFmt w:val="decimal"/>
      <w:lvlText w:val="11.4.%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8">
    <w:multiLevelType w:val="multilevel"/>
    <w:lvl w:ilvl="0">
      <w:start w:val="1"/>
      <w:numFmt w:val="decimal"/>
      <w:lvlText w:val="1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0">
    <w:multiLevelType w:val="multilevel"/>
    <w:lvl w:ilvl="0">
      <w:start w:val="1"/>
      <w:numFmt w:val="decimal"/>
      <w:lvlText w:val="1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2">
    <w:multiLevelType w:val="multilevel"/>
    <w:lvl w:ilvl="0">
      <w:start w:val="2"/>
      <w:numFmt w:val="decimal"/>
      <w:lvlText w:val="14.%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4">
    <w:multiLevelType w:val="multilevel"/>
    <w:lvl w:ilvl="0">
      <w:start w:val="1"/>
      <w:numFmt w:val="decimal"/>
      <w:lvlText w:val="14.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8">
    <w:multiLevelType w:val="multilevel"/>
    <w:lvl w:ilvl="0">
      <w:start w:val="1"/>
      <w:numFmt w:val="decimal"/>
      <w:lvlText w:val="14.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0">
    <w:multiLevelType w:val="multilevel"/>
    <w:lvl w:ilvl="0">
      <w:start w:val="1"/>
      <w:numFmt w:val="decimal"/>
      <w:lvlText w:val="14.4.%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2">
    <w:multiLevelType w:val="multilevel"/>
    <w:lvl w:ilvl="0">
      <w:start w:val="1"/>
      <w:numFmt w:val="decimal"/>
      <w:lvlText w:val="14.6.%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4">
    <w:multiLevelType w:val="multilevel"/>
    <w:lvl w:ilvl="0">
      <w:start w:val="1"/>
      <w:numFmt w:val="decimal"/>
      <w:lvlText w:val="15.%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6">
    <w:multiLevelType w:val="multilevel"/>
    <w:lvl w:ilvl="0">
      <w:start w:val="1"/>
      <w:numFmt w:val="decimal"/>
      <w:lvlText w:val="16.%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8">
    <w:multiLevelType w:val="multilevel"/>
    <w:lvl w:ilvl="0">
      <w:start w:val="1"/>
      <w:numFmt w:val="low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80">
    <w:multiLevelType w:val="multilevel"/>
    <w:lvl w:ilvl="0">
      <w:start w:val="1"/>
      <w:numFmt w:val="low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82">
    <w:multiLevelType w:val="multilevel"/>
    <w:lvl w:ilvl="0">
      <w:start w:val="1"/>
      <w:numFmt w:val="decimal"/>
      <w:lvlText w:val="18.%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ing #3|1_"/>
    <w:basedOn w:val="DefaultParagraphFont"/>
    <w:link w:val="Style2"/>
    <w:rPr>
      <w:b/>
      <w:bCs/>
      <w:i w:val="0"/>
      <w:iCs w:val="0"/>
      <w:smallCaps w:val="0"/>
      <w:strike w:val="0"/>
      <w:sz w:val="22"/>
      <w:szCs w:val="22"/>
      <w:u w:val="none"/>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11">
    <w:name w:val="Body text|1_"/>
    <w:basedOn w:val="DefaultParagraphFont"/>
    <w:link w:val="Style10"/>
    <w:rPr>
      <w:b w:val="0"/>
      <w:bCs w:val="0"/>
      <w:i w:val="0"/>
      <w:iCs w:val="0"/>
      <w:smallCaps w:val="0"/>
      <w:strike w:val="0"/>
      <w:sz w:val="20"/>
      <w:szCs w:val="20"/>
      <w:u w:val="none"/>
    </w:rPr>
  </w:style>
  <w:style w:type="character" w:customStyle="1" w:styleId="CharStyle19">
    <w:name w:val="Body text|2_"/>
    <w:basedOn w:val="DefaultParagraphFont"/>
    <w:link w:val="Style18"/>
    <w:rPr>
      <w:rFonts w:ascii="Arial" w:eastAsia="Arial" w:hAnsi="Arial" w:cs="Arial"/>
      <w:b/>
      <w:bCs/>
      <w:i w:val="0"/>
      <w:iCs w:val="0"/>
      <w:smallCaps w:val="0"/>
      <w:strike w:val="0"/>
      <w:sz w:val="9"/>
      <w:szCs w:val="9"/>
      <w:u w:val="none"/>
    </w:rPr>
  </w:style>
  <w:style w:type="character" w:customStyle="1" w:styleId="CharStyle21">
    <w:name w:val="Heading #2|1_"/>
    <w:basedOn w:val="DefaultParagraphFont"/>
    <w:link w:val="Style20"/>
    <w:rPr>
      <w:rFonts w:ascii="Arial" w:eastAsia="Arial" w:hAnsi="Arial" w:cs="Arial"/>
      <w:b/>
      <w:bCs/>
      <w:i w:val="0"/>
      <w:iCs w:val="0"/>
      <w:smallCaps w:val="0"/>
      <w:strike w:val="0"/>
      <w:color w:val="2B73BE"/>
      <w:sz w:val="42"/>
      <w:szCs w:val="42"/>
      <w:u w:val="none"/>
    </w:rPr>
  </w:style>
  <w:style w:type="character" w:customStyle="1" w:styleId="CharStyle26">
    <w:name w:val="Heading #1|1_"/>
    <w:basedOn w:val="DefaultParagraphFont"/>
    <w:link w:val="Style25"/>
    <w:rPr>
      <w:rFonts w:ascii="Arial" w:eastAsia="Arial" w:hAnsi="Arial" w:cs="Arial"/>
      <w:b w:val="0"/>
      <w:bCs w:val="0"/>
      <w:i/>
      <w:iCs/>
      <w:smallCaps w:val="0"/>
      <w:strike w:val="0"/>
      <w:color w:val="4E4EA3"/>
      <w:sz w:val="82"/>
      <w:szCs w:val="82"/>
      <w:u w:val="none"/>
    </w:rPr>
  </w:style>
  <w:style w:type="character" w:customStyle="1" w:styleId="CharStyle28">
    <w:name w:val="Picture caption|1_"/>
    <w:basedOn w:val="DefaultParagraphFont"/>
    <w:link w:val="Style27"/>
    <w:rPr>
      <w:b w:val="0"/>
      <w:bCs w:val="0"/>
      <w:i w:val="0"/>
      <w:iCs w:val="0"/>
      <w:smallCaps w:val="0"/>
      <w:strike w:val="0"/>
      <w:sz w:val="20"/>
      <w:szCs w:val="20"/>
      <w:u w:val="none"/>
    </w:rPr>
  </w:style>
  <w:style w:type="paragraph" w:customStyle="1" w:styleId="Style2">
    <w:name w:val="Heading #3|1"/>
    <w:basedOn w:val="Normal"/>
    <w:link w:val="CharStyle3"/>
    <w:pPr>
      <w:widowControl w:val="0"/>
      <w:shd w:val="clear" w:color="auto" w:fill="FFFFFF"/>
      <w:spacing w:line="276" w:lineRule="auto"/>
      <w:ind w:left="360"/>
      <w:outlineLvl w:val="2"/>
    </w:pPr>
    <w:rPr>
      <w:b/>
      <w:bCs/>
      <w:i w:val="0"/>
      <w:iCs w:val="0"/>
      <w:smallCaps w:val="0"/>
      <w:strike w:val="0"/>
      <w:sz w:val="22"/>
      <w:szCs w:val="22"/>
      <w:u w:val="none"/>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rPr>
  </w:style>
  <w:style w:type="paragraph" w:customStyle="1" w:styleId="Style10">
    <w:name w:val="Body text|1"/>
    <w:basedOn w:val="Normal"/>
    <w:link w:val="CharStyle11"/>
    <w:pPr>
      <w:widowControl w:val="0"/>
      <w:shd w:val="clear" w:color="auto" w:fill="FFFFFF"/>
      <w:spacing w:line="302" w:lineRule="auto"/>
    </w:pPr>
    <w:rPr>
      <w:b w:val="0"/>
      <w:bCs w:val="0"/>
      <w:i w:val="0"/>
      <w:iCs w:val="0"/>
      <w:smallCaps w:val="0"/>
      <w:strike w:val="0"/>
      <w:sz w:val="20"/>
      <w:szCs w:val="20"/>
      <w:u w:val="none"/>
    </w:rPr>
  </w:style>
  <w:style w:type="paragraph" w:customStyle="1" w:styleId="Style18">
    <w:name w:val="Body text|2"/>
    <w:basedOn w:val="Normal"/>
    <w:link w:val="CharStyle19"/>
    <w:pPr>
      <w:widowControl w:val="0"/>
      <w:shd w:val="clear" w:color="auto" w:fill="FFFFFF"/>
      <w:ind w:left="8020"/>
    </w:pPr>
    <w:rPr>
      <w:rFonts w:ascii="Arial" w:eastAsia="Arial" w:hAnsi="Arial" w:cs="Arial"/>
      <w:b/>
      <w:bCs/>
      <w:i w:val="0"/>
      <w:iCs w:val="0"/>
      <w:smallCaps w:val="0"/>
      <w:strike w:val="0"/>
      <w:sz w:val="9"/>
      <w:szCs w:val="9"/>
      <w:u w:val="none"/>
    </w:rPr>
  </w:style>
  <w:style w:type="paragraph" w:customStyle="1" w:styleId="Style20">
    <w:name w:val="Heading #2|1"/>
    <w:basedOn w:val="Normal"/>
    <w:link w:val="CharStyle21"/>
    <w:pPr>
      <w:widowControl w:val="0"/>
      <w:shd w:val="clear" w:color="auto" w:fill="FFFFFF"/>
      <w:spacing w:after="420" w:line="180" w:lineRule="auto"/>
      <w:jc w:val="right"/>
      <w:outlineLvl w:val="1"/>
    </w:pPr>
    <w:rPr>
      <w:rFonts w:ascii="Arial" w:eastAsia="Arial" w:hAnsi="Arial" w:cs="Arial"/>
      <w:b/>
      <w:bCs/>
      <w:i w:val="0"/>
      <w:iCs w:val="0"/>
      <w:smallCaps w:val="0"/>
      <w:strike w:val="0"/>
      <w:color w:val="2B73BE"/>
      <w:sz w:val="42"/>
      <w:szCs w:val="42"/>
      <w:u w:val="none"/>
    </w:rPr>
  </w:style>
  <w:style w:type="paragraph" w:customStyle="1" w:styleId="Style25">
    <w:name w:val="Heading #1|1"/>
    <w:basedOn w:val="Normal"/>
    <w:link w:val="CharStyle26"/>
    <w:pPr>
      <w:widowControl w:val="0"/>
      <w:shd w:val="clear" w:color="auto" w:fill="FFFFFF"/>
      <w:ind w:left="600" w:firstLine="20"/>
      <w:outlineLvl w:val="0"/>
    </w:pPr>
    <w:rPr>
      <w:rFonts w:ascii="Arial" w:eastAsia="Arial" w:hAnsi="Arial" w:cs="Arial"/>
      <w:b w:val="0"/>
      <w:bCs w:val="0"/>
      <w:i/>
      <w:iCs/>
      <w:smallCaps w:val="0"/>
      <w:strike w:val="0"/>
      <w:color w:val="4E4EA3"/>
      <w:sz w:val="82"/>
      <w:szCs w:val="82"/>
      <w:u w:val="none"/>
    </w:rPr>
  </w:style>
  <w:style w:type="paragraph" w:customStyle="1" w:styleId="Style27">
    <w:name w:val="Picture caption|1"/>
    <w:basedOn w:val="Normal"/>
    <w:link w:val="CharStyle28"/>
    <w:pPr>
      <w:widowControl w:val="0"/>
      <w:shd w:val="clear" w:color="auto" w:fill="FFFFFF"/>
    </w:pPr>
    <w:rPr>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header" Target="header4.xml"/><Relationship Id="rId15" Type="http://schemas.openxmlformats.org/officeDocument/2006/relationships/footer" Target="footer1.xml"/><Relationship Id="rId16" Type="http://schemas.openxmlformats.org/officeDocument/2006/relationships/header" Target="header5.xml"/><Relationship Id="rId17" Type="http://schemas.openxmlformats.org/officeDocument/2006/relationships/footer" Target="footer2.xml"/><Relationship Id="rId18" Type="http://schemas.openxmlformats.org/officeDocument/2006/relationships/header" Target="header6.xml"/><Relationship Id="rId19" Type="http://schemas.openxmlformats.org/officeDocument/2006/relationships/footer" Target="footer3.xml"/><Relationship Id="rId20" Type="http://schemas.openxmlformats.org/officeDocument/2006/relationships/header" Target="header7.xml"/><Relationship Id="rId21" Type="http://schemas.openxmlformats.org/officeDocument/2006/relationships/footer" Target="footer4.xml"/><Relationship Id="rId22" Type="http://schemas.openxmlformats.org/officeDocument/2006/relationships/header" Target="header8.xml"/><Relationship Id="rId23" Type="http://schemas.openxmlformats.org/officeDocument/2006/relationships/footer" Target="footer5.xml"/><Relationship Id="rId24" Type="http://schemas.openxmlformats.org/officeDocument/2006/relationships/header" Target="header9.xml"/><Relationship Id="rId25" Type="http://schemas.openxmlformats.org/officeDocument/2006/relationships/footer" Target="footer6.xml"/><Relationship Id="rId26" Type="http://schemas.openxmlformats.org/officeDocument/2006/relationships/header" Target="header10.xml"/><Relationship Id="rId27" Type="http://schemas.openxmlformats.org/officeDocument/2006/relationships/footer" Target="footer7.xml"/><Relationship Id="rId28" Type="http://schemas.openxmlformats.org/officeDocument/2006/relationships/image" Target="media/image9.jpeg"/><Relationship Id="rId29" Type="http://schemas.openxmlformats.org/officeDocument/2006/relationships/image" Target="media/image9.jpeg" TargetMode="External"/><Relationship Id="rId30" Type="http://schemas.openxmlformats.org/officeDocument/2006/relationships/image" Target="media/image10.png"/><Relationship Id="rId31" Type="http://schemas.openxmlformats.org/officeDocument/2006/relationships/image" Target="media/image10.png" TargetMode="External"/><Relationship Id="rId32" Type="http://schemas.openxmlformats.org/officeDocument/2006/relationships/image" Target="media/image11.jpeg"/><Relationship Id="rId33" Type="http://schemas.openxmlformats.org/officeDocument/2006/relationships/image" Target="media/image11.jpeg" TargetMode="External"/><Relationship Id="rId34" Type="http://schemas.openxmlformats.org/officeDocument/2006/relationships/image" Target="media/image12.jpeg"/><Relationship Id="rId35" Type="http://schemas.openxmlformats.org/officeDocument/2006/relationships/image" Target="media/image12.jpeg" TargetMode="External"/><Relationship Id="rId36" Type="http://schemas.openxmlformats.org/officeDocument/2006/relationships/header" Target="header11.xml"/><Relationship Id="rId37" Type="http://schemas.openxmlformats.org/officeDocument/2006/relationships/footer" Target="footer8.xml"/><Relationship Id="rId38" Type="http://schemas.openxmlformats.org/officeDocument/2006/relationships/header" Target="header12.xml"/><Relationship Id="rId39" Type="http://schemas.openxmlformats.org/officeDocument/2006/relationships/footer" Target="footer9.xml"/><Relationship Id="rId40" Type="http://schemas.openxmlformats.org/officeDocument/2006/relationships/image" Target="media/image13.jpeg"/><Relationship Id="rId41" Type="http://schemas.openxmlformats.org/officeDocument/2006/relationships/image" Target="media/image13.jpeg" TargetMode="External"/><Relationship Id="rId42" Type="http://schemas.openxmlformats.org/officeDocument/2006/relationships/image" Target="media/image14.jpeg"/><Relationship Id="rId43" Type="http://schemas.openxmlformats.org/officeDocument/2006/relationships/image" Target="media/image14.jpeg" TargetMode="External"/><Relationship Id="rId44" Type="http://schemas.openxmlformats.org/officeDocument/2006/relationships/image" Target="media/image15.jpeg"/><Relationship Id="rId45" Type="http://schemas.openxmlformats.org/officeDocument/2006/relationships/image" Target="media/image15.jpeg" TargetMode="External"/><Relationship Id="rId46" Type="http://schemas.openxmlformats.org/officeDocument/2006/relationships/image" Target="media/image16.jpeg"/><Relationship Id="rId47" Type="http://schemas.openxmlformats.org/officeDocument/2006/relationships/image" Target="media/image16.jpeg" TargetMode="External"/><Relationship Id="rId48" Type="http://schemas.openxmlformats.org/officeDocument/2006/relationships/image" Target="media/image17.jpeg"/><Relationship Id="rId49" Type="http://schemas.openxmlformats.org/officeDocument/2006/relationships/image" Target="media/image17.jpeg" TargetMode="External"/><Relationship Id="rId50" Type="http://schemas.openxmlformats.org/officeDocument/2006/relationships/header" Target="header13.xml"/><Relationship Id="rId51" Type="http://schemas.openxmlformats.org/officeDocument/2006/relationships/footer" Target="footer10.xml"/><Relationship Id="rId52" Type="http://schemas.openxmlformats.org/officeDocument/2006/relationships/header" Target="header14.xml"/><Relationship Id="rId53" Type="http://schemas.openxmlformats.org/officeDocument/2006/relationships/footer" Target="footer11.xml"/><Relationship Id="rId54" Type="http://schemas.openxmlformats.org/officeDocument/2006/relationships/header" Target="header15.xml"/><Relationship Id="rId55" Type="http://schemas.openxmlformats.org/officeDocument/2006/relationships/footer" Target="footer12.xm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