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012, DE 01 DE JULHO DE 2026.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CONCEDE Gratificação de Tempo Integral a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/>
        <w:ind w:left="508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Servidora Comissionada da Câmara Municipal de Itacoatiara e dá outras providências.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(CMI),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legais que lhe são conferidas pela Lei Orgânica do Município e pelo regimento interno,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(Regimento Interno) da CMI, que trata das competências do Presidente da Câmara, em especial, o inciso XXXIV;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009 de 21/10/2024, promulgada pela CMI, que altera a redação e acrescenta incisos ao Art. 83 da Lei n° 006 de 15/07/2019 da CMI.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atender a encargos de responsabilidade inerentes ao bom funcionamento dos serviços da Câmara Municipal de Itacoatiara,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20" w:line="31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Gratificação de Tempo Integral de 50% (cinquenta por cento) a Servidora Comissionada da Câmara Municipal de Itacoatiara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JESSIKA KELLEN DA SILVA TEIXEIRA,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n° 1490-1, no Cargo de Diretor Administrativo nos termos do Art. 83, inciso D, da Lei n° 006 de 15/07/2019.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revogando as disposições em contrário, conforme preceitua a Lei Orgânica do Município.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PUBLIQUE-SE 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Arialdo Guimarães da Silva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Presidente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1627" w:left="1397" w:right="848" w:bottom="57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2537460</wp:posOffset>
              </wp:positionH>
              <wp:positionV relativeFrom="page">
                <wp:posOffset>10378440</wp:posOffset>
              </wp:positionV>
              <wp:extent cx="281178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('9213521-1828 -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9.80000000000001pt;margin-top:817.20000000000005pt;width:221.4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('9213521-1828 -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1088390</wp:posOffset>
              </wp:positionH>
              <wp:positionV relativeFrom="page">
                <wp:posOffset>10357485</wp:posOffset>
              </wp:positionV>
              <wp:extent cx="588899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889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00000000000003pt;margin-top:815.54999999999995pt;width:463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1618615</wp:posOffset>
              </wp:positionH>
              <wp:positionV relativeFrom="page">
                <wp:posOffset>214630</wp:posOffset>
              </wp:positionV>
              <wp:extent cx="1929130" cy="5213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7.45pt;margin-top:16.899999999999999pt;width:151.90000000000001pt;height:41.04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1540510</wp:posOffset>
              </wp:positionH>
              <wp:positionV relativeFrom="page">
                <wp:posOffset>863600</wp:posOffset>
              </wp:positionV>
              <wp:extent cx="547751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3pt;margin-top:68.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8">
    <w:name w:val="Body text|3_"/>
    <w:basedOn w:val="DefaultParagraphFont"/>
    <w:link w:val="Style17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60" w:line="307" w:lineRule="auto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320" w:line="30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1260"/>
      <w:ind w:left="450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