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DP N° 011, DE 01 DE JULHO DE 2026.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10" w:lineRule="auto"/>
        <w:ind w:left="510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 Arialdo Guimarães da Silva, Presidente da Câmara Municipal de Itacoatiara- AM, no uso de suas atribuições legais, que lhe são conferidas pelo Regimento Interno Art, 11, inciso XXXIV do Regimento Interno da Câmara Municipal de Itacoatiara,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11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dizeres contidos no Artigo n° 32 da Lei Municipal n° 006 de 15 de julho de 2019, que estabelece regras para concessão de Adicional de Escolaridade, concedidas aos Servidores Efetivos da Câmara Municipal de Itacoatiara.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312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em razão da profissionalização além da exigência mínima de escolaridade, será devido ao Servidor Efetivo Adicional de Escolaridade, de Nível de Graduação o percentual de 20% (20 por cento) sobre o vencimento base,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11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 - INCLUIR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MILDO DE CASTRO LIMA,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Motorista (MOT), com matrícula n° 1513-1, Servidor Efetivo do Quadro de Pessoal desta Casa, o percentual de 20% (vinte por cento) no seu vencimento base;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11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Revogadas as disposições em contrário, esta Portaria entra em vigor na data de sua publicação, nos termos da legislação vigente.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11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REGISTRE-SE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PUBLIQUE-SE ARQUIVE-SE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Itacoatiara, em 01 de julho de 2026.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80" w:line="211" w:lineRule="auto"/>
        <w:ind w:left="0" w:right="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Arialdo Guimarães da Silva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Presidente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foi publicada de acordo com a Lei n° 12.527 de 18/11/2011 (Lei de Acesso à Informação) e de acordo com a Lei Orgânica do Município de Itacoatiara.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headerReference w:type="default" r:id="rId5"/>
      <w:footerReference w:type="default" r:id="rId6"/>
      <w:footnotePr>
        <w:pos w:val="pageBottom"/>
        <w:numFmt w:val="decimal"/>
        <w:numRestart w:val="continuous"/>
      </w:footnotePr>
      <w:pgSz w:w="11900" w:h="16840"/>
      <w:pgMar w:top="1656" w:left="1382" w:right="848" w:bottom="583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2533015</wp:posOffset>
              </wp:positionH>
              <wp:positionV relativeFrom="page">
                <wp:posOffset>10368915</wp:posOffset>
              </wp:positionV>
              <wp:extent cx="2811780" cy="7302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178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Paraue. 1452 - Iraci - 69101-053 - Fones: Í92) 3521-1828 - Itacoatiara/AM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199.44999999999999pt;margin-top:816.45000000000005pt;width:221.40000000000001pt;height:5.7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Paraue. 1452 - Iraci - 69101-053 - Fones: Í92) 3521-1828 - Itacoatiara/AM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1618615</wp:posOffset>
              </wp:positionH>
              <wp:positionV relativeFrom="page">
                <wp:posOffset>214630</wp:posOffset>
              </wp:positionV>
              <wp:extent cx="1934210" cy="5168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4210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MUNICÍPIO DE ITACOATIARA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27.45pt;margin-top:16.899999999999999pt;width:152.30000000000001pt;height:40.700000000000003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MUNICÍPIO DE ITACOATIARA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1540510</wp:posOffset>
              </wp:positionH>
              <wp:positionV relativeFrom="page">
                <wp:posOffset>861695</wp:posOffset>
              </wp:positionV>
              <wp:extent cx="5477510" cy="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775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21.3pt;margin-top:67.849999999999994pt;width:431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Body text|2_"/>
    <w:basedOn w:val="DefaultParagraphFont"/>
    <w:link w:val="Style13"/>
    <w:rPr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CharStyle16">
    <w:name w:val="Body text|3_"/>
    <w:basedOn w:val="DefaultParagraphFont"/>
    <w:link w:val="Style15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32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320" w:line="300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  <w:spacing w:after="2240"/>
      <w:ind w:left="4520"/>
    </w:pPr>
    <w:rPr>
      <w:b/>
      <w:bCs/>
      <w:i/>
      <w:iCs/>
      <w:smallCaps w:val="0"/>
      <w:strike w:val="0"/>
      <w:sz w:val="19"/>
      <w:szCs w:val="19"/>
      <w:u w:val="none"/>
    </w:rPr>
  </w:style>
  <w:style w:type="paragraph" w:customStyle="1" w:styleId="Style15">
    <w:name w:val="Body text|3"/>
    <w:basedOn w:val="Normal"/>
    <w:link w:val="CharStyle16"/>
    <w:pPr>
      <w:widowControl w:val="0"/>
      <w:shd w:val="clear" w:color="auto" w:fill="FFFFFF"/>
      <w:spacing w:after="320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