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15950" cy="65214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6521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1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006, DE 01 DE ABRIL DE 2026.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CONCEDE Gratificação de Produtividade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</w:t>
      </w:r>
      <w:bookmarkEnd w:id="1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50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Servidor da Câmara Municipal de Itacoatiara e dá outras providências.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14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(CMI),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legais que lhe são conferidas pela Lei Orgânica do Município e pelo Regimento Interno,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06 de 13/12/2010 (Regimento Interno) da CMI, que trata das competências do Presidente da Câmara, em especial o inciso XXXIV;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15/07/2019 e da Lei n° 009 de 21/10/2024 promulgadas pela CMI,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20" w:line="314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14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Gratificação de Produtividade de 20% (vinte por cento) 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MYURI ODA MACIEL RESK,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Matrícula n° 1502-1, nos termos do Art. 81, inciso I, da Lei 006 de 15/07/2019.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II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função da concessão concedida acima, o Servidor supracitado deverá cumprir 02 (duas) horas de trabalho por dia pós-expediente, nos termos de Art. 81, §1°, inciso I, da Lei 006 de 15/07/2019.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60" w:line="312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Hl - Esta Portaria entra em vigor na data de sua publicação, com efeitos a partir de 02/02/2025 revogando as disposições em contrário, conforme preceitua a Lei Orgânica do Município.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01 de abril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55775" cy="70104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55775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60" w:line="240" w:lineRule="auto"/>
        <w:ind w:left="4500" w:right="0" w:firstLine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806" w:left="1383" w:right="869" w:bottom="446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2524125</wp:posOffset>
              </wp:positionH>
              <wp:positionV relativeFrom="page">
                <wp:posOffset>10410190</wp:posOffset>
              </wp:positionV>
              <wp:extent cx="2816225" cy="7302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622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Paroue. 1452 - Iraci - 69101-053 - Fones: 692)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98.75pt;margin-top:819.70000000000005pt;width:221.75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Paroue. 1452 - Iraci - 69101-053 - Fones: 692)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2922270</wp:posOffset>
              </wp:positionH>
              <wp:positionV relativeFrom="page">
                <wp:posOffset>10396220</wp:posOffset>
              </wp:positionV>
              <wp:extent cx="4041775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041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30.09999999999999pt;margin-top:818.60000000000002pt;width:318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1605280</wp:posOffset>
              </wp:positionH>
              <wp:positionV relativeFrom="page">
                <wp:posOffset>237490</wp:posOffset>
              </wp:positionV>
              <wp:extent cx="1929130" cy="5118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6.40000000000001pt;margin-top:18.699999999999999pt;width:151.90000000000001pt;height:40.29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1527810</wp:posOffset>
              </wp:positionH>
              <wp:positionV relativeFrom="page">
                <wp:posOffset>876935</wp:posOffset>
              </wp:positionV>
              <wp:extent cx="547751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75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0.3pt;margin-top:69.049999999999997pt;width:431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|2_"/>
    <w:basedOn w:val="DefaultParagraphFont"/>
    <w:link w:val="Style17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32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160" w:line="310" w:lineRule="auto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320" w:line="310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spacing w:after="32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