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33730" cy="7435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3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003, DE 02 DE FEVEREIRO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CONCEDE Gratificação de Produtividade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50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Servidor da Câmara Municipal de Itacoatiara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legais que lhe são conferidas pela Lei Orgânica do Município e pelo Regimento Interno,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06 de 13/12/2010 (Regimento Interno) da CMI, que trata das competências do Presidente da Câmara, em especial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11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15/07/2019 e da Lei n° 009 de 21/10/2024 promulgadas pela CMI,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5" w:val="left"/>
        </w:tabs>
        <w:bidi w:val="0"/>
        <w:spacing w:before="0" w:line="307" w:lineRule="auto"/>
        <w:ind w:left="0" w:right="0" w:firstLine="11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Gratificação de Produtividade de 20% (vinte por cento) 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MONICA FREITAS RODRIGUES,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 n° 1501-1, nos termos do Art. 81, inciso I, da Lei 006 de 15/07/2019.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9" w:val="left"/>
        </w:tabs>
        <w:bidi w:val="0"/>
        <w:spacing w:before="0" w:after="0"/>
        <w:ind w:left="0" w:right="0" w:firstLine="11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função da concessão concedida acima, o Servidor supracitado deverá cumprir 02 (duas) horas de trabalho por dia pós-expediente, nos termos de Art. 81, §1°, inciso I, da Lei 006 de 15/07/2019.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22" w:val="left"/>
        </w:tabs>
        <w:bidi w:val="0"/>
        <w:spacing w:before="0" w:after="1000"/>
        <w:ind w:left="0" w:right="0" w:firstLine="11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Esta Portaria entra em vigor na data de sua publicação, com efeitos a partir de 02/02/2025 revogando as disposições em contrário, conforme preceitua 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02 de fevereiro de 2026.</w:t>
      </w:r>
    </w:p>
    <w:p>
      <w:pPr>
        <w:framePr w:w="1930" w:h="972" w:hSpace="828" w:wrap="notBeside" w:vAnchor="text" w:hAnchor="text" w:x="4270" w:y="1"/>
        <w:widowControl w:val="0"/>
        <w:rPr>
          <w:sz w:val="2"/>
          <w:szCs w:val="2"/>
        </w:rPr>
      </w:pPr>
      <w:r>
        <w:drawing>
          <wp:inline>
            <wp:extent cx="1225550" cy="61595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2555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185035" distR="3434080" simplePos="0" relativeHeight="125829378" behindDoc="0" locked="0" layoutInCell="1" allowOverlap="1">
                <wp:simplePos x="0" y="0"/>
                <wp:positionH relativeFrom="column">
                  <wp:posOffset>2185035</wp:posOffset>
                </wp:positionH>
                <wp:positionV relativeFrom="paragraph">
                  <wp:posOffset>328930</wp:posOffset>
                </wp:positionV>
                <wp:extent cx="502920" cy="1739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Arialdo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72.05000000000001pt;margin-top:25.899999999999999pt;width:39.600000000000001pt;height:13.699999999999999pt;z-index:-125829375;mso-wrap-distance-left:172.05000000000001pt;mso-wrap-distance-right:270.39999999999998pt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Arialdo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Página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06" w:left="1397" w:right="863" w:bottom="425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10424160</wp:posOffset>
              </wp:positionV>
              <wp:extent cx="2802890" cy="7302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289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1452 -Iraci - 69101-053 - Fones: ('92')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9.09999999999999pt;margin-top:820.79999999999995pt;width:220.69999999999999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1452 -Iraci - 69101-053 - Fones: ('92')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10407650</wp:posOffset>
              </wp:positionV>
              <wp:extent cx="607187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1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00000000000003pt;margin-top:819.5pt;width:47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1614170</wp:posOffset>
              </wp:positionH>
              <wp:positionV relativeFrom="page">
                <wp:posOffset>233045</wp:posOffset>
              </wp:positionV>
              <wp:extent cx="1929130" cy="5118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7.09999999999999pt;margin-top:18.350000000000001pt;width:151.90000000000001pt;height:40.29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1540510</wp:posOffset>
              </wp:positionH>
              <wp:positionV relativeFrom="page">
                <wp:posOffset>884555</wp:posOffset>
              </wp:positionV>
              <wp:extent cx="546798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679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1.3pt;margin-top:69.650000000000006pt;width:430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Picture caption|1_"/>
    <w:basedOn w:val="DefaultParagraphFont"/>
    <w:link w:val="Style13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8">
    <w:name w:val="Body text|3_"/>
    <w:basedOn w:val="DefaultParagraphFont"/>
    <w:link w:val="Style17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3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320" w:line="31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2260"/>
      <w:ind w:left="450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