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framePr w:w="1008" w:h="1159" w:hSpace="3211" w:wrap="notBeside" w:vAnchor="text" w:hAnchor="text" w:y="1"/>
        <w:widowControl w:val="0"/>
        <w:rPr>
          <w:sz w:val="2"/>
          <w:szCs w:val="2"/>
        </w:rPr>
      </w:pPr>
      <w:r>
        <w:drawing>
          <wp:inline>
            <wp:extent cx="640080" cy="7378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0080" cy="7378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4251960" simplePos="0" relativeHeight="125829378" behindDoc="0" locked="0" layoutInCell="1" allowOverlap="1">
                <wp:simplePos x="0" y="0"/>
                <wp:positionH relativeFrom="column">
                  <wp:posOffset>708660</wp:posOffset>
                </wp:positionH>
                <wp:positionV relativeFrom="paragraph">
                  <wp:posOffset>22860</wp:posOffset>
                </wp:positionV>
                <wp:extent cx="1970405" cy="704215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0405" cy="704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 xml:space="preserve">MUNICÍPIO DE ITACOATIARA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Poder Legislativo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Câmara Municipal de Itacoatiara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Diretoria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do Departamento de Pessoal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5.799999999999997pt;margin-top:1.8pt;width:155.15000000000001pt;height:55.450000000000003pt;z-index:-125829375;mso-wrap-distance-left:0;mso-wrap-distance-right:334.80000000000001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 xml:space="preserve">MUNICÍPIO DE ITACOATIARA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Poder Legislativo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Câmara Municipal de Itacoatiara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Diretoria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do Departamento de Pessoal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002, DE 02 DE FEVEREIRO DE 2026.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Vereador Arialdo Guimarães da Silva, Presidente da Câmara Municipal de Itacoatiara- AM, no uso de suas atribuições legais, que lhe são conferidas pelo Regimento Interno Art, 11, inciso XXXTV do Regimento Interno da Câmara Municipal de Itacoatiara,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escala de Férias para o ano de 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2" w:val="left"/>
        </w:tabs>
        <w:bidi w:val="0"/>
        <w:spacing w:before="0" w:after="54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nos terrpos da Legislação em vigor, 30 (Trinta) dias de Férias aos Servidores abaixo relacionados:</w:t>
      </w:r>
    </w:p>
    <w:tbl>
      <w:tblPr>
        <w:tblOverlap w:val="never"/>
        <w:jc w:val="center"/>
        <w:tblLayout w:type="fixed"/>
      </w:tblPr>
      <w:tblGrid>
        <w:gridCol w:w="576"/>
        <w:gridCol w:w="3895"/>
        <w:gridCol w:w="2686"/>
        <w:gridCol w:w="2642"/>
      </w:tblGrid>
      <w:tr>
        <w:trPr>
          <w:trHeight w:val="3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Aquisitivo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Concessão</w:t>
            </w:r>
          </w:p>
        </w:tc>
      </w:tr>
      <w:tr>
        <w:trPr>
          <w:trHeight w:val="3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Aline France Lopes Farias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02/02/2026 a 03/03/2026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Fabricio de Freitas Serrao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02/02/2026 a 03/03/2026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Jonas Pereira Vasconcelos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02/02/2026 a 03/03/2026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Liandro Gomes da Silva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02/02/2026 a 03/03/2026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Lucas Farias da Silva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02/02/2026 a 03/03/2026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Nelli Maria Carvalho Sena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02/02/2026 a 03/03/2026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Rafaelson Alves dos Santos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02/02/2026 a 03/03/2026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Raizzy Ludmila Gadelha Sampaio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02/02/2026 a 03/03/2026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Suziane dos Santos de Macedo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02/02/2026 a 03/03/2026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Tatiane Marques Damasceno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02/02/2026 a 03/03/2026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64" w:val="left"/>
        </w:tabs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do abono regulamentar de 1/3 sobre as férias, a ser incluído na Folha de Pagamento do corrente mês.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57" w:val="left"/>
        </w:tabs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Revogadas as disposições em contrário, esta Portaria entra em vigor na data de sua publicação, nos termos da Lei Orgânica do Município.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REGISTRE-SE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ARQUIVE-SE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Itacoatiara, em 02 de fevereiro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49425" cy="609600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49425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7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4580" w:right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Esta Portaria foi publicada de acordo com a Lei n° 12.527 de 18/11/2011 (Lei de Acesso à Informação) e de acordo com a Lei Orgânica do Município de Itacoatiara.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footerReference w:type="default" r:id="rId9"/>
      <w:footnotePr>
        <w:pos w:val="pageBottom"/>
        <w:numFmt w:val="decimal"/>
        <w:numRestart w:val="continuous"/>
      </w:footnotePr>
      <w:pgSz w:w="11900" w:h="16840"/>
      <w:pgMar w:top="305" w:left="1301" w:right="800" w:bottom="300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2526665</wp:posOffset>
              </wp:positionH>
              <wp:positionV relativeFrom="page">
                <wp:posOffset>10421620</wp:posOffset>
              </wp:positionV>
              <wp:extent cx="2802890" cy="730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0289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Parque. 1452 - Iraci - 69101-053 - Fones: (92)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8.94999999999999pt;margin-top:820.60000000000002pt;width:220.69999999999999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Parque. 1452 - Iraci - 69101-053 - Fones: (92)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|1_"/>
    <w:basedOn w:val="DefaultParagraphFont"/>
    <w:link w:val="Style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|2_"/>
    <w:basedOn w:val="DefaultParagraphFont"/>
    <w:link w:val="Style17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76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26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260"/>
      <w:ind w:firstLine="2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spacing w:after="260"/>
      <w:ind w:firstLine="2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Body text|2"/>
    <w:basedOn w:val="Normal"/>
    <w:link w:val="CharStyle18"/>
    <w:pPr>
      <w:widowControl w:val="0"/>
      <w:shd w:val="clear" w:color="auto" w:fill="FFFFFF"/>
      <w:spacing w:after="260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