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left"/>
        <w:rPr>
          <w:sz w:val="2"/>
          <w:szCs w:val="2"/>
        </w:rPr>
      </w:pPr>
      <w:r>
        <w:drawing>
          <wp:inline>
            <wp:extent cx="640080" cy="74358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0080" cy="7435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59" w:line="1" w:lineRule="exact"/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DP N° 012, DE 01 DE JULHO DE 2026.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08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NOMEIA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Cargo de Provimento em Comissão que especifica, do Quadro de Pessoal da Câmara Municipal de Itacoatiara, e dá outras providências.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Presidente da Câmara Municipal de Itacoatiara-AM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(CMI), no uso de suas atribuições legais que lhe são conferidas pela Lei Orgânica do Município e pelo Regime Interno.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da Resolução Legislativa n° 6 de 13/12/2010 (Regime Interno) da CMI, que trata das competências do Presidente da Câmara, em especial, o inciso XXXIV;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006 de 19/07/2019 e a Lei n° 009 de 21/10/2024, promulgadas pela CMI;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00" w:line="271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PT" w:eastAsia="pt-PT" w:bidi="pt-PT"/>
        </w:rPr>
        <w:t>DECRETA: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Ficam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NOMEADA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pessoa abaixo relacionada, para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 de Provimento em Comissão: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1580" w:right="0" w:hanging="36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1. JESSIKA KELLEN DA SILVA TEIXEIRA,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Cargo de Diretor Administrativo (Símbolo CC-3);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52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Revogadas as disposições em contrário, este Decreto entra em vigor na data de sua publicação, nos termos da Lei Orgânica do Município.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Gabinete da Presidência da Câmara Municipal de Itacoatiara, em 01 de julho de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749425" cy="70739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749425" cy="7073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59"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Este Decreto foi publicado de acordo com a Lei n° 12.527 de 18/11/2011 (Lei de Acesso à Informação) e de acordo com a Lei Orgânica do Município de Itacoatiara.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headerReference w:type="default" r:id="rId9"/>
      <w:footerReference w:type="default" r:id="rId10"/>
      <w:footnotePr>
        <w:pos w:val="pageBottom"/>
        <w:numFmt w:val="decimal"/>
        <w:numRestart w:val="continuous"/>
      </w:footnotePr>
      <w:pgSz w:w="11900" w:h="16840"/>
      <w:pgMar w:top="814" w:left="1390" w:right="856" w:bottom="482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2533015</wp:posOffset>
              </wp:positionH>
              <wp:positionV relativeFrom="page">
                <wp:posOffset>10387330</wp:posOffset>
              </wp:positionV>
              <wp:extent cx="2811780" cy="7302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178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Paraue. 1452 - Iraci - 69101-053 - Fones: ('9213521-1828 -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99.44999999999999pt;margin-top:817.89999999999998pt;width:221.40000000000001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Paraue. 1452 - Iraci - 69101-053 - Fones: ('9213521-1828 -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895985</wp:posOffset>
              </wp:positionH>
              <wp:positionV relativeFrom="page">
                <wp:posOffset>10368915</wp:posOffset>
              </wp:positionV>
              <wp:extent cx="6076315" cy="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63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549999999999997pt;margin-top:816.45000000000005pt;width:478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1614170</wp:posOffset>
              </wp:positionH>
              <wp:positionV relativeFrom="page">
                <wp:posOffset>233045</wp:posOffset>
              </wp:positionV>
              <wp:extent cx="1929130" cy="51689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ITACOATIARA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27.09999999999999pt;margin-top:18.350000000000001pt;width:151.90000000000001pt;height:40.700000000000003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ITACOATIARA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1536065</wp:posOffset>
              </wp:positionH>
              <wp:positionV relativeFrom="page">
                <wp:posOffset>880110</wp:posOffset>
              </wp:positionV>
              <wp:extent cx="5477510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775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20.95pt;margin-top:69.299999999999997pt;width:431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Body text|2_"/>
    <w:basedOn w:val="DefaultParagraphFont"/>
    <w:link w:val="Style13"/>
    <w:rPr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CharStyle16">
    <w:name w:val="Body text|3_"/>
    <w:basedOn w:val="DefaultParagraphFont"/>
    <w:link w:val="Style15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26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260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  <w:spacing w:after="3000"/>
      <w:ind w:left="4500" w:firstLine="20"/>
    </w:pPr>
    <w:rPr>
      <w:b/>
      <w:bCs/>
      <w:i/>
      <w:iCs/>
      <w:smallCaps w:val="0"/>
      <w:strike w:val="0"/>
      <w:sz w:val="19"/>
      <w:szCs w:val="19"/>
      <w:u w:val="none"/>
    </w:rPr>
  </w:style>
  <w:style w:type="paragraph" w:customStyle="1" w:styleId="Style15">
    <w:name w:val="Body text|3"/>
    <w:basedOn w:val="Normal"/>
    <w:link w:val="CharStyle16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