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3154" w:h="317" w:wrap="none" w:hAnchor="page" w:x="2463" w:y="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MUNICÍPIO DE ITACOATIARA</w:t>
      </w:r>
    </w:p>
    <w:p>
      <w:pPr>
        <w:pStyle w:val="Style2"/>
        <w:keepNext w:val="0"/>
        <w:keepLines w:val="0"/>
        <w:framePr w:w="2671" w:h="554" w:wrap="none" w:hAnchor="page" w:x="2514" w:y="34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Poder Legislativo</w:t>
      </w:r>
    </w:p>
    <w:p>
      <w:pPr>
        <w:pStyle w:val="Style2"/>
        <w:keepNext w:val="0"/>
        <w:keepLines w:val="0"/>
        <w:framePr w:w="2671" w:h="554" w:wrap="none" w:hAnchor="page" w:x="2514" w:y="3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Câmara Municipal de Itacoatiara</w:t>
      </w:r>
    </w:p>
    <w:p>
      <w:pPr>
        <w:pStyle w:val="Style5"/>
        <w:keepNext/>
        <w:keepLines/>
        <w:framePr w:w="6682" w:h="360" w:wrap="none" w:hAnchor="page" w:x="2867" w:y="13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DECRETO DP N° 011, DE 01 DE JULHO DE 2026.</w:t>
      </w:r>
      <w:bookmarkEnd w:id="0"/>
    </w:p>
    <w:p>
      <w:pPr>
        <w:pStyle w:val="Style7"/>
        <w:keepNext w:val="0"/>
        <w:keepLines w:val="0"/>
        <w:framePr w:w="4572" w:h="1102" w:wrap="none" w:hAnchor="page" w:x="6467" w:y="1959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EXONERA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dos Cargos de Provimento em Comissão que especifica, do Quadro de Pessoal da Câmara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Municipal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Itacoatiara, e dá outras providências.</w:t>
      </w:r>
    </w:p>
    <w:p>
      <w:pPr>
        <w:pStyle w:val="Style10"/>
        <w:keepNext/>
        <w:keepLines/>
        <w:framePr w:w="8510" w:h="317" w:wrap="none" w:hAnchor="page" w:x="2521" w:y="33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O Presidente da Câmara Municipal de Itacoatiara-AM (CMI), </w:t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no uso de suas</w:t>
      </w:r>
      <w:bookmarkEnd w:id="1"/>
    </w:p>
    <w:p>
      <w:pPr>
        <w:pStyle w:val="Style7"/>
        <w:keepNext w:val="0"/>
        <w:keepLines w:val="0"/>
        <w:framePr w:w="8863" w:h="310" w:wrap="none" w:hAnchor="page" w:x="1398" w:y="36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atribuições legais que lhe são conferidas pela Lei Orgânica do Município e pelo Regime Interno.</w:t>
      </w:r>
    </w:p>
    <w:p>
      <w:pPr>
        <w:pStyle w:val="Style7"/>
        <w:keepNext w:val="0"/>
        <w:keepLines w:val="0"/>
        <w:framePr w:w="8510" w:h="317" w:wrap="none" w:hAnchor="page" w:x="2521" w:y="41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Art. 11 da Resolução Legislativa n° 6 de 13/12/2010 (Regime</w:t>
      </w:r>
    </w:p>
    <w:p>
      <w:pPr>
        <w:pStyle w:val="Style7"/>
        <w:keepNext w:val="0"/>
        <w:keepLines w:val="0"/>
        <w:framePr w:w="9338" w:h="310" w:wrap="none" w:hAnchor="page" w:x="1391" w:y="44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lntemo) da CMI, que trata das competências do Presidente da Câmara, em especial, o inciso XXXIV;</w:t>
      </w:r>
    </w:p>
    <w:p>
      <w:pPr>
        <w:pStyle w:val="Style7"/>
        <w:keepNext w:val="0"/>
        <w:keepLines w:val="0"/>
        <w:framePr w:w="972" w:h="302" w:wrap="none" w:hAnchor="page" w:x="1391" w:y="51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pela CMI;</w:t>
      </w:r>
    </w:p>
    <w:p>
      <w:pPr>
        <w:pStyle w:val="Style7"/>
        <w:keepNext w:val="0"/>
        <w:keepLines w:val="0"/>
        <w:framePr w:w="8503" w:h="310" w:wrap="none" w:hAnchor="page" w:x="2521" w:y="49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Lei n° 006 de 19/07/2019 e a Lei n° 009 de 21/10/2024, promulgadas</w:t>
      </w:r>
    </w:p>
    <w:p>
      <w:pPr>
        <w:pStyle w:val="Style10"/>
        <w:keepNext/>
        <w:keepLines/>
        <w:framePr w:w="1238" w:h="274" w:wrap="none" w:hAnchor="page" w:x="5581" w:y="59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DECRETA:</w:t>
      </w:r>
      <w:bookmarkEnd w:id="2"/>
    </w:p>
    <w:p>
      <w:pPr>
        <w:pStyle w:val="Style7"/>
        <w:keepNext w:val="0"/>
        <w:keepLines w:val="0"/>
        <w:framePr w:w="8518" w:h="317" w:wrap="none" w:hAnchor="page" w:x="2514" w:y="64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Art. I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Ficam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EXONERADAS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as pessoas abaixo relacionadas, dos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respectivos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Cargos de</w:t>
      </w:r>
    </w:p>
    <w:p>
      <w:pPr>
        <w:pStyle w:val="Style7"/>
        <w:keepNext w:val="0"/>
        <w:keepLines w:val="0"/>
        <w:framePr w:w="2455" w:h="302" w:wrap="none" w:hAnchor="page" w:x="1391" w:y="67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Provimento em Comissão:</w:t>
      </w:r>
    </w:p>
    <w:p>
      <w:pPr>
        <w:pStyle w:val="Style7"/>
        <w:keepNext w:val="0"/>
        <w:keepLines w:val="0"/>
        <w:framePr w:w="8539" w:h="2981" w:wrap="none" w:hAnchor="page" w:x="2507" w:y="7554"/>
        <w:widowControl w:val="0"/>
        <w:numPr>
          <w:ilvl w:val="0"/>
          <w:numId w:val="1"/>
        </w:numPr>
        <w:shd w:val="clear" w:color="auto" w:fill="auto"/>
        <w:tabs>
          <w:tab w:pos="187" w:val="left"/>
        </w:tabs>
        <w:bidi w:val="0"/>
        <w:spacing w:before="0" w:after="12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JESSIKA KELLEN DA SILVA TEIXEIRA,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 Cargo de Assessor de Apoio</w:t>
      </w:r>
    </w:p>
    <w:p>
      <w:pPr>
        <w:pStyle w:val="Style7"/>
        <w:keepNext w:val="0"/>
        <w:keepLines w:val="0"/>
        <w:framePr w:w="8539" w:h="2981" w:wrap="none" w:hAnchor="page" w:x="2507" w:y="7554"/>
        <w:widowControl w:val="0"/>
        <w:shd w:val="clear" w:color="auto" w:fill="auto"/>
        <w:bidi w:val="0"/>
        <w:spacing w:before="0" w:after="120" w:line="240" w:lineRule="auto"/>
        <w:ind w:left="44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Legislativo (Símbolo CC-7);</w:t>
      </w:r>
    </w:p>
    <w:p>
      <w:pPr>
        <w:pStyle w:val="Style7"/>
        <w:keepNext w:val="0"/>
        <w:keepLines w:val="0"/>
        <w:framePr w:w="8539" w:h="2981" w:wrap="none" w:hAnchor="page" w:x="2507" w:y="7554"/>
        <w:widowControl w:val="0"/>
        <w:numPr>
          <w:ilvl w:val="0"/>
          <w:numId w:val="1"/>
        </w:numPr>
        <w:shd w:val="clear" w:color="auto" w:fill="auto"/>
        <w:tabs>
          <w:tab w:pos="209" w:val="left"/>
        </w:tabs>
        <w:bidi w:val="0"/>
        <w:spacing w:before="0" w:after="12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JOAO VICTOR SANTIAGO DE SOUZA,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 Cargo de Assessor de Comissão</w:t>
      </w:r>
    </w:p>
    <w:p>
      <w:pPr>
        <w:pStyle w:val="Style7"/>
        <w:keepNext w:val="0"/>
        <w:keepLines w:val="0"/>
        <w:framePr w:w="8539" w:h="2981" w:wrap="none" w:hAnchor="page" w:x="2507" w:y="7554"/>
        <w:widowControl w:val="0"/>
        <w:shd w:val="clear" w:color="auto" w:fill="auto"/>
        <w:bidi w:val="0"/>
        <w:spacing w:before="0" w:after="120" w:line="240" w:lineRule="auto"/>
        <w:ind w:left="44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Técnica Permanente (Símbolo CC-7);</w:t>
      </w:r>
    </w:p>
    <w:p>
      <w:pPr>
        <w:pStyle w:val="Style7"/>
        <w:keepNext w:val="0"/>
        <w:keepLines w:val="0"/>
        <w:framePr w:w="8539" w:h="2981" w:wrap="none" w:hAnchor="page" w:x="2507" w:y="7554"/>
        <w:widowControl w:val="0"/>
        <w:numPr>
          <w:ilvl w:val="0"/>
          <w:numId w:val="1"/>
        </w:numPr>
        <w:shd w:val="clear" w:color="auto" w:fill="auto"/>
        <w:tabs>
          <w:tab w:pos="216" w:val="left"/>
        </w:tabs>
        <w:bidi w:val="0"/>
        <w:spacing w:before="0" w:after="12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LEANDRO DE SOUZA BARBOSA,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 Cargo de Assessor de Comissão Técnica</w:t>
      </w:r>
    </w:p>
    <w:p>
      <w:pPr>
        <w:pStyle w:val="Style7"/>
        <w:keepNext w:val="0"/>
        <w:keepLines w:val="0"/>
        <w:framePr w:w="8539" w:h="2981" w:wrap="none" w:hAnchor="page" w:x="2507" w:y="7554"/>
        <w:widowControl w:val="0"/>
        <w:shd w:val="clear" w:color="auto" w:fill="auto"/>
        <w:bidi w:val="0"/>
        <w:spacing w:before="0" w:after="420" w:line="240" w:lineRule="auto"/>
        <w:ind w:left="44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Permanente (Símbolo CC-7).</w:t>
      </w:r>
    </w:p>
    <w:p>
      <w:pPr>
        <w:pStyle w:val="Style7"/>
        <w:keepNext w:val="0"/>
        <w:keepLines w:val="0"/>
        <w:framePr w:w="8539" w:h="2981" w:wrap="none" w:hAnchor="page" w:x="2507" w:y="7554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Art. 2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Revogadas as disposições em contrário, este Decreto entra em vigor na data de sua</w:t>
      </w:r>
    </w:p>
    <w:p>
      <w:pPr>
        <w:pStyle w:val="Style7"/>
        <w:keepNext w:val="0"/>
        <w:keepLines w:val="0"/>
        <w:framePr w:w="5018" w:h="317" w:wrap="none" w:hAnchor="page" w:x="1383" w:y="104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publicação, nos termos da Lei Orgânica do Município.</w:t>
      </w:r>
    </w:p>
    <w:p>
      <w:pPr>
        <w:pStyle w:val="Style7"/>
        <w:keepNext w:val="0"/>
        <w:keepLines w:val="0"/>
        <w:framePr w:w="8453" w:h="295" w:wrap="none" w:hAnchor="page" w:x="1974" w:y="115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Gabinete da Presidência da Câmara Municipal de Itacoatiara, em 01 de julho de 2026.</w:t>
      </w:r>
    </w:p>
    <w:p>
      <w:pPr>
        <w:pStyle w:val="Style2"/>
        <w:keepNext w:val="0"/>
        <w:keepLines w:val="0"/>
        <w:framePr w:w="792" w:h="274" w:wrap="none" w:hAnchor="page" w:x="4811" w:y="128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Arialdo</w:t>
      </w:r>
    </w:p>
    <w:p>
      <w:pPr>
        <w:pStyle w:val="Style2"/>
        <w:keepNext w:val="0"/>
        <w:keepLines w:val="0"/>
        <w:framePr w:w="533" w:h="274" w:wrap="none" w:hAnchor="page" w:x="7057" w:y="128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Silva</w:t>
      </w:r>
    </w:p>
    <w:p>
      <w:pPr>
        <w:widowControl w:val="0"/>
        <w:spacing w:line="360" w:lineRule="exact"/>
      </w:pPr>
      <w:r>
        <w:drawing>
          <wp:anchor distT="0" distB="0" distL="0" distR="2057400" simplePos="0" relativeHeight="62914690" behindDoc="1" locked="0" layoutInCell="1" allowOverlap="1">
            <wp:simplePos x="0" y="0"/>
            <wp:positionH relativeFrom="page">
              <wp:posOffset>891540</wp:posOffset>
            </wp:positionH>
            <wp:positionV relativeFrom="margin">
              <wp:posOffset>0</wp:posOffset>
            </wp:positionV>
            <wp:extent cx="615950" cy="65214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15950" cy="65214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534670" distR="338455" simplePos="0" relativeHeight="62914691" behindDoc="1" locked="0" layoutInCell="1" allowOverlap="1">
            <wp:simplePos x="0" y="0"/>
            <wp:positionH relativeFrom="page">
              <wp:posOffset>3589020</wp:posOffset>
            </wp:positionH>
            <wp:positionV relativeFrom="margin">
              <wp:posOffset>7804150</wp:posOffset>
            </wp:positionV>
            <wp:extent cx="890270" cy="658495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890270" cy="65849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66" w:line="1" w:lineRule="exact"/>
      </w:pPr>
    </w:p>
    <w:p>
      <w:pPr>
        <w:widowControl w:val="0"/>
        <w:spacing w:line="1" w:lineRule="exact"/>
        <w:sectPr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331" w:left="1382" w:right="855" w:bottom="361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widowControl w:val="0"/>
        <w:spacing w:line="219" w:lineRule="exact"/>
        <w:rPr>
          <w:sz w:val="18"/>
          <w:szCs w:val="1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31" w:left="0" w:right="0" w:bottom="347" w:header="0" w:footer="3" w:gutter="0"/>
          <w:cols w:space="720"/>
          <w:noEndnote/>
          <w:rtlGutter w:val="0"/>
          <w:docGrid w:linePitch="360"/>
        </w:sectPr>
      </w:pP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260" w:line="233" w:lineRule="auto"/>
        <w:ind w:left="4500" w:right="0" w:firstLine="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Este Decreto foi publicado de acordo com a Lei n° 12.527 de 18/11/2011 (Lei de Acesso à Informação) e de acordo com a Lei Orgânica do Município de Itacoatiara,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Página 1 de 1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331" w:left="1390" w:right="856" w:bottom="347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2528570</wp:posOffset>
              </wp:positionH>
              <wp:positionV relativeFrom="page">
                <wp:posOffset>10401300</wp:posOffset>
              </wp:positionV>
              <wp:extent cx="2816225" cy="7302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816225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PT" w:eastAsia="pt-PT" w:bidi="pt-PT"/>
                            </w:rPr>
                            <w:t>Av. Paraue. 1452 - Iraci - 69101-053 - Fones: Í92) 3521-1828 - Itacoatiara/AM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margin-left:199.09999999999999pt;margin-top:819.pt;width:221.75pt;height:5.75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PT" w:eastAsia="pt-PT" w:bidi="pt-PT"/>
                      </w:rPr>
                      <w:t>Av. Paraue. 1452 - Iraci - 69101-053 - Fones: Í92) 3521-1828 - Itacoatiara/AM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891540</wp:posOffset>
              </wp:positionH>
              <wp:positionV relativeFrom="page">
                <wp:posOffset>10377805</wp:posOffset>
              </wp:positionV>
              <wp:extent cx="6076315" cy="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07631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0.200000000000003pt;margin-top:817.14999999999998pt;width:478.44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Picture caption|1_"/>
    <w:basedOn w:val="DefaultParagraphFont"/>
    <w:link w:val="Style2"/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6">
    <w:name w:val="Heading #1|1_"/>
    <w:basedOn w:val="DefaultParagraphFont"/>
    <w:link w:val="Style5"/>
    <w:rPr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8">
    <w:name w:val="Body text|1_"/>
    <w:basedOn w:val="DefaultParagraphFont"/>
    <w:link w:val="Style7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1">
    <w:name w:val="Heading #2|1_"/>
    <w:basedOn w:val="DefaultParagraphFont"/>
    <w:link w:val="Style10"/>
    <w:rPr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6">
    <w:name w:val="Header or footer|2_"/>
    <w:basedOn w:val="DefaultParagraphFont"/>
    <w:link w:val="Style15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0">
    <w:name w:val="Body text|2_"/>
    <w:basedOn w:val="DefaultParagraphFont"/>
    <w:link w:val="Style19"/>
    <w:rPr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2">
    <w:name w:val="Picture caption|1"/>
    <w:basedOn w:val="Normal"/>
    <w:link w:val="CharStyle3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5">
    <w:name w:val="Heading #1|1"/>
    <w:basedOn w:val="Normal"/>
    <w:link w:val="CharStyle6"/>
    <w:pPr>
      <w:widowControl w:val="0"/>
      <w:shd w:val="clear" w:color="auto" w:fill="FFFFFF"/>
      <w:outlineLvl w:val="0"/>
    </w:pPr>
    <w:rPr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7">
    <w:name w:val="Body text|1"/>
    <w:basedOn w:val="Normal"/>
    <w:link w:val="CharStyle8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0">
    <w:name w:val="Heading #2|1"/>
    <w:basedOn w:val="Normal"/>
    <w:link w:val="CharStyle11"/>
    <w:pPr>
      <w:widowControl w:val="0"/>
      <w:shd w:val="clear" w:color="auto" w:fill="FFFFFF"/>
      <w:outlineLvl w:val="1"/>
    </w:pPr>
    <w:rPr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15">
    <w:name w:val="Header or footer|2"/>
    <w:basedOn w:val="Normal"/>
    <w:link w:val="CharStyle16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9">
    <w:name w:val="Body text|2"/>
    <w:basedOn w:val="Normal"/>
    <w:link w:val="CharStyle20"/>
    <w:pPr>
      <w:widowControl w:val="0"/>
      <w:shd w:val="clear" w:color="auto" w:fill="FFFFFF"/>
      <w:jc w:val="right"/>
    </w:pPr>
    <w:rPr>
      <w:b w:val="0"/>
      <w:bCs w:val="0"/>
      <w:i w:val="0"/>
      <w:iCs w:val="0"/>
      <w:smallCaps w:val="0"/>
      <w:strike w:val="0"/>
      <w:sz w:val="15"/>
      <w:szCs w:val="15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/Relationships>
</file>