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DP N° 001, DE 02 DE JANEIRO DE 2026.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7" w:lineRule="auto"/>
        <w:ind w:left="510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EXONERA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Cargos de Provimento em Comissão que especifica, do Quadro de Pessoal da Câmara Municipal de Itacoatiara,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52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Presidente da Câmara Municipal de Itacoatiara-AM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de suas atribuições legais que lhe são conferidas pela Lei Orgânica do Município e pelo Regime Interno.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Art. 11 da Resolução Legislativa n° 6 de 13/12/2010 (Regime Interno) da CMI, que trata das competências do Presidente da Câmara, em especial,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inciso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XXXIV;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006 de 19/07/2019 e a Lei n° 009 de 21/10/2024, promulgadas pela CMI;</w:t>
      </w:r>
    </w:p>
    <w:tbl>
      <w:tblPr>
        <w:tblOverlap w:val="never"/>
        <w:jc w:val="center"/>
        <w:tblLayout w:type="fixed"/>
      </w:tblPr>
      <w:tblGrid>
        <w:gridCol w:w="2506"/>
        <w:gridCol w:w="7135"/>
      </w:tblGrid>
      <w:tr>
        <w:trPr>
          <w:trHeight w:val="36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DECRETA:</w:t>
            </w:r>
          </w:p>
        </w:tc>
      </w:tr>
      <w:tr>
        <w:trPr>
          <w:trHeight w:val="6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Art. 1°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Provimento em Comissão: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 xml:space="preserve">EXONERADA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 pessoa abaixo relacionada,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respectivo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Cargo de</w:t>
            </w:r>
          </w:p>
        </w:tc>
      </w:tr>
    </w:tbl>
    <w:p>
      <w:pPr>
        <w:widowControl w:val="0"/>
        <w:spacing w:after="55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560" w:right="0" w:hanging="3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1. DANIEL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GUIMARAES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DA SILVA ALVES,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Assessor Parlamentar (Símbolo CC-7).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Revogadas as disposições em contrário, este Decreto entra em vigor na data de sua publicação, nos termos da Lei Orgânica do Município.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Gabinete da Presidência da Câmara Municipal de Itacoatiara, em 02 de janeiro de 2026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31010" cy="5854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31010" cy="5854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47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20" w:line="240" w:lineRule="auto"/>
        <w:ind w:left="450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Este Decreto foi publicado de acordo com a Lei n° 12.527 de 18/11/2011 (Lei de Acesso à Informação) e de acordo com a Lei Orgânica do Município de Itacoatiara.</w:t>
      </w:r>
    </w:p>
    <w:p>
      <w:pPr>
        <w:pStyle w:val="Style1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1 de 1</w:t>
      </w:r>
    </w:p>
    <w:sectPr>
      <w:headerReference w:type="default" r:id="rId7"/>
      <w:footerReference w:type="default" r:id="rId8"/>
      <w:footnotePr>
        <w:pos w:val="pageBottom"/>
        <w:numFmt w:val="decimal"/>
        <w:numRestart w:val="continuous"/>
      </w:footnotePr>
      <w:pgSz w:w="11900" w:h="16840"/>
      <w:pgMar w:top="1684" w:left="1375" w:right="869" w:bottom="482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2510155</wp:posOffset>
              </wp:positionH>
              <wp:positionV relativeFrom="page">
                <wp:posOffset>10428605</wp:posOffset>
              </wp:positionV>
              <wp:extent cx="2811780" cy="774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178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Parque. 1452 - Iraci - 69101-053 - Fones: ('92') 3521-1828 - Itacoatiara,'AM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97.65000000000001pt;margin-top:821.14999999999998pt;width:221.40000000000001pt;height:6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Parque. 1452 - Iraci - 69101-053 - Fones: ('92') 3521-1828 - Itacoatiara,'AM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873125</wp:posOffset>
              </wp:positionH>
              <wp:positionV relativeFrom="page">
                <wp:posOffset>10409555</wp:posOffset>
              </wp:positionV>
              <wp:extent cx="449453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4945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75pt;margin-top:819.64999999999998pt;width:353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1609725</wp:posOffset>
              </wp:positionH>
              <wp:positionV relativeFrom="page">
                <wp:posOffset>223520</wp:posOffset>
              </wp:positionV>
              <wp:extent cx="1934210" cy="51689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421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126.75pt;margin-top:17.600000000000001pt;width:152.30000000000001pt;height:40.700000000000003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1536065</wp:posOffset>
              </wp:positionH>
              <wp:positionV relativeFrom="page">
                <wp:posOffset>882015</wp:posOffset>
              </wp:positionV>
              <wp:extent cx="547243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724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20.95pt;margin-top:69.450000000000003pt;width:430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2_"/>
    <w:basedOn w:val="DefaultParagraphFont"/>
    <w:link w:val="Style16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8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5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spacing w:after="5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