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2240" w:h="15840"/>
          <w:pgMar w:top="533" w:right="2533" w:bottom="538" w:left="251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233" w:lineRule="auto"/>
        <w:ind w:left="0" w:right="0" w:firstLine="0"/>
        <w:jc w:val="center"/>
      </w:pPr>
      <w:r>
        <w:rPr>
          <w:rStyle w:val="CharStyle6"/>
          <w:b/>
          <w:bCs/>
        </w:rPr>
        <w:t>ESTADO DO AMAZONAS</w:t>
        <w:br/>
        <w:t>MUNICÍPIO DE FONTE BOA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33" w:lineRule="auto"/>
        <w:ind w:left="0" w:right="0" w:firstLine="0"/>
        <w:jc w:val="center"/>
      </w:pPr>
      <w:r>
        <w:rPr>
          <w:rStyle w:val="CharStyle6"/>
          <w:b/>
          <w:bCs/>
        </w:rPr>
        <w:t>PREFEITURA MUNICIPAL DE FONTE BOA</w:t>
        <w:br/>
        <w:t>LEI N° 006/2024, DE 10 DE JULHO DE 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180"/>
        <w:jc w:val="left"/>
      </w:pPr>
      <w:r>
        <w:rPr>
          <w:rStyle w:val="CharStyle6"/>
          <w:b/>
          <w:bCs/>
        </w:rPr>
        <w:t>LEI N" 006/2024, DE 10 DE JULHO DE 2024.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80" w:right="0" w:firstLine="20"/>
        <w:jc w:val="both"/>
      </w:pPr>
      <w:r>
        <w:rPr>
          <w:rStyle w:val="CharStyle6"/>
        </w:rPr>
        <w:t>Estima a Receita e fixa a Despesa do Município de Fonte Boa para o Exercício de 2025, e dá outras providências.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180"/>
        <w:jc w:val="left"/>
        <w:rPr>
          <w:sz w:val="20"/>
          <w:szCs w:val="20"/>
        </w:rPr>
      </w:pPr>
      <w:r>
        <w:rPr>
          <w:rStyle w:val="CharStyle6"/>
          <w:b/>
          <w:bCs/>
          <w:i/>
          <w:iCs/>
          <w:sz w:val="20"/>
          <w:szCs w:val="20"/>
        </w:rPr>
        <w:t>O PREFEITO MUNICIPAL DE FONTE BOA: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180" w:right="0" w:firstLine="20"/>
        <w:jc w:val="both"/>
      </w:pPr>
      <w:r>
        <w:rPr>
          <w:rStyle w:val="CharStyle6"/>
        </w:rPr>
        <w:t>Usando das atribuições que lhe são conferidas por Lei, faz saber a todos os habitantes que a Câmara Municipal de Fonte Boa, aprovou e eu sanciono a seguinte,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180"/>
        <w:jc w:val="left"/>
      </w:pPr>
      <w:r>
        <w:rPr>
          <w:rStyle w:val="CharStyle6"/>
          <w:b/>
          <w:bCs/>
        </w:rPr>
        <w:t>I: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30" w:lineRule="auto"/>
        <w:ind w:left="180" w:right="0" w:firstLine="20"/>
        <w:jc w:val="both"/>
      </w:pPr>
      <w:r>
        <w:rPr>
          <w:rStyle w:val="CharStyle6"/>
          <w:b/>
          <w:bCs/>
          <w:u w:val="single"/>
        </w:rPr>
        <w:t>Arti</w:t>
      </w:r>
      <w:r>
        <w:rPr>
          <w:rStyle w:val="CharStyle6"/>
          <w:b/>
          <w:bCs/>
        </w:rPr>
        <w:t>g</w:t>
      </w:r>
      <w:r>
        <w:rPr>
          <w:rStyle w:val="CharStyle6"/>
          <w:b/>
          <w:bCs/>
          <w:u w:val="single"/>
        </w:rPr>
        <w:t>o I</w:t>
      </w:r>
      <w:r>
        <w:rPr>
          <w:rStyle w:val="CharStyle6"/>
          <w:b/>
          <w:bCs/>
          <w:u w:val="single"/>
          <w:vertAlign w:val="superscript"/>
        </w:rPr>
        <w:t>o</w:t>
      </w:r>
      <w:r>
        <w:rPr>
          <w:rStyle w:val="CharStyle6"/>
          <w:b/>
          <w:bCs/>
          <w:u w:val="single"/>
        </w:rPr>
        <w:t xml:space="preserve"> -</w:t>
      </w:r>
      <w:r>
        <w:rPr>
          <w:rStyle w:val="CharStyle6"/>
          <w:b/>
          <w:bCs/>
        </w:rPr>
        <w:t xml:space="preserve"> </w:t>
      </w:r>
      <w:r>
        <w:rPr>
          <w:rStyle w:val="CharStyle6"/>
        </w:rPr>
        <w:t xml:space="preserve">O Orçamento Fiscal do Município de Fonte Boa, abrangendo a Administração Direta, seus Fundos, Órgãos, Autarquias e Fundações, para o Exercício Financeiro de 2025, estima a Receita e fixa a Despesa em </w:t>
      </w:r>
      <w:r>
        <w:rPr>
          <w:rStyle w:val="CharStyle6"/>
          <w:b/>
          <w:bCs/>
          <w:i/>
          <w:iCs/>
          <w:sz w:val="20"/>
          <w:szCs w:val="20"/>
        </w:rPr>
        <w:t xml:space="preserve">R$ 157.476.227,46 (Cento e Cinquenta e Sete Milhões, Quatrocentos e Setenta e Seis Mil, Duzentos e Vinte e Sete Reais e Quarenta e Seis Centavos) </w:t>
      </w:r>
      <w:r>
        <w:rPr>
          <w:rStyle w:val="CharStyle6"/>
        </w:rPr>
        <w:t>discriminados anexos integrantes desta Lei.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80" w:right="0" w:firstLine="20"/>
        <w:jc w:val="both"/>
      </w:pPr>
      <w:r>
        <w:rPr>
          <w:rStyle w:val="CharStyle6"/>
          <w:b/>
          <w:bCs/>
          <w:u w:val="single"/>
        </w:rPr>
        <w:t>Arti</w:t>
      </w:r>
      <w:r>
        <w:rPr>
          <w:rStyle w:val="CharStyle6"/>
          <w:b/>
          <w:bCs/>
        </w:rPr>
        <w:t>g</w:t>
      </w:r>
      <w:r>
        <w:rPr>
          <w:rStyle w:val="CharStyle6"/>
          <w:b/>
          <w:bCs/>
          <w:u w:val="single"/>
        </w:rPr>
        <w:t>o 2</w:t>
      </w:r>
      <w:r>
        <w:rPr>
          <w:rStyle w:val="CharStyle6"/>
          <w:b/>
          <w:bCs/>
          <w:u w:val="single"/>
          <w:vertAlign w:val="superscript"/>
        </w:rPr>
        <w:t>o</w:t>
      </w:r>
      <w:r>
        <w:rPr>
          <w:rStyle w:val="CharStyle6"/>
          <w:b/>
          <w:bCs/>
          <w:u w:val="single"/>
        </w:rPr>
        <w:t xml:space="preserve"> -</w:t>
      </w:r>
      <w:r>
        <w:rPr>
          <w:rStyle w:val="CharStyle6"/>
          <w:b/>
          <w:bCs/>
        </w:rPr>
        <w:t xml:space="preserve"> </w:t>
      </w:r>
      <w:r>
        <w:rPr>
          <w:rStyle w:val="CharStyle6"/>
        </w:rPr>
        <w:t>A Receita será realizada mediante a arrecadação dos tributos, rendas e outras fontes de receitas correntes e de capital, na forma da legislação em vigor e das especificações constantes do anexo integrante desta lei, com o seguinte desdobramento: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180"/>
        <w:jc w:val="left"/>
      </w:pPr>
      <w:r>
        <w:rPr>
          <w:rStyle w:val="CharStyle6"/>
          <w:b/>
          <w:bCs/>
        </w:rPr>
        <w:t>ADMINISTRAÇÃO DIRETA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3019" w:val="left"/>
        </w:tabs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5259705</wp:posOffset>
                </wp:positionH>
                <wp:positionV relativeFrom="paragraph">
                  <wp:posOffset>12700</wp:posOffset>
                </wp:positionV>
                <wp:extent cx="826135" cy="174371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743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u w:val="single"/>
                              </w:rPr>
                              <w:t>155.771.579,96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</w:rPr>
                              <w:t>3.810.668,02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3.557.412,09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</w:rPr>
                              <w:t>1.273.105,42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1.000,00 147.127.071,04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2.323,39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u w:val="single"/>
                              </w:rPr>
                              <w:t>-8.193.646,09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-8.193.646,09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147.577.933,87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9.898.293,59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u w:val="single"/>
                              </w:rPr>
                              <w:t>157.476.227,46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14.15000000000003pt;margin-top:1.pt;width:65.049999999999997pt;height:137.3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u w:val="single"/>
                        </w:rPr>
                        <w:t>155.771.579,96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</w:rPr>
                        <w:t>3.810.668,02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3.557.412,09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</w:rPr>
                        <w:t>1.273.105,42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1.000,00 147.127.071,04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2.323,39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u w:val="single"/>
                        </w:rPr>
                        <w:t>-8.193.646,09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-8.193.646,09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147.577.933,87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9.898.293,59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u w:val="single"/>
                        </w:rPr>
                        <w:t>157.476.227,46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6"/>
          <w:b/>
          <w:bCs/>
          <w:u w:val="single"/>
        </w:rPr>
        <w:t>RECEITAS CORRENTES</w:t>
      </w:r>
      <w:r>
        <w:rPr>
          <w:rStyle w:val="CharStyle6"/>
          <w:b/>
          <w:bCs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30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u w:val="single"/>
        </w:rPr>
        <w:t>RECEITA TRIBUTARIA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u w:val="single"/>
        </w:rPr>
        <w:t>RECEITAS DE CONTRIBUIÇÕES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30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u w:val="single"/>
        </w:rPr>
        <w:t>RECEITA PATRIMONIAL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30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u w:val="single"/>
        </w:rPr>
        <w:t>RECEITA DE SERVIÇOS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u w:val="single"/>
        </w:rPr>
        <w:t>TRANSFERENCIAS CORRENTES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u w:val="single"/>
        </w:rPr>
        <w:t>OUTRAS RECEITAS CORRENTES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30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b/>
          <w:bCs/>
          <w:u w:val="single"/>
        </w:rPr>
        <w:t>DEDUÇÃO FUNDEB</w:t>
      </w:r>
      <w:r>
        <w:rPr>
          <w:rStyle w:val="CharStyle6"/>
          <w:b/>
          <w:bCs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30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u w:val="single"/>
        </w:rPr>
        <w:t>DEDUÇÃO FUNDEB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30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b/>
          <w:bCs/>
          <w:u w:val="single"/>
        </w:rPr>
        <w:t>TOTAL</w:t>
      </w:r>
      <w:r>
        <w:rPr>
          <w:rStyle w:val="CharStyle6"/>
          <w:b/>
          <w:bCs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30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u w:val="single"/>
        </w:rPr>
        <w:t>RECEITAS DE CAPITAL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rStyle w:val="CharStyle6"/>
          <w:b/>
          <w:bCs/>
        </w:rPr>
        <w:t>TOTAL GERAL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80" w:right="0" w:firstLine="20"/>
        <w:jc w:val="both"/>
      </w:pPr>
      <w:r>
        <w:rPr>
          <w:rStyle w:val="CharStyle6"/>
          <w:b/>
          <w:bCs/>
          <w:u w:val="single"/>
        </w:rPr>
        <w:t>Arti</w:t>
      </w:r>
      <w:r>
        <w:rPr>
          <w:rStyle w:val="CharStyle6"/>
          <w:b/>
          <w:bCs/>
        </w:rPr>
        <w:t>g</w:t>
      </w:r>
      <w:r>
        <w:rPr>
          <w:rStyle w:val="CharStyle6"/>
          <w:b/>
          <w:bCs/>
          <w:u w:val="single"/>
        </w:rPr>
        <w:t>o 3</w:t>
      </w:r>
      <w:r>
        <w:rPr>
          <w:rStyle w:val="CharStyle6"/>
          <w:b/>
          <w:bCs/>
          <w:u w:val="single"/>
          <w:vertAlign w:val="superscript"/>
        </w:rPr>
        <w:t>o</w:t>
      </w:r>
      <w:r>
        <w:rPr>
          <w:rStyle w:val="CharStyle6"/>
          <w:b/>
          <w:bCs/>
          <w:u w:val="single"/>
        </w:rPr>
        <w:t xml:space="preserve"> </w:t>
      </w:r>
      <w:r>
        <w:rPr>
          <w:rStyle w:val="CharStyle6"/>
          <w:u w:val="single"/>
        </w:rPr>
        <w:t>-</w:t>
      </w:r>
      <w:r>
        <w:rPr>
          <w:rStyle w:val="CharStyle6"/>
        </w:rPr>
        <w:t xml:space="preserve"> A Despesa da administração direta será realizada segundo a discriminação dos quadros "Programas de Trabalho" e "Natureza da Despesa", integrantes desta Lei, e as autarquias e fundações em seus </w:t>
      </w:r>
      <w:r>
        <w:rPr>
          <w:rStyle w:val="CharStyle6"/>
          <w:lang w:val="pt-BR" w:eastAsia="pt-BR" w:bidi="pt-BR"/>
        </w:rPr>
        <w:t xml:space="preserve">respectivos </w:t>
      </w:r>
      <w:r>
        <w:rPr>
          <w:rStyle w:val="CharStyle6"/>
        </w:rPr>
        <w:t>orçamentos aprovados por decreto executivo.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180"/>
        <w:jc w:val="left"/>
      </w:pPr>
      <w:r>
        <w:rPr>
          <w:rStyle w:val="CharStyle6"/>
          <w:b/>
          <w:bCs/>
          <w:u w:val="single"/>
        </w:rPr>
        <w:t>POR FUNÇÕES DE GOVERNO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180"/>
        <w:jc w:val="left"/>
      </w:pPr>
      <w:r>
        <w:rPr>
          <w:rStyle w:val="CharStyle6"/>
        </w:rPr>
        <w:t>Administração Direta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5269230</wp:posOffset>
                </wp:positionH>
                <wp:positionV relativeFrom="paragraph">
                  <wp:posOffset>12700</wp:posOffset>
                </wp:positionV>
                <wp:extent cx="694690" cy="29591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3.225.586,11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9.548.806,09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14.90000000000003pt;margin-top:1.pt;width:54.700000000000003pt;height:23.3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3.225.586,11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9.548.806,09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6"/>
        </w:rPr>
        <w:t>01 - Legislativa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6"/>
        </w:rPr>
        <w:t>04 - Administração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24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06 - Segurança Pública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24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08 - Assistência Social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24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09 - Previdência Social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24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10 - Saúde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24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12 - Educação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24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13 - Cultura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24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15 - Urbanismo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24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17 - Saneamento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24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20 - Agricultura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24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25 - Energia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24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27 - Desporto e Lazer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28 - Encargos especiais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99 - Reserva de Contingência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Style w:val="CharStyle6"/>
          <w:b/>
          <w:bCs/>
        </w:rPr>
        <w:t>TOTAL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280"/>
        <w:jc w:val="both"/>
      </w:pPr>
      <w:r>
        <w:rPr>
          <w:rStyle w:val="CharStyle6"/>
          <w:b/>
          <w:bCs/>
        </w:rPr>
        <w:t xml:space="preserve">POR CATEGORIA </w:t>
      </w:r>
      <w:r>
        <w:rPr>
          <w:rStyle w:val="CharStyle6"/>
          <w:b/>
          <w:bCs/>
          <w:lang w:val="pt-BR" w:eastAsia="pt-BR" w:bidi="pt-BR"/>
        </w:rPr>
        <w:t>ECONÔMICA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280"/>
        <w:jc w:val="both"/>
      </w:pPr>
      <w:r>
        <w:rPr>
          <w:rStyle w:val="CharStyle6"/>
        </w:rPr>
        <w:t>Administração Direta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DESPESAS CORRENTES DESPESAS DE CAPITAL RESERVA DE CONTINGÊNCIA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6"/>
          <w:b/>
          <w:bCs/>
        </w:rPr>
        <w:t>TOTAL GERAL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280"/>
        <w:jc w:val="both"/>
      </w:pPr>
      <w:r>
        <w:rPr>
          <w:rStyle w:val="CharStyle6"/>
          <w:b/>
          <w:bCs/>
          <w:u w:val="single"/>
        </w:rPr>
        <w:t>POR ÓRGÃO DA ADMINISTRAÇÃO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54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b/>
          <w:bCs/>
          <w:u w:val="single"/>
        </w:rPr>
        <w:t>01 - PODER LEGISLATIVO</w:t>
      </w:r>
      <w:r>
        <w:rPr>
          <w:rStyle w:val="CharStyle6"/>
          <w:b/>
          <w:bCs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54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b/>
          <w:bCs/>
          <w:u w:val="single"/>
        </w:rPr>
        <w:t>02 - PODER EXECUTIVO</w:t>
      </w:r>
      <w:r>
        <w:rPr>
          <w:rStyle w:val="CharStyle6"/>
          <w:b/>
          <w:bCs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54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b/>
          <w:bCs/>
          <w:u w:val="single"/>
        </w:rPr>
        <w:t>03 - FUNDOS MUNICIPAIS</w:t>
      </w:r>
      <w:r>
        <w:rPr>
          <w:rStyle w:val="CharStyle6"/>
          <w:b/>
          <w:bCs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54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>03.01 - FUNDO MUN. DE ASSIST. SOCIAL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409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u w:val="single"/>
        </w:rPr>
        <w:t xml:space="preserve">03.02 - FUNDO MUN. DE </w:t>
      </w:r>
      <w:r>
        <w:rPr>
          <w:rStyle w:val="CharStyle6"/>
          <w:u w:val="single"/>
          <w:lang w:val="pt-BR" w:eastAsia="pt-BR" w:bidi="pt-BR"/>
        </w:rPr>
        <w:t>SAUDE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b/>
          <w:bCs/>
          <w:u w:val="single"/>
        </w:rPr>
        <w:t>04 - SERV. MUN. DE ABASTECIMENTO DE AGUA-SEMAA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b/>
          <w:bCs/>
          <w:u w:val="single"/>
        </w:rPr>
        <w:t>05 - FUNDO MUN. DE APOSENT. E PENSÃO - FUMPAS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5438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rStyle w:val="CharStyle6"/>
          <w:b/>
          <w:bCs/>
          <w:u w:val="single"/>
        </w:rPr>
        <w:t>99 - RESERVA DE CONTINGÊNCIA</w:t>
      </w:r>
      <w:r>
        <w:rPr>
          <w:rStyle w:val="CharStyle6"/>
          <w:b/>
          <w:bCs/>
        </w:rPr>
        <w:tab/>
        <w:t xml:space="preserve"> TOTAL GERAL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33" w:lineRule="auto"/>
        <w:ind w:left="280" w:right="0" w:firstLine="0"/>
        <w:jc w:val="both"/>
      </w:pPr>
      <w:r>
        <mc:AlternateContent>
          <mc:Choice Requires="wps">
            <w:drawing>
              <wp:anchor distT="38100" distB="2940050" distL="44450" distR="95885" simplePos="0" relativeHeight="125829382" behindDoc="0" locked="0" layoutInCell="1" allowOverlap="1">
                <wp:simplePos x="0" y="0"/>
                <wp:positionH relativeFrom="page">
                  <wp:posOffset>5203825</wp:posOffset>
                </wp:positionH>
                <wp:positionV relativeFrom="margin">
                  <wp:posOffset>12065</wp:posOffset>
                </wp:positionV>
                <wp:extent cx="762000" cy="189865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1898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560.422,65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7.302.767,36 2.950.000,00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40.053.514,58 71.844.054,86 1.361.606,44 12.595.095,91 428.026,82 1.602.220,76 1.065.934,51 1.096.932,08 1.479.112,62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2.362.146,67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09.75pt;margin-top:0.95000000000000007pt;width:60.pt;height:149.5pt;z-index:-125829371;mso-wrap-distance-left:3.5pt;mso-wrap-distance-top:3.pt;mso-wrap-distance-right:7.5499999999999998pt;mso-wrap-distance-bottom:231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560.422,65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7.302.767,36 2.950.000,00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40.053.514,58 71.844.054,86 1.361.606,44 12.595.095,91 428.026,82 1.602.220,76 1.065.934,51 1.096.932,08 1.479.112,62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2.362.146,67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616835" distB="1814830" distL="38100" distR="41275" simplePos="0" relativeHeight="125829384" behindDoc="0" locked="0" layoutInCell="1" allowOverlap="1">
                <wp:simplePos x="0" y="0"/>
                <wp:positionH relativeFrom="page">
                  <wp:posOffset>5197475</wp:posOffset>
                </wp:positionH>
                <wp:positionV relativeFrom="margin">
                  <wp:posOffset>2590800</wp:posOffset>
                </wp:positionV>
                <wp:extent cx="822960" cy="4451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445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137.865.752,82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17.248.327,97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</w:rPr>
                              <w:t>2,362,146,67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09.25pt;margin-top:204.pt;width:64.799999999999997pt;height:35.050000000000004pt;z-index:-125829369;mso-wrap-distance-left:3.pt;mso-wrap-distance-top:206.05000000000001pt;mso-wrap-distance-right:3.25pt;mso-wrap-distance-bottom:142.9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137.865.752,82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17.248.327,97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</w:rPr>
                        <w:t>2,362,146,67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28060" distB="38100" distL="38100" distR="38100" simplePos="0" relativeHeight="125829386" behindDoc="0" locked="0" layoutInCell="1" allowOverlap="1">
                <wp:simplePos x="0" y="0"/>
                <wp:positionH relativeFrom="page">
                  <wp:posOffset>5197475</wp:posOffset>
                </wp:positionH>
                <wp:positionV relativeFrom="margin">
                  <wp:posOffset>3502025</wp:posOffset>
                </wp:positionV>
                <wp:extent cx="826135" cy="131064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310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u w:val="single"/>
                              </w:rPr>
                              <w:t>3.225.586,11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103.274.893,55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45.285.574,31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5.232.059,73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40.053.514,58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378.026,82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u w:val="single"/>
                              </w:rPr>
                              <w:t>2.950.000,00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2.362.146,67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u w:val="single"/>
                              </w:rPr>
                              <w:t>157.476.227,46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09.25pt;margin-top:275.75pt;width:65.049999999999997pt;height:103.2pt;z-index:-125829367;mso-wrap-distance-left:3.pt;mso-wrap-distance-top:277.80000000000001pt;mso-wrap-distance-right:3.pt;mso-wrap-distance-bottom:3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u w:val="single"/>
                        </w:rPr>
                        <w:t>3.225.586,11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103.274.893,55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45.285.574,31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5.232.059,73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40.053.514,58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378.026,82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u w:val="single"/>
                        </w:rPr>
                        <w:t>2.950.000,00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2.362.146,67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u w:val="single"/>
                        </w:rPr>
                        <w:t>157.476.227,46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CharStyle6"/>
          <w:b/>
          <w:bCs/>
          <w:u w:val="single"/>
        </w:rPr>
        <w:t>Arti</w:t>
      </w:r>
      <w:r>
        <w:rPr>
          <w:rStyle w:val="CharStyle6"/>
          <w:b/>
          <w:bCs/>
        </w:rPr>
        <w:t>g</w:t>
      </w:r>
      <w:r>
        <w:rPr>
          <w:rStyle w:val="CharStyle6"/>
          <w:b/>
          <w:bCs/>
          <w:u w:val="single"/>
        </w:rPr>
        <w:t>o 4° -</w:t>
      </w:r>
      <w:r>
        <w:rPr>
          <w:rStyle w:val="CharStyle6"/>
          <w:b/>
          <w:bCs/>
        </w:rPr>
        <w:t xml:space="preserve"> </w:t>
      </w:r>
      <w:r>
        <w:rPr>
          <w:rStyle w:val="CharStyle6"/>
        </w:rPr>
        <w:t>Os Orçamentos das Despesas das Administrações Indiretas poderão ser expandidos até os limites das efetivas arrecadações.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80" w:right="0" w:firstLine="0"/>
        <w:jc w:val="both"/>
      </w:pPr>
      <w:r>
        <w:rPr>
          <w:rStyle w:val="CharStyle6"/>
          <w:b/>
          <w:bCs/>
          <w:u w:val="single"/>
        </w:rPr>
        <w:t>Arti</w:t>
      </w:r>
      <w:r>
        <w:rPr>
          <w:rStyle w:val="CharStyle6"/>
          <w:b/>
          <w:bCs/>
        </w:rPr>
        <w:t>g</w:t>
      </w:r>
      <w:r>
        <w:rPr>
          <w:rStyle w:val="CharStyle6"/>
          <w:b/>
          <w:bCs/>
          <w:u w:val="single"/>
        </w:rPr>
        <w:t>o 5</w:t>
      </w:r>
      <w:r>
        <w:rPr>
          <w:rStyle w:val="CharStyle6"/>
          <w:b/>
          <w:bCs/>
          <w:u w:val="single"/>
          <w:vertAlign w:val="superscript"/>
        </w:rPr>
        <w:t>o</w:t>
      </w:r>
      <w:r>
        <w:rPr>
          <w:rStyle w:val="CharStyle6"/>
          <w:b/>
          <w:bCs/>
          <w:u w:val="single"/>
        </w:rPr>
        <w:t xml:space="preserve"> -</w:t>
      </w:r>
      <w:r>
        <w:rPr>
          <w:rStyle w:val="CharStyle6"/>
          <w:b/>
          <w:bCs/>
        </w:rPr>
        <w:t xml:space="preserve"> O </w:t>
      </w:r>
      <w:r>
        <w:rPr>
          <w:rStyle w:val="CharStyle6"/>
        </w:rPr>
        <w:t>Poder Executivo está autorizado a: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0" w:val="left"/>
        </w:tabs>
        <w:bidi w:val="0"/>
        <w:spacing w:before="0" w:after="140" w:line="240" w:lineRule="auto"/>
        <w:ind w:left="280" w:right="0" w:firstLine="0"/>
        <w:jc w:val="both"/>
      </w:pPr>
      <w:r>
        <w:rPr>
          <w:rStyle w:val="CharStyle6"/>
        </w:rPr>
        <w:t>Realizar operações de crédito por antecipação da receita, até o limite de 50% (cinquenta por cento) da receita estimada, nos termos legais da legislação em vigor.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34" w:val="left"/>
        </w:tabs>
        <w:bidi w:val="0"/>
        <w:spacing w:before="0" w:after="140" w:line="233" w:lineRule="auto"/>
        <w:ind w:left="280" w:right="0" w:firstLine="0"/>
        <w:jc w:val="both"/>
      </w:pPr>
      <w:r>
        <w:rPr>
          <w:rStyle w:val="CharStyle6"/>
        </w:rPr>
        <w:t>Abrir créditos suplementares, até o limite de 80% (oitenta por cento) do orçamento da despesa, nos termos do artigo 7</w:t>
      </w:r>
      <w:r>
        <w:rPr>
          <w:rStyle w:val="CharStyle6"/>
          <w:vertAlign w:val="superscript"/>
        </w:rPr>
        <w:t>o</w:t>
      </w:r>
      <w:r>
        <w:rPr>
          <w:rStyle w:val="CharStyle6"/>
        </w:rPr>
        <w:t xml:space="preserve"> da Lei 4.320/64.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0" w:val="left"/>
        </w:tabs>
        <w:bidi w:val="0"/>
        <w:spacing w:before="0" w:after="140" w:line="240" w:lineRule="auto"/>
        <w:ind w:left="280" w:right="0" w:firstLine="0"/>
        <w:jc w:val="both"/>
      </w:pPr>
      <w:r>
        <w:rPr>
          <w:rStyle w:val="CharStyle6"/>
        </w:rPr>
        <w:t xml:space="preserve">Abrir créditos suplementares à conta de recursos provenientes de excesso de arrecadação e de </w:t>
      </w:r>
      <w:r>
        <w:rPr>
          <w:rStyle w:val="CharStyle6"/>
          <w:lang w:val="pt-BR" w:eastAsia="pt-BR" w:bidi="pt-BR"/>
        </w:rPr>
        <w:t xml:space="preserve">convênios, </w:t>
      </w:r>
      <w:r>
        <w:rPr>
          <w:rStyle w:val="CharStyle6"/>
        </w:rPr>
        <w:t>não previsto na receita do orçamento, não onerando o limite estabelecido na leta “b” deste Artigo e até o limite do efetivo excesso ou da tendência do exercício, desde que respeitados os objetivos e metas da programação aprovada nesta Lei.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9" w:val="left"/>
        </w:tabs>
        <w:bidi w:val="0"/>
        <w:spacing w:before="0" w:after="140" w:line="240" w:lineRule="auto"/>
        <w:ind w:left="0" w:right="0" w:firstLine="280"/>
        <w:jc w:val="both"/>
      </w:pPr>
      <w:r>
        <w:rPr>
          <w:rStyle w:val="CharStyle6"/>
        </w:rPr>
        <w:t>Criar dotações em projetos e atividades já contempladas no orçamento vigente.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5" w:val="left"/>
        </w:tabs>
        <w:bidi w:val="0"/>
        <w:spacing w:before="0" w:after="140" w:line="240" w:lineRule="auto"/>
        <w:ind w:left="280" w:right="0" w:firstLine="0"/>
        <w:jc w:val="both"/>
      </w:pPr>
      <w:r>
        <w:rPr>
          <w:rStyle w:val="CharStyle6"/>
        </w:rPr>
        <w:t>Abrir créditos suplementares à conta de recursos provenientes de excesso de arrecadação considerada a tendência do exercício.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01" w:val="left"/>
        </w:tabs>
        <w:bidi w:val="0"/>
        <w:spacing w:before="0" w:after="140" w:line="240" w:lineRule="auto"/>
        <w:ind w:left="280" w:right="0" w:firstLine="0"/>
        <w:jc w:val="both"/>
      </w:pPr>
      <w:r>
        <w:rPr>
          <w:rStyle w:val="CharStyle6"/>
        </w:rPr>
        <w:t xml:space="preserve">Não se considera para efeito do limite da letra “b” os créditos suplementares de reforços para dotações de pessoal, </w:t>
      </w:r>
      <w:r>
        <w:rPr>
          <w:rStyle w:val="CharStyle6"/>
          <w:lang w:val="pt-BR" w:eastAsia="pt-BR" w:bidi="pt-BR"/>
        </w:rPr>
        <w:t xml:space="preserve">Convênios, </w:t>
      </w:r>
      <w:r>
        <w:rPr>
          <w:rStyle w:val="CharStyle6"/>
        </w:rPr>
        <w:t>Encargos, PASEP, e Reserva de Contingência.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29" w:val="left"/>
        </w:tabs>
        <w:bidi w:val="0"/>
        <w:spacing w:before="0" w:after="140" w:line="240" w:lineRule="auto"/>
        <w:ind w:left="280" w:right="0" w:firstLine="0"/>
        <w:jc w:val="both"/>
      </w:pPr>
      <w:r>
        <w:rPr>
          <w:rStyle w:val="CharStyle6"/>
        </w:rPr>
        <w:t xml:space="preserve">Firmar </w:t>
      </w:r>
      <w:r>
        <w:rPr>
          <w:rStyle w:val="CharStyle6"/>
          <w:lang w:val="pt-BR" w:eastAsia="pt-BR" w:bidi="pt-BR"/>
        </w:rPr>
        <w:t xml:space="preserve">convênios, </w:t>
      </w:r>
      <w:r>
        <w:rPr>
          <w:rStyle w:val="CharStyle6"/>
        </w:rPr>
        <w:t>contratos, consórcios, termos aditivos com as três esferas de Governos: Municipal, Estadual e Federal.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34" w:val="left"/>
        </w:tabs>
        <w:bidi w:val="0"/>
        <w:spacing w:before="0" w:after="140" w:line="240" w:lineRule="auto"/>
        <w:ind w:left="280" w:right="0" w:firstLine="0"/>
        <w:jc w:val="both"/>
      </w:pPr>
      <w:r>
        <w:rPr>
          <w:rStyle w:val="CharStyle6"/>
        </w:rPr>
        <w:t>Os Decretos de remanejamento de dotações no âmbito do Poder Legislativos serão assinados pelo seu presidente.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8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533" w:right="2533" w:bottom="538" w:left="2511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  <w:b/>
          <w:bCs/>
        </w:rPr>
        <w:t xml:space="preserve">Artigo 6“ - </w:t>
      </w:r>
      <w:r>
        <w:rPr>
          <w:rStyle w:val="CharStyle6"/>
        </w:rPr>
        <w:t>Esta Lei, revogadas as disposições em contrário, entrará em vigor na data de sua publicação.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2"/>
        </w:rPr>
        <w:t>Visualização de Publicação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0" w:firstLine="280"/>
        <w:jc w:val="left"/>
      </w:pPr>
      <w:r>
        <w:rPr>
          <w:rStyle w:val="CharStyle6"/>
          <w:b/>
          <w:bCs/>
          <w:lang w:val="pt-BR" w:eastAsia="pt-BR" w:bidi="pt-BR"/>
        </w:rPr>
        <w:t>Gabinete do prefeito Municipal de Fonte Boa, aos 10 de julho de 2024.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80"/>
        <w:jc w:val="left"/>
      </w:pPr>
      <w:r>
        <w:rPr>
          <w:rStyle w:val="CharStyle6"/>
          <w:i/>
          <w:iCs/>
          <w:lang w:val="pt-BR" w:eastAsia="pt-BR" w:bidi="pt-BR"/>
        </w:rPr>
        <w:t>Gilberto Ferreira Lisboa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80"/>
        <w:jc w:val="left"/>
      </w:pPr>
      <w:r>
        <w:rPr>
          <w:rStyle w:val="CharStyle6"/>
          <w:lang w:val="pt-BR" w:eastAsia="pt-BR" w:bidi="pt-BR"/>
        </w:rPr>
        <w:t>Prefeito Municipal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00" w:firstLine="0"/>
        <w:jc w:val="right"/>
      </w:pPr>
      <w:r>
        <w:rPr>
          <w:rStyle w:val="CharStyle6"/>
          <w:b/>
          <w:bCs/>
          <w:lang w:val="pt-BR" w:eastAsia="pt-BR" w:bidi="pt-BR"/>
        </w:rPr>
        <w:t>Publicado por: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300" w:firstLine="0"/>
        <w:jc w:val="right"/>
      </w:pPr>
      <w:r>
        <w:rPr>
          <w:rStyle w:val="CharStyle6"/>
          <w:lang w:val="pt-BR" w:eastAsia="pt-BR" w:bidi="pt-BR"/>
        </w:rPr>
        <w:t>Paulo Cesar Machado Ribeiro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300" w:firstLine="0"/>
        <w:jc w:val="right"/>
      </w:pPr>
      <w:r>
        <w:rPr>
          <w:rStyle w:val="CharStyle6"/>
          <w:b/>
          <w:bCs/>
          <w:lang w:val="pt-BR" w:eastAsia="pt-BR" w:bidi="pt-BR"/>
        </w:rPr>
        <w:t xml:space="preserve">Código Identificador: </w:t>
      </w:r>
      <w:r>
        <w:rPr>
          <w:rStyle w:val="CharStyle6"/>
          <w:lang w:val="pt-BR" w:eastAsia="pt-BR" w:bidi="pt-BR"/>
        </w:rPr>
        <w:t>OJVXIUM8V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rStyle w:val="CharStyle6"/>
          <w:lang w:val="pt-BR" w:eastAsia="pt-BR" w:bidi="pt-BR"/>
        </w:rPr>
        <w:t xml:space="preserve">Matéria publicada no Diário Oficial dos Municípios do Estado do Amazonas no dia 05/11/2024 - N° 3731. A verificação de autenticidade da matéria pode ser feita informando o código identificador no 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Style w:val="CharStyle6"/>
          <w:lang w:val="en-US" w:eastAsia="en-US" w:bidi="en-US"/>
        </w:rPr>
        <w:t>https://diariomunicipalaam.org.br</w:t>
      </w:r>
      <w:r>
        <w:fldChar w:fldCharType="end"/>
      </w:r>
    </w:p>
    <w:sectPr>
      <w:headerReference w:type="default" r:id="rId7"/>
      <w:footerReference w:type="default" r:id="rId8"/>
      <w:footnotePr>
        <w:pos w:val="pageBottom"/>
        <w:numFmt w:val="decimal"/>
        <w:numRestart w:val="continuous"/>
      </w:footnotePr>
      <w:type w:val="continuous"/>
      <w:pgSz w:w="12240" w:h="15840"/>
      <w:pgMar w:top="533" w:right="2533" w:bottom="538" w:left="25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352425</wp:posOffset>
              </wp:positionH>
              <wp:positionV relativeFrom="page">
                <wp:posOffset>9820910</wp:posOffset>
              </wp:positionV>
              <wp:extent cx="716280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28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3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https://diariomunicipalaam.org.br/visualizar-publicacao/241101184907088599/OJVXIUM8V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z w:val="15"/>
                                <w:szCs w:val="15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3"/>
                              <w:rFonts w:ascii="Arial" w:eastAsia="Arial" w:hAnsi="Arial" w:cs="Arial"/>
                              <w:sz w:val="15"/>
                              <w:szCs w:val="15"/>
                              <w:lang w:val="pt-PT" w:eastAsia="pt-PT" w:bidi="pt-PT"/>
                            </w:rPr>
                            <w:t>/3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27.75pt;margin-top:773.30000000000007pt;width:564.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28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3"/>
                        <w:rFonts w:ascii="Arial" w:eastAsia="Arial" w:hAnsi="Arial" w:cs="Arial"/>
                        <w:sz w:val="15"/>
                        <w:szCs w:val="15"/>
                      </w:rPr>
                      <w:t>https://diariomunicipalaam.org.br/visualizar-publicacao/241101184907088599/OJVXIUM8V</w:t>
                      <w:tab/>
                    </w:r>
                    <w:fldSimple w:instr=" PAGE \* MERGEFORMAT ">
                      <w:r>
                        <w:rPr>
                          <w:rStyle w:val="CharStyle3"/>
                          <w:rFonts w:ascii="Arial" w:eastAsia="Arial" w:hAnsi="Arial" w:cs="Arial"/>
                          <w:sz w:val="15"/>
                          <w:szCs w:val="15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Style w:val="CharStyle3"/>
                        <w:rFonts w:ascii="Arial" w:eastAsia="Arial" w:hAnsi="Arial" w:cs="Arial"/>
                        <w:sz w:val="15"/>
                        <w:szCs w:val="15"/>
                        <w:lang w:val="pt-PT" w:eastAsia="pt-PT" w:bidi="pt-PT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290195</wp:posOffset>
              </wp:positionH>
              <wp:positionV relativeFrom="page">
                <wp:posOffset>9772015</wp:posOffset>
              </wp:positionV>
              <wp:extent cx="7162800" cy="9461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28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3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https://diariomunicipalaam.org.br/visualizar-publicacao/241101184907088599/OJVXIUM8V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z w:val="15"/>
                                <w:szCs w:val="15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3"/>
                              <w:rFonts w:ascii="Arial" w:eastAsia="Arial" w:hAnsi="Arial" w:cs="Arial"/>
                              <w:sz w:val="15"/>
                              <w:szCs w:val="15"/>
                              <w:lang w:val="pt-BR" w:eastAsia="pt-BR" w:bidi="pt-BR"/>
                            </w:rPr>
                            <w:t>/3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22.850000000000001pt;margin-top:769.45000000000005pt;width:564.pt;height:7.4500000000000002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28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3"/>
                        <w:rFonts w:ascii="Arial" w:eastAsia="Arial" w:hAnsi="Arial" w:cs="Arial"/>
                        <w:sz w:val="15"/>
                        <w:szCs w:val="15"/>
                      </w:rPr>
                      <w:t>https://diariomunicipalaam.org.br/visualizar-publicacao/241101184907088599/OJVXIUM8V</w:t>
                      <w:tab/>
                    </w:r>
                    <w:fldSimple w:instr=" PAGE \* MERGEFORMAT ">
                      <w:r>
                        <w:rPr>
                          <w:rStyle w:val="CharStyle3"/>
                          <w:rFonts w:ascii="Arial" w:eastAsia="Arial" w:hAnsi="Arial" w:cs="Arial"/>
                          <w:sz w:val="15"/>
                          <w:szCs w:val="15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Style w:val="CharStyle3"/>
                        <w:rFonts w:ascii="Arial" w:eastAsia="Arial" w:hAnsi="Arial" w:cs="Arial"/>
                        <w:sz w:val="15"/>
                        <w:szCs w:val="15"/>
                        <w:lang w:val="pt-BR" w:eastAsia="pt-BR" w:bidi="pt-BR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349250</wp:posOffset>
              </wp:positionH>
              <wp:positionV relativeFrom="page">
                <wp:posOffset>191770</wp:posOffset>
              </wp:positionV>
              <wp:extent cx="4800600" cy="9461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0060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56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3"/>
                              <w:rFonts w:ascii="Arial" w:eastAsia="Arial" w:hAnsi="Arial" w:cs="Arial"/>
                              <w:sz w:val="15"/>
                              <w:szCs w:val="15"/>
                              <w:lang w:val="pt-BR" w:eastAsia="pt-BR" w:bidi="pt-BR"/>
                            </w:rPr>
                            <w:t>06/02/2025, 12:32</w:t>
                            <w:tab/>
                          </w:r>
                          <w:r>
                            <w:rPr>
                              <w:rStyle w:val="CharStyle3"/>
                              <w:rFonts w:ascii="Arial" w:eastAsia="Arial" w:hAnsi="Arial" w:cs="Arial"/>
                              <w:sz w:val="15"/>
                              <w:szCs w:val="15"/>
                              <w:lang w:val="pt-PT" w:eastAsia="pt-PT" w:bidi="pt-PT"/>
                            </w:rPr>
                            <w:t>Visualização de Publicação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7.5pt;margin-top:15.1pt;width:378.pt;height:7.4500000000000002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56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3"/>
                        <w:rFonts w:ascii="Arial" w:eastAsia="Arial" w:hAnsi="Arial" w:cs="Arial"/>
                        <w:sz w:val="15"/>
                        <w:szCs w:val="15"/>
                        <w:lang w:val="pt-BR" w:eastAsia="pt-BR" w:bidi="pt-BR"/>
                      </w:rPr>
                      <w:t>06/02/2025, 12:32</w:t>
                      <w:tab/>
                    </w:r>
                    <w:r>
                      <w:rPr>
                        <w:rStyle w:val="CharStyle3"/>
                        <w:rFonts w:ascii="Arial" w:eastAsia="Arial" w:hAnsi="Arial" w:cs="Arial"/>
                        <w:sz w:val="15"/>
                        <w:szCs w:val="15"/>
                        <w:lang w:val="pt-PT" w:eastAsia="pt-PT" w:bidi="pt-PT"/>
                      </w:rPr>
                      <w:t>Visualização de Publicação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194945</wp:posOffset>
              </wp:positionV>
              <wp:extent cx="810895" cy="8826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1089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3"/>
                              <w:rFonts w:ascii="Arial" w:eastAsia="Arial" w:hAnsi="Arial" w:cs="Arial"/>
                              <w:sz w:val="15"/>
                              <w:szCs w:val="15"/>
                              <w:lang w:val="pt-BR" w:eastAsia="pt-BR" w:bidi="pt-BR"/>
                            </w:rPr>
                            <w:t>06/02/2025, 12:32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22.600000000000001pt;margin-top:15.35pt;width:63.850000000000001pt;height:6.95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3"/>
                        <w:rFonts w:ascii="Arial" w:eastAsia="Arial" w:hAnsi="Arial" w:cs="Arial"/>
                        <w:sz w:val="15"/>
                        <w:szCs w:val="15"/>
                        <w:lang w:val="pt-BR" w:eastAsia="pt-BR" w:bidi="pt-BR"/>
                      </w:rPr>
                      <w:t>06/02/2025, 12:32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Body text|2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auto"/>
      <w:spacing w:after="6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