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6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MUNICÍPIO DE FONTE BOA - AM - PODER LEGISLATIVO</w:t>
        <w:br/>
        <w:t>CAMARA MUNICIPAL DE FONTE BOA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" w:line="264" w:lineRule="auto"/>
        <w:ind w:left="0" w:right="6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RELATÓRIO DA GESTÃO FISCAL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/>
        <w:ind w:lef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DEMONSTRATIVO DA DESPESA COM PESSOAL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86" w:lineRule="auto"/>
        <w:ind w:left="0" w:right="60" w:firstLine="0"/>
        <w:jc w:val="center"/>
      </w:pPr>
      <w:r>
        <w:drawing>
          <wp:anchor distT="965200" distB="0" distL="114300" distR="114300" simplePos="0" relativeHeight="125829378" behindDoc="0" locked="0" layoutInCell="1" allowOverlap="1">
            <wp:simplePos x="0" y="0"/>
            <wp:positionH relativeFrom="page">
              <wp:posOffset>127635</wp:posOffset>
            </wp:positionH>
            <wp:positionV relativeFrom="paragraph">
              <wp:posOffset>8077200</wp:posOffset>
            </wp:positionV>
            <wp:extent cx="1347470" cy="774065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347470" cy="7740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452755" distL="114300" distR="114300" simplePos="0" relativeHeight="125829379" behindDoc="0" locked="0" layoutInCell="1" allowOverlap="1">
            <wp:simplePos x="0" y="0"/>
            <wp:positionH relativeFrom="page">
              <wp:posOffset>5170170</wp:posOffset>
            </wp:positionH>
            <wp:positionV relativeFrom="paragraph">
              <wp:posOffset>8255000</wp:posOffset>
            </wp:positionV>
            <wp:extent cx="1402080" cy="713105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402080" cy="7131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5293360</wp:posOffset>
                </wp:positionH>
                <wp:positionV relativeFrom="paragraph">
                  <wp:posOffset>8959215</wp:posOffset>
                </wp:positionV>
                <wp:extent cx="1275715" cy="461645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5715" cy="4616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Gflberto Macedo da Silva CRCN* 9.899-2 CPf: 076.953.492-91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416.80000000000001pt;margin-top:705.45000000000005pt;width:100.45pt;height:36.3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Gflberto Macedo da Silva CRCN* 9.899-2 CPf: 076.953.492-91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ORÇAMENTOS FISCAL E DA SEGURIDADE SOCIAL</w:t>
        <w:br/>
        <w:t>JANEIRO/2023 A DEZEMBRO/2023</w:t>
      </w:r>
    </w:p>
    <w:tbl>
      <w:tblPr>
        <w:tblOverlap w:val="never"/>
        <w:jc w:val="left"/>
        <w:tblLayout w:type="fixed"/>
      </w:tblPr>
      <w:tblGrid>
        <w:gridCol w:w="7668"/>
        <w:gridCol w:w="1800"/>
        <w:gridCol w:w="1829"/>
      </w:tblGrid>
      <w:tr>
        <w:trPr>
          <w:trHeight w:val="511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•</w:t>
            </w:r>
          </w:p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tabs>
                <w:tab w:pos="2743" w:val="left"/>
              </w:tabs>
              <w:bidi w:val="0"/>
              <w:spacing w:before="0" w:after="12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  <w:tab/>
              <w:t>DESPESAS COM PESSOAL</w:t>
            </w:r>
          </w:p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•</w:t>
            </w:r>
          </w:p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10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•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EXECUTADAS (Últimos 12 Meses)</w:t>
            </w:r>
          </w:p>
        </w:tc>
      </w:tr>
      <w:tr>
        <w:trPr>
          <w:trHeight w:val="1080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framePr w:w="11297" w:h="10195" w:vSpace="238" w:wrap="notBeside" w:vAnchor="text" w:hAnchor="text" w:y="239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66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LIQUIDADAS</w:t>
            </w:r>
          </w:p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(a)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INSCRITAS EM RESTOS A PAGAR NÃO</w:t>
            </w:r>
          </w:p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PROCESSADOS (b)</w:t>
            </w:r>
          </w:p>
        </w:tc>
      </w:tr>
      <w:tr>
        <w:trPr>
          <w:trHeight w:val="408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40" w:line="319" w:lineRule="auto"/>
              <w:ind w:left="220" w:right="2760" w:hanging="220"/>
              <w:jc w:val="both"/>
            </w:pPr>
            <w:r>
              <w:rPr>
                <w:smallCap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Íespesa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BRUTA COM PESSOAL (I)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D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essoal Ativo</w:t>
            </w:r>
          </w:p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372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Vencimentos, Vantagens e Outras Despesas Variáveis _ Obrigações Patronais Pessoal Inativo e Pensionista</w:t>
            </w:r>
          </w:p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372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Aposentadorias, Reserva e Reformas</w:t>
            </w:r>
          </w:p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372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Pensões</w:t>
            </w:r>
          </w:p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372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desp. de pessoal decor. contratos terceiri. ou contratação forma indireta (§ 1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do art. 18 da LRF) ^orma Indireta (§ 1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do art. 18 da LRF)</w:t>
            </w:r>
          </w:p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372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* Despesa com Pessoal não Executada Orçamentariamente</w:t>
            </w:r>
          </w:p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40" w:line="276" w:lineRule="auto"/>
              <w:ind w:left="0" w:right="0" w:firstLine="0"/>
              <w:jc w:val="left"/>
            </w:pPr>
            <w:r>
              <w:rPr>
                <w:smallCap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Despesas não computadas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(§ 1° do art. 19 da </w:t>
            </w:r>
            <w:r>
              <w:rPr>
                <w:smallCap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lrf)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(ii)</w:t>
            </w:r>
          </w:p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372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Indenizações por Demissão e Incentivos à Demissão Voluntária e Deduções Constitucionais Decorrentes de Decisão Judicial de período anterior ao da apuração</w:t>
            </w:r>
          </w:p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40" w:line="372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de Exercícios Anteriores de período anterior ao da apuração inativos e Pensionistas com Recursos Vinculados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374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2.343.335,99</w:t>
            </w:r>
          </w:p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374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2.343.335,99</w:t>
            </w:r>
          </w:p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374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2.070.437,52</w:t>
            </w:r>
          </w:p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374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272.898,47</w:t>
            </w:r>
          </w:p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374" w:lineRule="auto"/>
              <w:ind w:left="14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0,00 0,00 0,00</w:t>
            </w:r>
          </w:p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374" w:lineRule="auto"/>
              <w:ind w:left="14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374" w:lineRule="auto"/>
              <w:ind w:left="14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374" w:lineRule="auto"/>
              <w:ind w:left="14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374" w:lineRule="auto"/>
              <w:ind w:left="14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374" w:lineRule="auto"/>
              <w:ind w:left="14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0,00 0,00 0,00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8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smallCap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Despesa líquida com pessoal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(iii) = (i-ii)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2.343.335,99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5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tabs>
                <w:tab w:pos="182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</w:t>
              <w:tab/>
              <w:t>APURAÇÃO DO CUMPRIMENTO DO LIMITE LEGAL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% SOBRE A RCL AJUSTADA</w:t>
            </w:r>
          </w:p>
        </w:tc>
      </w:tr>
      <w:tr>
        <w:trPr>
          <w:trHeight w:val="34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|CEITA CORRENTE LlQUIDA - RCL (IV)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3.272.202,74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</w:tr>
      <w:tr>
        <w:trPr>
          <w:trHeight w:val="59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k Transferências obrigatórias da União relativas às emendas individuais (art. 166-A, § 1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, da CF) (V)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240" w:lineRule="auto"/>
              <w:ind w:left="14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1297" w:h="10195" w:vSpace="238" w:wrap="notBeside" w:vAnchor="text" w:hAnchor="text" w:y="23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100" w:line="240" w:lineRule="auto"/>
              <w:ind w:left="220" w:right="0" w:hanging="2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•</w:t>
            </w:r>
          </w:p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^) Transferências obrigatórias da União relativas às emendas de bancada (art. 166, § 16, da CF) (VI)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240" w:lineRule="auto"/>
              <w:ind w:left="14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1297" w:h="10195" w:vSpace="238" w:wrap="notBeside" w:vAnchor="text" w:hAnchor="text" w:y="23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bcEITA CORRENTE LÍQUIDA AJUSTADA PARA CÁLCULO DOS LIMITES DA DESPESA COM |SSOAL(VII) = (IV-V-VI)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3.272.202,74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1297" w:h="10195" w:vSpace="238" w:wrap="notBeside" w:vAnchor="text" w:hAnchor="text" w:y="23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fSPESA TOTAL COM PESSOAL - DTP (VIII) = (III a + III b)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2.343.335,99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71,61</w:t>
            </w:r>
          </w:p>
        </w:tc>
      </w:tr>
      <w:tr>
        <w:trPr>
          <w:trHeight w:val="38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mallCap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IlIITE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MÁXIMO (IX) (incisos 1, II e III, art. 20 da LRF)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196.332,16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6,00</w:t>
            </w:r>
          </w:p>
        </w:tc>
      </w:tr>
      <w:tr>
        <w:trPr>
          <w:trHeight w:val="37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klTE PRUDENCIAL (X) = (0,95 x IX) (parágrafo único do art. 22 da LRF)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186.515,55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5,70</w:t>
            </w:r>
          </w:p>
        </w:tc>
      </w:tr>
      <w:tr>
        <w:trPr>
          <w:trHeight w:val="41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klITE DE ALERTA (XI) = (0,90 x IX) (inciso II do §1° do art. 59 da LRF)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176.698,94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297" w:h="10195" w:vSpace="238" w:wrap="notBeside" w:vAnchor="text" w:hAnchor="text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5,40</w:t>
            </w:r>
          </w:p>
        </w:tc>
      </w:tr>
    </w:tbl>
    <w:p>
      <w:pPr>
        <w:pStyle w:val="Style12"/>
        <w:keepNext w:val="0"/>
        <w:keepLines w:val="0"/>
        <w:framePr w:w="598" w:h="216" w:hSpace="10699" w:wrap="notBeside" w:vAnchor="text" w:hAnchor="text" w:x="10650" w:y="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R$ 1,00</w:t>
      </w:r>
    </w:p>
    <w:p>
      <w:pPr>
        <w:pStyle w:val="Style12"/>
        <w:keepNext w:val="0"/>
        <w:keepLines w:val="0"/>
        <w:framePr w:w="3161" w:h="230" w:hSpace="8136" w:wrap="notBeside" w:vAnchor="text" w:hAnchor="text" w:x="361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-ANEXO 1 (LRF, art. 55, inciso I, alínea "a")</w:t>
      </w:r>
    </w:p>
    <w:p>
      <w:pPr>
        <w:widowControl w:val="0"/>
        <w:spacing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►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•ONTE:</w:t>
      </w:r>
    </w:p>
    <w:sectPr>
      <w:footnotePr>
        <w:pos w:val="pageBottom"/>
        <w:numFmt w:val="decimal"/>
        <w:numRestart w:val="continuous"/>
      </w:footnotePr>
      <w:pgSz w:w="11900" w:h="16840"/>
      <w:pgMar w:top="159" w:left="78" w:right="524" w:bottom="65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7">
    <w:name w:val="Heading #1|1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9">
    <w:name w:val="Other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3">
    <w:name w:val="Table caption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5">
    <w:name w:val="Body text|3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Body text|2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  <w:spacing w:line="276" w:lineRule="auto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80" w:line="274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after="60" w:line="276" w:lineRule="auto"/>
      <w:ind w:right="6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8">
    <w:name w:val="Other|1"/>
    <w:basedOn w:val="Normal"/>
    <w:link w:val="CharStyle9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2">
    <w:name w:val="Table caption|1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4">
    <w:name w:val="Body text|3"/>
    <w:basedOn w:val="Normal"/>
    <w:link w:val="CharStyle15"/>
    <w:pPr>
      <w:widowControl w:val="0"/>
      <w:shd w:val="clear" w:color="auto" w:fill="FFFFFF"/>
      <w:spacing w:before="800" w:line="223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Body text|2"/>
    <w:basedOn w:val="Normal"/>
    <w:link w:val="CharStyle17"/>
    <w:pPr>
      <w:widowControl w:val="0"/>
      <w:shd w:val="clear" w:color="auto" w:fill="FFFFFF"/>
      <w:spacing w:after="80" w:line="223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