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3195320</wp:posOffset>
            </wp:positionH>
            <wp:positionV relativeFrom="margin">
              <wp:posOffset>0</wp:posOffset>
            </wp:positionV>
            <wp:extent cx="877570" cy="8166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77570" cy="8166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0" w:left="1216" w:right="1446" w:bottom="1877" w:header="0" w:footer="144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2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772160</wp:posOffset>
                </wp:positionH>
                <wp:positionV relativeFrom="paragraph">
                  <wp:posOffset>355600</wp:posOffset>
                </wp:positionV>
                <wp:extent cx="2139950" cy="9232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923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PUBLICADO POR AFIXAÇÃO MO QUADRO DA CAMARA MUNICIPAL DE FONTE BOA CONFORME ! DISPOSTO </w:t>
                            </w: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ART. 89 DA LEI í ORGANICA MUíáíCIPAL.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firstLine="0"/>
                              <w:jc w:val="right"/>
                            </w:pP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em: </w:t>
                            </w:r>
                            <w:r>
                              <w:rPr>
                                <w:i/>
                                <w:iCs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2C&gt;.J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Q3.J„ââ._.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0.799999999999997pt;margin-top:28.pt;width:168.5pt;height:72.7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PUBLICADO POR AFIXAÇÃO MO QUADRO DA CAMARA MUNICIPAL DE FONTE BOA CONFORME ! DISPOSTO </w:t>
                      </w: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no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ART. 89 DA LEI í ORGANICA MUíáíCIPAL.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firstLine="0"/>
                        <w:jc w:val="right"/>
                      </w:pP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em: </w:t>
                      </w:r>
                      <w:r>
                        <w:rPr>
                          <w:i/>
                          <w:iCs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2C&gt;.J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Q3.J„ââ._.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RESOLUÇÃO N° 001/2025-GP/CMFB DE 29 DE SETEMBRO DE 2025.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1120" w:right="0" w:firstLine="0"/>
        <w:jc w:val="both"/>
        <w:rPr>
          <w:sz w:val="26"/>
          <w:szCs w:val="26"/>
        </w:rPr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932180</wp:posOffset>
                </wp:positionH>
                <wp:positionV relativeFrom="paragraph">
                  <wp:posOffset>1003300</wp:posOffset>
                </wp:positionV>
                <wp:extent cx="1819910" cy="42989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98" w:val="left"/>
                              </w:tabs>
                              <w:bidi w:val="0"/>
                              <w:spacing w:before="0" w:after="40" w:line="240" w:lineRule="auto"/>
                              <w:ind w:left="22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 R E SI </w:t>
                            </w: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k'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c 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MAR A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 xml:space="preserve">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 xml:space="preserve">MESA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3.400000000000006pt;margin-top:79.pt;width:143.30000000000001pt;height:33.8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98" w:val="left"/>
                        </w:tabs>
                        <w:bidi w:val="0"/>
                        <w:spacing w:before="0" w:after="40" w:line="240" w:lineRule="auto"/>
                        <w:ind w:left="22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 R E SI </w:t>
                      </w: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de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k'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c 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MAR A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 xml:space="preserve">A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 xml:space="preserve">MESA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D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Dispõe sobre a criação da Procuradoria Especial da Mulher no âmbito da Câmara Municipal de Fonte Boa, estabelece suas atribuições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hanging="2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ETORA DÁ CÂMARA MUNICIPAL DE FONTE 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confere o Regimento Interno e a Lei Orgânica do Município,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imperiosa necessidade de promover a defesa dos direitos da mulher, combater a violência e a discriminação de gênero no Município de Fonte Boa;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crescente institucionalização de Procuradorias da Mulher nas Casas Legislativas em âmbito federal, estadual e municipal, como mecanismo eficaz de promoção da igualdade de gênero e de fiscalização de políticas públicas;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compromisso da Câmara Municipal de Fonte Boa com a valorização da mulher, a ampliação de sua participação na vida política e social e a garantia de seus direitos fundamentais;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Art. 1°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criada, no âmbito da Câmara Municipal de Fonte Boa,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PROCURADORIA ESPECIAL DA MULHER,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órgão permanente, com autonomia funcional e administrativa para o desempenho de suas atribuições, sem aumento de despesa.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atribuições da Procuradoria Especial da Mulher: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8" w:val="left"/>
        </w:tabs>
        <w:bidi w:val="0"/>
        <w:spacing w:before="0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Zelar pela defesa dos direitos da mulher e combater todas as formas de violência e discriminação;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35025" cy="780415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35025" cy="7804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Receber, examinar e encaminhar aos órgãos competentes as denúncias de violação dos direitos da mulher;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8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Fiscalizar e acompanhar a execução de programas e políticas públicas voltadas para a promoção da igualdade de gênero e o empoderamento feminino, em âmbito municipal;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Cooperar com organismos nacionais e internacionais, públicos e privados, que atuem na defesa dos direitos da mulher;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8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Promover pesquisas, estudos, seminários, palestras e campanhas educativas sobre temas relevantes para a mulher, a igualdade de gênero e o combate à violência;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1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Sugerir, acompanhar e propor matérias legislativas que visem aprimorar a legislação referente aos direitos das mulheres;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5" w:val="left"/>
        </w:tabs>
        <w:bidi w:val="0"/>
        <w:spacing w:before="0" w:after="200" w:line="28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Atuar na promoção da participação das vereadoras nas atividades legislativas da Câmara Municipal;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97" w:val="left"/>
        </w:tabs>
        <w:bidi w:val="0"/>
        <w:spacing w:before="0" w:after="540" w:line="29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Divulgar os trabalhos da Câmara Municipal relacionados à defesa dos direitos da mulher.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Procuradoria Especial da Mulher será composta por uma Procuradora Especial da Mulher e duas Procuradoras Adjuntas.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§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período de 2025-2026, a Procuradoria Especial da Mulher será composta pelos seguintes membros: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0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PROCURADORA ESPECIAL DA MULHER: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Liziane Avelino Gomes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4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PROCURADORA ADJUNTA: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2" w:val="left"/>
        </w:tabs>
        <w:bidi w:val="0"/>
        <w:spacing w:before="0" w:after="18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PROCURADORA ADJUNTA: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 Rose Gomes de Oliveira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PARÁGRAFO ÚNIÇO: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mandato referente ao exercício de 2025-2026, se encerrará junto 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biênio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presidencial do mesmo período do exercício de 2025- 2026.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16610" cy="743585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1661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 N° 84.456.722/0001-45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8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§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Procuradoras da Mulher serão eleitas entre os vereadores da Casa, para um mandato de 02 (dois) anos, seguindo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biênio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presidencial, permitida a recondução, na forma a ser definida em Regimento Interno próprio ou por Ato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funcionamento e a estrutura administrativa da Procuradoria Especial da Mulher serão regulamentados por Ato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Diretora, no prazo de 60 (sessenta) dias a partir da publicação desta Resolução, respeitadas as disponibilidades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as normas de pessoal da Câmara Municipal.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Art. 5°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decorrentes da execução desta Resolução correrão por conta das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próprias da Câmara Municipal de Fonte Boa.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Resolução entra em vigor na data de sua publicação.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7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Revogam-se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CÂMARA MUNICIPAL DE FONTE 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Amazonas, aos 29 de Setembro de 2025.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Neiverlici dé Souza Oliveira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" w:left="1341" w:right="1322" w:bottom="1877" w:header="0" w:footer="144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Body text|4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211E89"/>
      <w:sz w:val="32"/>
      <w:szCs w:val="32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Body text|2_"/>
    <w:basedOn w:val="DefaultParagraphFont"/>
    <w:link w:val="Style12"/>
    <w:rPr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Heading #1|1_"/>
    <w:basedOn w:val="DefaultParagraphFont"/>
    <w:link w:val="Style14"/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276" w:lineRule="auto"/>
      <w:ind w:firstLine="18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Body text|4"/>
    <w:basedOn w:val="Normal"/>
    <w:link w:val="CharStyle6"/>
    <w:pPr>
      <w:widowControl w:val="0"/>
      <w:shd w:val="clear" w:color="auto" w:fill="FFFFFF"/>
      <w:ind w:right="26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11E89"/>
      <w:sz w:val="32"/>
      <w:szCs w:val="3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320" w:line="276" w:lineRule="auto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after="320"/>
      <w:ind w:left="260" w:firstLine="2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