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01295" distL="237490" distR="671830" simplePos="0" relativeHeight="125829378" behindDoc="0" locked="0" layoutInCell="1" allowOverlap="1">
            <wp:simplePos x="0" y="0"/>
            <wp:positionH relativeFrom="page">
              <wp:posOffset>1249045</wp:posOffset>
            </wp:positionH>
            <wp:positionV relativeFrom="paragraph">
              <wp:posOffset>7781290</wp:posOffset>
            </wp:positionV>
            <wp:extent cx="542290" cy="34163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42290" cy="3416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228600" distB="0" distL="114300" distR="114300" simplePos="0" relativeHeight="125829379" behindDoc="0" locked="0" layoutInCell="1" allowOverlap="1">
                <wp:simplePos x="0" y="0"/>
                <wp:positionH relativeFrom="page">
                  <wp:posOffset>1125855</wp:posOffset>
                </wp:positionH>
                <wp:positionV relativeFrom="paragraph">
                  <wp:posOffset>8009890</wp:posOffset>
                </wp:positionV>
                <wp:extent cx="1220470" cy="311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0470" cy="311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02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BR" w:eastAsia="pt-BR" w:bidi="pt-BR"/>
                              </w:rPr>
                              <w:t>™</w:t>
                              <w:tab/>
                              <w:t>L. GURGEL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BR" w:eastAsia="pt-BR" w:bidi="pt-BR"/>
                              </w:rPr>
                              <w:t>Diretora Financeira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88.650000000000006pt;margin-top:630.70000000000005pt;width:96.099999999999994pt;height:24.5pt;z-index:-125829374;mso-wrap-distance-left:9.pt;mso-wrap-distance-top:1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022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t-BR" w:eastAsia="pt-BR" w:bidi="pt-BR"/>
                        </w:rPr>
                        <w:t>™</w:t>
                        <w:tab/>
                        <w:t>L. GURGEL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t-BR" w:eastAsia="pt-BR" w:bidi="pt-BR"/>
                        </w:rPr>
                        <w:t>Diretora Financeira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0" distB="100965" distL="114300" distR="974090" simplePos="0" relativeHeight="125829381" behindDoc="0" locked="0" layoutInCell="1" allowOverlap="1">
            <wp:simplePos x="0" y="0"/>
            <wp:positionH relativeFrom="page">
              <wp:posOffset>3549015</wp:posOffset>
            </wp:positionH>
            <wp:positionV relativeFrom="paragraph">
              <wp:posOffset>8161020</wp:posOffset>
            </wp:positionV>
            <wp:extent cx="389890" cy="237490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89890" cy="2374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191770" distB="635" distL="494030" distR="114300" simplePos="0" relativeHeight="125829382" behindDoc="0" locked="0" layoutInCell="1" allowOverlap="1">
                <wp:simplePos x="0" y="0"/>
                <wp:positionH relativeFrom="page">
                  <wp:posOffset>3928745</wp:posOffset>
                </wp:positionH>
                <wp:positionV relativeFrom="paragraph">
                  <wp:posOffset>8352790</wp:posOffset>
                </wp:positionV>
                <wp:extent cx="868680" cy="14605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68680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irorr.rá Presidente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309.35000000000002pt;margin-top:657.70000000000005pt;width:68.400000000000006pt;height:11.5pt;z-index:-125829371;mso-wrap-distance-left:38.899999999999999pt;mso-wrap-distance-top:15.1pt;mso-wrap-distance-right:9.pt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irorr.rá Presidente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FUNDO DE APOSENTADORIA E PENSIONISTAS DOS SERVIDORES MUNICIPAIS DE ENVIRA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Gestão Financeira do FAPENV</w:t>
        <w:br/>
        <w:t>Julho de 2024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AOS: SERVIDORES MUNICIPAIS ATIVOS, APOSENTADOS E PENSIONISTAS SEGURADOS DO FUNDO DE APOSENTADORIA E PENSÕES DOS SERVIDORES MUNICIPAIS DE ENVIRA - FAPENV.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 FUNDO DE APOSENTADORIA E PENSÕES DOS SERVIDORES MUNICIPAIS DE ENVIRA - FAPENV em observância à Lei 9.717/98, à Portaria MPS 204/2008 e Portaria 1.467/22, torna público a todos os interessados as informações sobre a gestão financeira do FAPENV, referente ao mês de julho de 2024, conforme dados a seguir: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Valor repassado pelos entes públicos: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PREFEITURA MUNICIPAL DE ENVIRA: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R$ 303.941,06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CÂMARA MUNICIPAL DE ENVIRA: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R$ 572,97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FAPENV: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R$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Valor destinado ao pagamento de aposentadorias: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R$ 172.725,02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Valor destinado ao pagamento de pensões: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R$ 81.116,84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40" w:line="48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Valor com pagamento de despesas administrativas: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R$ 25.484,72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Saldo em conta corrente (administrativa) em 31/07/2024: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R$ 6.774,87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Saido em conta corrente (previdenciária) em 31/07/2024: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R$ 460.166,19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Saldo em contas de investimento em 31/07/2024: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R$ 20.241.728,78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Publicado no Serviço de Portaria do Fundo de Aposentadoria e Pensões dos Servidores cio Município de Envira-AM - FAPENV.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2455" w:val="left"/>
          <w:tab w:pos="3042" w:val="left"/>
        </w:tabs>
        <w:bidi w:val="0"/>
        <w:spacing w:before="0" w:after="260" w:line="240" w:lineRule="auto"/>
        <w:ind w:left="20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Em:</w:t>
        <w:tab/>
      </w:r>
      <w:r>
        <w:rPr>
          <w:u w:val="single"/>
        </w:rPr>
        <w:t xml:space="preserve"> </w:t>
        <w:tab/>
      </w:r>
    </w:p>
    <w:sectPr>
      <w:footnotePr>
        <w:pos w:val="pageBottom"/>
        <w:numFmt w:val="decimal"/>
        <w:numRestart w:val="continuous"/>
      </w:footnotePr>
      <w:pgSz w:w="11900" w:h="16840"/>
      <w:pgMar w:top="985" w:left="1485" w:right="1156" w:bottom="985" w:header="557" w:footer="557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3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6">
    <w:name w:val="Body text|2_"/>
    <w:basedOn w:val="DefaultParagraphFont"/>
    <w:link w:val="Style5"/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8">
    <w:name w:val="Heading #1|1_"/>
    <w:basedOn w:val="DefaultParagraphFont"/>
    <w:link w:val="Style7"/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Body text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  <w:spacing w:after="3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5">
    <w:name w:val="Body text|2"/>
    <w:basedOn w:val="Normal"/>
    <w:link w:val="CharStyle6"/>
    <w:pPr>
      <w:widowControl w:val="0"/>
      <w:shd w:val="clear" w:color="auto" w:fill="FFFFFF"/>
      <w:spacing w:after="120"/>
      <w:ind w:left="3880" w:right="2440"/>
    </w:pPr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FFFFFF"/>
      <w:spacing w:after="54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after="26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