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Gestão Financeira do FAPENV</w:t>
        <w:br/>
        <w:t>Maio de 2024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AOS: SERVIDORES MUNICIPAIS ATIVOS, APOSENTADOS E PENSIONISTAS SEGURADOS DO FUNDO DE APOSENTADORIA E PENSÕES DOS SERVIDORES MUNICIPAIS DE ENVIRA - FAPENV.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FUNDO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APOSENTADORIA E PENSÕES DOS SERVIDORES MUNICIPAIS DE ENVIRA - FAPENV em observância à Lei 9.717/98, à Portaria MPS 204/2008 e Portaria 1.467/22, torna público a todos os interessados as informações sobre a gestão financeira do FAPENV, referente ao mês de Maio de 2024, conforme dados a seguir: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Valor repassado pelos entes públicos: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PREFEITURA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R$ 303.941,06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CÂMARA MUNICIPAL DE ENVIRA: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R$ 572,97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FAPENV: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R$ 1 037,82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destinado ao pagamento de aposentadorias: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R$ 257.918,97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Vaior destinado ao pagamento de pensões: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R$ 108.717,71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300" w:line="480" w:lineRule="auto"/>
        <w:ind w:left="0" w:right="0" w:firstLine="0"/>
        <w:jc w:val="left"/>
      </w:pPr>
      <w:r>
        <w:drawing>
          <wp:anchor distT="850265" distB="0" distL="265430" distR="265430" simplePos="0" relativeHeight="125829378" behindDoc="0" locked="0" layoutInCell="1" allowOverlap="1">
            <wp:simplePos x="0" y="0"/>
            <wp:positionH relativeFrom="page">
              <wp:posOffset>4251325</wp:posOffset>
            </wp:positionH>
            <wp:positionV relativeFrom="paragraph">
              <wp:posOffset>3187065</wp:posOffset>
            </wp:positionV>
            <wp:extent cx="1554480" cy="341630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5448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4100195</wp:posOffset>
                </wp:positionH>
                <wp:positionV relativeFrom="paragraph">
                  <wp:posOffset>2336800</wp:posOffset>
                </wp:positionV>
                <wp:extent cx="1856105" cy="46609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6105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Publicado no Serviço de Forraria &lt;!o Fundo de Aposentadoria e Pensões dos Servidores do Município de Envira-AM - FAPENV.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2.85000000000002pt;margin-top:184.pt;width:146.15000000000001pt;height:36.70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Publicado no Serviço de Forraria &lt;!o Fundo de Aposentadoria e Pensões dos Servidores do Município de Envira-AM - FAPENV.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4100195</wp:posOffset>
                </wp:positionH>
                <wp:positionV relativeFrom="paragraph">
                  <wp:posOffset>2871470</wp:posOffset>
                </wp:positionV>
                <wp:extent cx="1856105" cy="17399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61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26" w:val="left"/>
                              </w:tabs>
                              <w:bidi w:val="0"/>
                              <w:spacing w:before="0" w:after="0" w:line="240" w:lineRule="auto"/>
                              <w:ind w:left="52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Eui:</w:t>
                              <w:tab/>
                              <w:t>OÇ./J2C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J &lt;£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22.85000000000002pt;margin-top:226.09999999999999pt;width:146.15000000000001pt;height:13.6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26" w:val="left"/>
                        </w:tabs>
                        <w:bidi w:val="0"/>
                        <w:spacing w:before="0" w:after="0" w:line="240" w:lineRule="auto"/>
                        <w:ind w:left="52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Eui:</w:t>
                        <w:tab/>
                        <w:t>OÇ./J2C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u w:val="single"/>
                          <w:shd w:val="clear" w:color="auto" w:fill="auto"/>
                          <w:lang w:val="pt-PT" w:eastAsia="pt-PT" w:bidi="pt-PT"/>
                        </w:rPr>
                        <w:t>J &lt;£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Valor com pagamento de despesas administrativas;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R$ 34.806,60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 corrente (administrativa) em 31/05/2024: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R$ 8.208,21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Saido em conta corrente (previdenciária) em 31/05/2024: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R$ 144.214,51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Saldo em contas de investimento em 31/05/2024: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R$ 19.960,51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40" w:right="0" w:firstLine="0"/>
        <w:jc w:val="left"/>
      </w:pPr>
      <w:r>
        <w:rPr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màría l gurgel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84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Diretora Financeira</w:t>
      </w:r>
    </w:p>
    <w:sectPr>
      <w:footnotePr>
        <w:pos w:val="pageBottom"/>
        <w:numFmt w:val="decimal"/>
        <w:numRestart w:val="continuous"/>
      </w:footnotePr>
      <w:pgSz w:w="11900" w:h="16840"/>
      <w:pgMar w:top="1166" w:left="1467" w:right="1167" w:bottom="1166" w:header="738" w:footer="73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280"/>
      <w:ind w:left="9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5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