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1500" w:line="240" w:lineRule="auto"/>
        <w:ind w:left="300" w:right="0" w:firstLine="0"/>
        <w:jc w:val="left"/>
      </w:pPr>
      <w:bookmarkStart w:id="0" w:name="bookmark0"/>
      <w:r>
        <w:rPr>
          <w:color w:val="000000"/>
          <w:spacing w:val="0"/>
          <w:w w:val="100"/>
          <w:position w:val="0"/>
          <w:shd w:val="clear" w:color="auto" w:fill="auto"/>
          <w:lang w:val="pt-PT" w:eastAsia="pt-PT" w:bidi="pt-PT"/>
        </w:rPr>
        <w:t>POLÍTICA DE INVESTIMENTOS 2026</w:t>
      </w:r>
      <w:bookmarkEnd w:id="0"/>
    </w:p>
    <w:p>
      <w:pPr>
        <w:pStyle w:val="Style7"/>
        <w:keepNext w:val="0"/>
        <w:keepLines w:val="0"/>
        <w:widowControl w:val="0"/>
        <w:shd w:val="clear" w:color="auto" w:fill="auto"/>
        <w:bidi w:val="0"/>
        <w:spacing w:before="0" w:after="960" w:line="240" w:lineRule="auto"/>
        <w:ind w:left="0" w:right="0" w:firstLine="0"/>
        <w:jc w:val="left"/>
        <w:rPr>
          <w:sz w:val="28"/>
          <w:szCs w:val="28"/>
        </w:rPr>
      </w:pPr>
      <w:r>
        <w:rPr>
          <w:b/>
          <w:bCs/>
          <w:color w:val="4E6896"/>
          <w:spacing w:val="0"/>
          <w:w w:val="100"/>
          <w:position w:val="0"/>
          <w:sz w:val="28"/>
          <w:szCs w:val="28"/>
          <w:shd w:val="clear" w:color="auto" w:fill="auto"/>
          <w:lang w:val="pt-PT" w:eastAsia="pt-PT" w:bidi="pt-PT"/>
        </w:rPr>
        <w:t>&gt; POLÍTICA DE INVESTIMENTOS 2026</w:t>
      </w:r>
    </w:p>
    <w:p>
      <w:pPr>
        <w:pStyle w:val="Style10"/>
        <w:keepNext w:val="0"/>
        <w:keepLines w:val="0"/>
        <w:widowControl w:val="0"/>
        <w:shd w:val="clear" w:color="auto" w:fill="auto"/>
        <w:bidi w:val="0"/>
        <w:spacing w:before="0" w:after="100" w:line="283" w:lineRule="auto"/>
        <w:ind w:left="1120" w:right="0" w:firstLine="720"/>
        <w:jc w:val="both"/>
      </w:pPr>
      <w:r>
        <w:rPr>
          <w:color w:val="000000"/>
          <w:spacing w:val="0"/>
          <w:w w:val="100"/>
          <w:position w:val="0"/>
          <w:shd w:val="clear" w:color="auto" w:fill="auto"/>
          <w:lang w:val="pt-PT" w:eastAsia="pt-PT" w:bidi="pt-PT"/>
        </w:rPr>
        <w:t>Os responsáveis pela gestão do Regime Próprio de Previdência Social (RPPS), antes do exercício a que se referir, deverão definir a política anual de aplicação dos recursos, isto é, a Política de Investimentos. Este documento estabelece o processo de investimento, ajudando o investidor a entender suas necessidades específicas e aumentando a probabilidade de decisões adequadas ao seu perfil de investidor.</w:t>
      </w:r>
    </w:p>
    <w:p>
      <w:pPr>
        <w:pStyle w:val="Style10"/>
        <w:keepNext w:val="0"/>
        <w:keepLines w:val="0"/>
        <w:widowControl w:val="0"/>
        <w:shd w:val="clear" w:color="auto" w:fill="auto"/>
        <w:bidi w:val="0"/>
        <w:spacing w:before="0" w:after="100" w:line="288" w:lineRule="auto"/>
        <w:ind w:left="1120" w:right="0" w:firstLine="720"/>
        <w:jc w:val="both"/>
      </w:pPr>
      <w:r>
        <w:rPr>
          <w:color w:val="000000"/>
          <w:spacing w:val="0"/>
          <w:w w:val="100"/>
          <w:position w:val="0"/>
          <w:shd w:val="clear" w:color="auto" w:fill="auto"/>
          <w:lang w:val="pt-PT" w:eastAsia="pt-PT" w:bidi="pt-PT"/>
        </w:rPr>
        <w:t>A elaboração desta Política de Investimentos representa uma formalidade legal que fundamenta e orienta todo o processo de tomada de decisão relativo aos investimentos do RPPS, servindo como instrumento necessário para garantir a consistência na gestão dos recursos e a busca pelo equilíbrio económico-financeiro.</w:t>
      </w:r>
    </w:p>
    <w:p>
      <w:pPr>
        <w:pStyle w:val="Style10"/>
        <w:keepNext w:val="0"/>
        <w:keepLines w:val="0"/>
        <w:widowControl w:val="0"/>
        <w:shd w:val="clear" w:color="auto" w:fill="auto"/>
        <w:bidi w:val="0"/>
        <w:spacing w:before="0" w:after="100"/>
        <w:ind w:left="1120" w:right="0" w:firstLine="720"/>
        <w:jc w:val="both"/>
      </w:pPr>
      <w:r>
        <w:rPr>
          <w:color w:val="000000"/>
          <w:spacing w:val="0"/>
          <w:w w:val="100"/>
          <w:position w:val="0"/>
          <w:shd w:val="clear" w:color="auto" w:fill="auto"/>
          <w:lang w:val="pt-PT" w:eastAsia="pt-PT" w:bidi="pt-PT"/>
        </w:rPr>
        <w:t>A presente Política estabelece os princípios e diretrizes que devem reger os investimentos dos recursos conferidos à entidade, com vistas a promover a segurança, a liquidez e a rentabilidade necessárias para complementar o equilíbrio entre os ativos e passivos do Plano de Benefícios.</w:t>
      </w:r>
    </w:p>
    <w:p>
      <w:pPr>
        <w:pStyle w:val="Style10"/>
        <w:keepNext w:val="0"/>
        <w:keepLines w:val="0"/>
        <w:widowControl w:val="0"/>
        <w:shd w:val="clear" w:color="auto" w:fill="auto"/>
        <w:bidi w:val="0"/>
        <w:spacing w:before="0" w:after="100"/>
        <w:ind w:left="1120" w:right="0" w:firstLine="720"/>
        <w:jc w:val="both"/>
        <w:rPr>
          <w:sz w:val="15"/>
          <w:szCs w:val="15"/>
        </w:rPr>
      </w:pPr>
      <w:r>
        <w:rPr>
          <w:color w:val="000000"/>
          <w:spacing w:val="0"/>
          <w:w w:val="100"/>
          <w:position w:val="0"/>
          <w:sz w:val="16"/>
          <w:szCs w:val="16"/>
          <w:shd w:val="clear" w:color="auto" w:fill="auto"/>
          <w:lang w:val="pt-PT" w:eastAsia="pt-PT" w:bidi="pt-PT"/>
        </w:rPr>
        <w:t xml:space="preserve">A Política de Investimentos do RPPS deve ser constituída pelos seguintes elementos básicos: o modelo de gestão a ser adotado e, se for o caso, os critérios para a contratação de pessoas jurídicas autorizadas, nos termos da legislação em vigor, para o exercício profissional de administração de carteiras; a estratégia de </w:t>
      </w:r>
      <w:r>
        <w:rPr>
          <w:color w:val="000000"/>
          <w:spacing w:val="0"/>
          <w:w w:val="100"/>
          <w:position w:val="0"/>
          <w:sz w:val="16"/>
          <w:szCs w:val="16"/>
          <w:shd w:val="clear" w:color="auto" w:fill="auto"/>
          <w:lang w:val="pt-BR" w:eastAsia="pt-BR" w:bidi="pt-BR"/>
        </w:rPr>
        <w:t xml:space="preserve">alocação </w:t>
      </w:r>
      <w:r>
        <w:rPr>
          <w:color w:val="000000"/>
          <w:spacing w:val="0"/>
          <w:w w:val="100"/>
          <w:position w:val="0"/>
          <w:sz w:val="16"/>
          <w:szCs w:val="16"/>
          <w:shd w:val="clear" w:color="auto" w:fill="auto"/>
          <w:lang w:val="pt-PT" w:eastAsia="pt-PT" w:bidi="pt-PT"/>
        </w:rPr>
        <w:t xml:space="preserve">dos recursos entre os diversos segmentos de aplicação e as </w:t>
      </w:r>
      <w:r>
        <w:rPr>
          <w:color w:val="000000"/>
          <w:spacing w:val="0"/>
          <w:w w:val="100"/>
          <w:position w:val="0"/>
          <w:sz w:val="16"/>
          <w:szCs w:val="16"/>
          <w:shd w:val="clear" w:color="auto" w:fill="auto"/>
          <w:lang w:val="pt-BR" w:eastAsia="pt-BR" w:bidi="pt-BR"/>
        </w:rPr>
        <w:t xml:space="preserve">respectivas </w:t>
      </w:r>
      <w:r>
        <w:rPr>
          <w:color w:val="000000"/>
          <w:spacing w:val="0"/>
          <w:w w:val="100"/>
          <w:position w:val="0"/>
          <w:sz w:val="16"/>
          <w:szCs w:val="16"/>
          <w:shd w:val="clear" w:color="auto" w:fill="auto"/>
          <w:lang w:val="pt-PT" w:eastAsia="pt-PT" w:bidi="pt-PT"/>
        </w:rPr>
        <w:t xml:space="preserve">carteiras de investimentos; os parâmetros de rentabilidade perseguidos, que deverão buscar compatibilidade com o perfil de suas obrigações, tendo em vista a necessidade de busca e manutenção do equilíbrio financeiro e atuarial; e os limites de diversificação e concentração previstos na legislação, bem como os limites utilizados para investimentos em títulos e valores mobiliários de emissão ou coobrigação de uma mesma pessoa jurídica - </w:t>
      </w:r>
      <w:r>
        <w:rPr>
          <w:b/>
          <w:bCs/>
          <w:color w:val="000000"/>
          <w:spacing w:val="0"/>
          <w:w w:val="100"/>
          <w:position w:val="0"/>
          <w:sz w:val="15"/>
          <w:szCs w:val="15"/>
          <w:shd w:val="clear" w:color="auto" w:fill="auto"/>
          <w:lang w:val="pt-PT" w:eastAsia="pt-PT" w:bidi="pt-PT"/>
        </w:rPr>
        <w:t>conforme Resolução CMN 5.272/2025.</w:t>
      </w:r>
    </w:p>
    <w:p>
      <w:pPr>
        <w:pStyle w:val="Style10"/>
        <w:keepNext w:val="0"/>
        <w:keepLines w:val="0"/>
        <w:widowControl w:val="0"/>
        <w:shd w:val="clear" w:color="auto" w:fill="auto"/>
        <w:bidi w:val="0"/>
        <w:spacing w:before="0" w:after="100" w:line="283" w:lineRule="auto"/>
        <w:ind w:left="1120" w:right="0" w:firstLine="720"/>
        <w:jc w:val="both"/>
      </w:pPr>
      <w:r>
        <w:rPr>
          <w:color w:val="000000"/>
          <w:spacing w:val="0"/>
          <w:w w:val="100"/>
          <w:position w:val="0"/>
          <w:shd w:val="clear" w:color="auto" w:fill="auto"/>
          <w:lang w:val="pt-PT" w:eastAsia="pt-PT" w:bidi="pt-PT"/>
        </w:rPr>
        <w:t xml:space="preserve">Em suma, a Política de Investimentos traz os limites de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em ativos de renda fixa, renda variável, estruturados, fundos imobiliários e empréstimos consignados, em consonância com a legislação vigente. Além desses limites, há vedações específicas que visam dotar os gestores de orientações quanto à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dos recursos financeiros em produtos e ativos adequados ao perfil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atuariais do RPPS.</w:t>
      </w:r>
    </w:p>
    <w:p>
      <w:pPr>
        <w:pStyle w:val="Style10"/>
        <w:keepNext w:val="0"/>
        <w:keepLines w:val="0"/>
        <w:widowControl w:val="0"/>
        <w:shd w:val="clear" w:color="auto" w:fill="auto"/>
        <w:bidi w:val="0"/>
        <w:spacing w:before="0" w:after="100" w:line="283" w:lineRule="auto"/>
        <w:ind w:left="1120" w:right="0" w:firstLine="720"/>
        <w:jc w:val="both"/>
        <w:sectPr>
          <w:headerReference w:type="default" r:id="rId5"/>
          <w:headerReference w:type="even" r:id="rId6"/>
          <w:footnotePr>
            <w:pos w:val="pageBottom"/>
            <w:numFmt w:val="decimal"/>
            <w:numRestart w:val="continuous"/>
          </w:footnotePr>
          <w:pgSz w:w="11900" w:h="16840"/>
          <w:pgMar w:top="2642" w:left="1851" w:right="1365" w:bottom="2642" w:header="0" w:footer="2214" w:gutter="0"/>
          <w:pgNumType w:start="1"/>
          <w:cols w:space="720"/>
          <w:noEndnote/>
          <w:rtlGutter w:val="0"/>
          <w:docGrid w:linePitch="360"/>
        </w:sectPr>
      </w:pPr>
      <w:r>
        <w:rPr>
          <w:color w:val="000000"/>
          <w:spacing w:val="0"/>
          <w:w w:val="100"/>
          <w:position w:val="0"/>
          <w:shd w:val="clear" w:color="auto" w:fill="auto"/>
          <w:lang w:val="pt-PT" w:eastAsia="pt-PT" w:bidi="pt-PT"/>
        </w:rPr>
        <w:t xml:space="preserve">São utilizados cenários projetados pelo mercado atual e futuro, bem como análises realizadas pela equipe da Consultoria Referência em conjunto com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O documento em questão pode ser revisto ou alterado, de forma justificada, com o objetivo de se adequar ao mercado ou a eventual nova legislação.</w:t>
      </w:r>
    </w:p>
    <w:p>
      <w:pPr>
        <w:pStyle w:val="Style2"/>
        <w:keepNext/>
        <w:keepLines/>
        <w:widowControl w:val="0"/>
        <w:shd w:val="clear" w:color="auto" w:fill="auto"/>
        <w:bidi w:val="0"/>
        <w:spacing w:before="0"/>
        <w:ind w:firstLine="0"/>
        <w:jc w:val="left"/>
      </w:pPr>
      <w:bookmarkStart w:id="1" w:name="bookmark1"/>
      <w:r>
        <w:rPr>
          <w:color w:val="000000"/>
          <w:spacing w:val="0"/>
          <w:w w:val="100"/>
          <w:position w:val="0"/>
          <w:shd w:val="clear" w:color="auto" w:fill="auto"/>
          <w:lang w:val="pt-PT" w:eastAsia="pt-PT" w:bidi="pt-PT"/>
        </w:rPr>
        <w:t>FUNDO DE APOSENTADORIA E PENSÕES DOS SERVIDORES MUNICIPAIS DE ENVIRA</w:t>
      </w:r>
      <w:bookmarkEnd w:id="1"/>
    </w:p>
    <w:p>
      <w:pPr>
        <w:pStyle w:val="Style13"/>
        <w:keepNext w:val="0"/>
        <w:keepLines w:val="0"/>
        <w:widowControl w:val="0"/>
        <w:shd w:val="clear" w:color="auto" w:fill="auto"/>
        <w:bidi w:val="0"/>
        <w:spacing w:before="0" w:after="1180" w:line="269" w:lineRule="auto"/>
        <w:ind w:left="2260" w:right="0" w:firstLine="20"/>
        <w:jc w:val="both"/>
      </w:pPr>
      <w:r>
        <w:rPr>
          <w:color w:val="000000"/>
          <w:spacing w:val="0"/>
          <w:w w:val="100"/>
          <w:position w:val="0"/>
          <w:shd w:val="clear" w:color="auto" w:fill="auto"/>
          <w:lang w:val="pt-PT" w:eastAsia="pt-PT" w:bidi="pt-PT"/>
        </w:rPr>
        <w:t xml:space="preserve">A elaboração desta Política de Investimentos foi conduzida pelo </w:t>
      </w:r>
      <w:r>
        <w:rPr>
          <w:b/>
          <w:bCs/>
          <w:color w:val="000000"/>
          <w:spacing w:val="0"/>
          <w:w w:val="100"/>
          <w:position w:val="0"/>
          <w:sz w:val="18"/>
          <w:szCs w:val="18"/>
          <w:shd w:val="clear" w:color="auto" w:fill="auto"/>
          <w:lang w:val="pt-PT" w:eastAsia="pt-PT" w:bidi="pt-PT"/>
        </w:rPr>
        <w:t xml:space="preserve">Gestor de Recursos </w:t>
      </w:r>
      <w:r>
        <w:rPr>
          <w:color w:val="000000"/>
          <w:spacing w:val="0"/>
          <w:w w:val="100"/>
          <w:position w:val="0"/>
          <w:shd w:val="clear" w:color="auto" w:fill="auto"/>
          <w:lang w:val="pt-PT" w:eastAsia="pt-PT" w:bidi="pt-PT"/>
        </w:rPr>
        <w:t xml:space="preserve">e pelos membros do </w:t>
      </w:r>
      <w:r>
        <w:rPr>
          <w:b/>
          <w:bCs/>
          <w:color w:val="000000"/>
          <w:spacing w:val="0"/>
          <w:w w:val="100"/>
          <w:position w:val="0"/>
          <w:sz w:val="18"/>
          <w:szCs w:val="18"/>
          <w:shd w:val="clear" w:color="auto" w:fill="auto"/>
          <w:lang w:val="pt-BR" w:eastAsia="pt-BR" w:bidi="pt-BR"/>
        </w:rPr>
        <w:t xml:space="preserve">COMITÊ </w:t>
      </w:r>
      <w:r>
        <w:rPr>
          <w:b/>
          <w:bCs/>
          <w:color w:val="000000"/>
          <w:spacing w:val="0"/>
          <w:w w:val="100"/>
          <w:position w:val="0"/>
          <w:sz w:val="18"/>
          <w:szCs w:val="18"/>
          <w:shd w:val="clear" w:color="auto" w:fill="auto"/>
          <w:lang w:val="pt-PT" w:eastAsia="pt-PT" w:bidi="pt-PT"/>
        </w:rPr>
        <w:t xml:space="preserve">DE INVESTIMENTOS </w:t>
      </w:r>
      <w:r>
        <w:rPr>
          <w:color w:val="000000"/>
          <w:spacing w:val="0"/>
          <w:w w:val="100"/>
          <w:position w:val="0"/>
          <w:shd w:val="clear" w:color="auto" w:fill="auto"/>
          <w:lang w:val="pt-PT" w:eastAsia="pt-PT" w:bidi="pt-PT"/>
        </w:rPr>
        <w:t xml:space="preserve">deste RPPS, como órgão auxiliar no processo decisório quanto à execução da Política de </w:t>
      </w:r>
      <w:r>
        <w:rPr>
          <w:color w:val="000000"/>
          <w:spacing w:val="0"/>
          <w:w w:val="100"/>
          <w:position w:val="0"/>
          <w:shd w:val="clear" w:color="auto" w:fill="auto"/>
          <w:lang w:val="pt-BR" w:eastAsia="pt-BR" w:bidi="pt-BR"/>
        </w:rPr>
        <w:t xml:space="preserve">Investimentos, </w:t>
      </w:r>
      <w:r>
        <w:rPr>
          <w:color w:val="000000"/>
          <w:spacing w:val="0"/>
          <w:w w:val="100"/>
          <w:position w:val="0"/>
          <w:shd w:val="clear" w:color="auto" w:fill="auto"/>
          <w:lang w:val="pt-PT" w:eastAsia="pt-PT" w:bidi="pt-PT"/>
        </w:rPr>
        <w:t xml:space="preserve">cujas decisões serão registradas em ata. Ainda, subscreve juntamente com os membros mencionados acima, o </w:t>
      </w:r>
      <w:r>
        <w:rPr>
          <w:b/>
          <w:bCs/>
          <w:color w:val="000000"/>
          <w:spacing w:val="0"/>
          <w:w w:val="100"/>
          <w:position w:val="0"/>
          <w:sz w:val="18"/>
          <w:szCs w:val="18"/>
          <w:shd w:val="clear" w:color="auto" w:fill="auto"/>
          <w:lang w:val="pt-PT" w:eastAsia="pt-PT" w:bidi="pt-PT"/>
        </w:rPr>
        <w:t xml:space="preserve">CONSELHO MUNICIPAL DE PREVIDÊNCIA - CMP </w:t>
      </w:r>
      <w:r>
        <w:rPr>
          <w:color w:val="000000"/>
          <w:spacing w:val="0"/>
          <w:w w:val="100"/>
          <w:position w:val="0"/>
          <w:shd w:val="clear" w:color="auto" w:fill="auto"/>
          <w:lang w:val="pt-PT" w:eastAsia="pt-PT" w:bidi="pt-PT"/>
        </w:rPr>
        <w:t xml:space="preserve">que terá o papel decisório, sobre a aplicação das decisões aqui estabelecidas, devendo, também, registrar em ata 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aprovação.</w:t>
      </w:r>
    </w:p>
    <w:p>
      <w:pPr>
        <w:pStyle w:val="Style16"/>
        <w:keepNext/>
        <w:keepLines/>
        <w:widowControl w:val="0"/>
        <w:shd w:val="clear" w:color="auto" w:fill="auto"/>
        <w:bidi w:val="0"/>
        <w:spacing w:before="0" w:after="0" w:line="422" w:lineRule="auto"/>
        <w:ind w:left="0" w:right="0" w:firstLine="0"/>
        <w:jc w:val="both"/>
        <w:rPr>
          <w:sz w:val="19"/>
          <w:szCs w:val="19"/>
        </w:rPr>
      </w:pPr>
      <w:bookmarkStart w:id="2" w:name="bookmark2"/>
      <w:r>
        <w:rPr>
          <w:color w:val="000000"/>
          <w:spacing w:val="0"/>
          <w:w w:val="100"/>
          <w:position w:val="0"/>
          <w:sz w:val="18"/>
          <w:szCs w:val="18"/>
          <w:shd w:val="clear" w:color="auto" w:fill="auto"/>
          <w:lang w:val="pt-PT" w:eastAsia="pt-PT" w:bidi="pt-PT"/>
        </w:rPr>
        <w:t xml:space="preserve">FUNDO DE APOSENTADORIA E PENSÕES DOS SERVIDORES MUNICIPAIS DE ENVIRA </w:t>
      </w:r>
      <w:r>
        <w:rPr>
          <w:b w:val="0"/>
          <w:bCs w:val="0"/>
          <w:color w:val="000000"/>
          <w:spacing w:val="0"/>
          <w:w w:val="100"/>
          <w:position w:val="0"/>
          <w:sz w:val="19"/>
          <w:szCs w:val="19"/>
          <w:shd w:val="clear" w:color="auto" w:fill="auto"/>
          <w:lang w:val="pt-PT" w:eastAsia="pt-PT" w:bidi="pt-PT"/>
        </w:rPr>
        <w:t>CNPJ: 05.285.565/0001-86</w:t>
      </w:r>
      <w:bookmarkEnd w:id="2"/>
    </w:p>
    <w:p>
      <w:pPr>
        <w:pStyle w:val="Style13"/>
        <w:keepNext w:val="0"/>
        <w:keepLines w:val="0"/>
        <w:widowControl w:val="0"/>
        <w:shd w:val="clear" w:color="auto" w:fill="auto"/>
        <w:bidi w:val="0"/>
        <w:spacing w:before="0" w:after="0" w:line="410" w:lineRule="auto"/>
        <w:ind w:left="0" w:right="0" w:firstLine="0"/>
        <w:jc w:val="both"/>
      </w:pPr>
      <w:r>
        <w:rPr>
          <w:color w:val="000000"/>
          <w:spacing w:val="0"/>
          <w:w w:val="100"/>
          <w:position w:val="0"/>
          <w:shd w:val="clear" w:color="auto" w:fill="auto"/>
          <w:lang w:val="pt-PT" w:eastAsia="pt-PT" w:bidi="pt-PT"/>
        </w:rPr>
        <w:t>Rua Joaquim Envira, 381 - Centro - Envira</w:t>
      </w:r>
    </w:p>
    <w:p>
      <w:pPr>
        <w:pStyle w:val="Style13"/>
        <w:keepNext w:val="0"/>
        <w:keepLines w:val="0"/>
        <w:widowControl w:val="0"/>
        <w:shd w:val="clear" w:color="auto" w:fill="auto"/>
        <w:bidi w:val="0"/>
        <w:spacing w:before="0" w:after="0" w:line="410" w:lineRule="auto"/>
        <w:ind w:left="0" w:right="0" w:firstLine="0"/>
        <w:jc w:val="both"/>
      </w:pP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lang w:val="pt-PT" w:eastAsia="pt-PT" w:bidi="pt-PT"/>
        </w:rPr>
        <w:t>69870-000</w:t>
      </w:r>
    </w:p>
    <w:p>
      <w:pPr>
        <w:pStyle w:val="Style13"/>
        <w:keepNext w:val="0"/>
        <w:keepLines w:val="0"/>
        <w:widowControl w:val="0"/>
        <w:shd w:val="clear" w:color="auto" w:fill="auto"/>
        <w:bidi w:val="0"/>
        <w:spacing w:before="0" w:after="0" w:line="410" w:lineRule="auto"/>
        <w:ind w:left="0" w:right="0" w:firstLine="0"/>
        <w:jc w:val="both"/>
      </w:pPr>
      <w:r>
        <w:rPr>
          <w:color w:val="000000"/>
          <w:spacing w:val="0"/>
          <w:w w:val="100"/>
          <w:position w:val="0"/>
          <w:shd w:val="clear" w:color="auto" w:fill="auto"/>
          <w:lang w:val="pt-PT" w:eastAsia="pt-PT" w:bidi="pt-PT"/>
        </w:rPr>
        <w:t>AMAZONAS</w:t>
      </w:r>
    </w:p>
    <w:p>
      <w:pPr>
        <w:pStyle w:val="Style13"/>
        <w:keepNext w:val="0"/>
        <w:keepLines w:val="0"/>
        <w:widowControl w:val="0"/>
        <w:shd w:val="clear" w:color="auto" w:fill="auto"/>
        <w:bidi w:val="0"/>
        <w:spacing w:before="0" w:after="0" w:line="410" w:lineRule="auto"/>
        <w:ind w:left="0" w:right="0" w:firstLine="0"/>
        <w:jc w:val="left"/>
        <w:sectPr>
          <w:headerReference w:type="default" r:id="rId7"/>
          <w:headerReference w:type="even" r:id="rId8"/>
          <w:footnotePr>
            <w:pos w:val="pageBottom"/>
            <w:numFmt w:val="decimal"/>
            <w:numRestart w:val="continuous"/>
          </w:footnotePr>
          <w:pgSz w:w="11900" w:h="16840"/>
          <w:pgMar w:top="2247" w:left="1763" w:right="1453" w:bottom="2247" w:header="0" w:footer="3" w:gutter="0"/>
          <w:cols w:space="720"/>
          <w:noEndnote/>
          <w:rtlGutter w:val="0"/>
          <w:docGrid w:linePitch="360"/>
        </w:sectPr>
      </w:pPr>
      <w:r>
        <w:rPr>
          <w:color w:val="000000"/>
          <w:spacing w:val="0"/>
          <w:w w:val="100"/>
          <w:position w:val="0"/>
          <w:shd w:val="clear" w:color="auto" w:fill="auto"/>
          <w:lang w:val="pt-PT" w:eastAsia="pt-PT" w:bidi="pt-PT"/>
        </w:rPr>
        <w:t>(51) 37611-044</w:t>
      </w:r>
    </w:p>
    <w:p>
      <w:pPr>
        <w:widowControl w:val="0"/>
        <w:spacing w:line="1" w:lineRule="exact"/>
      </w:pPr>
      <w:r>
        <mc:AlternateContent>
          <mc:Choice Requires="wps">
            <w:drawing>
              <wp:anchor distT="0" distB="448310" distL="0" distR="0" simplePos="0" relativeHeight="125829378" behindDoc="0" locked="0" layoutInCell="1" allowOverlap="1">
                <wp:simplePos x="0" y="0"/>
                <wp:positionH relativeFrom="page">
                  <wp:posOffset>1033780</wp:posOffset>
                </wp:positionH>
                <wp:positionV relativeFrom="paragraph">
                  <wp:posOffset>0</wp:posOffset>
                </wp:positionV>
                <wp:extent cx="868680" cy="260350"/>
                <wp:wrapTopAndBottom/>
                <wp:docPr id="11" name="Shape 11"/>
                <a:graphic xmlns:a="http://schemas.openxmlformats.org/drawingml/2006/main">
                  <a:graphicData uri="http://schemas.microsoft.com/office/word/2010/wordprocessingShape">
                    <wps:wsp>
                      <wps:cNvSpPr txBox="1"/>
                      <wps:spPr>
                        <a:xfrm>
                          <a:ext cx="868680" cy="260350"/>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3" w:name="bookmark3"/>
                            <w:r>
                              <w:rPr>
                                <w:spacing w:val="0"/>
                                <w:w w:val="100"/>
                                <w:position w:val="0"/>
                                <w:shd w:val="clear" w:color="auto" w:fill="auto"/>
                                <w:lang w:val="pt-PT" w:eastAsia="pt-PT" w:bidi="pt-PT"/>
                              </w:rPr>
                              <w:t>Sumário</w:t>
                            </w:r>
                            <w:bookmarkEnd w:id="3"/>
                          </w:p>
                        </w:txbxContent>
                      </wps:txbx>
                      <wps:bodyPr wrap="none" lIns="0" tIns="0" rIns="0" bIns="0">
                        <a:noAutoFit/>
                      </wps:bodyPr>
                    </wps:wsp>
                  </a:graphicData>
                </a:graphic>
              </wp:anchor>
            </w:drawing>
          </mc:Choice>
          <mc:Fallback>
            <w:pict>
              <v:shape id="_x0000_s1037" type="#_x0000_t202" style="position:absolute;margin-left:81.400000000000006pt;margin-top:0;width:68.400000000000006pt;height:20.5pt;z-index:-125829375;mso-wrap-distance-left:0;mso-wrap-distance-right:0;mso-wrap-distance-bottom:35.299999999999997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3" w:name="bookmark3"/>
                      <w:r>
                        <w:rPr>
                          <w:spacing w:val="0"/>
                          <w:w w:val="100"/>
                          <w:position w:val="0"/>
                          <w:shd w:val="clear" w:color="auto" w:fill="auto"/>
                          <w:lang w:val="pt-PT" w:eastAsia="pt-PT" w:bidi="pt-PT"/>
                        </w:rPr>
                        <w:t>Sumário</w:t>
                      </w:r>
                      <w:bookmarkEnd w:id="3"/>
                    </w:p>
                  </w:txbxContent>
                </v:textbox>
                <w10:wrap type="topAndBottom" anchorx="page"/>
              </v:shape>
            </w:pict>
          </mc:Fallback>
        </mc:AlternateContent>
      </w:r>
      <w:r>
        <mc:AlternateContent>
          <mc:Choice Requires="wps">
            <w:drawing>
              <wp:anchor distT="498475" distB="22860" distL="0" distR="0" simplePos="0" relativeHeight="125829380" behindDoc="0" locked="0" layoutInCell="1" allowOverlap="1">
                <wp:simplePos x="0" y="0"/>
                <wp:positionH relativeFrom="page">
                  <wp:posOffset>1033780</wp:posOffset>
                </wp:positionH>
                <wp:positionV relativeFrom="paragraph">
                  <wp:posOffset>498475</wp:posOffset>
                </wp:positionV>
                <wp:extent cx="1207135" cy="187325"/>
                <wp:wrapTopAndBottom/>
                <wp:docPr id="13" name="Shape 13"/>
                <a:graphic xmlns:a="http://schemas.openxmlformats.org/drawingml/2006/main">
                  <a:graphicData uri="http://schemas.microsoft.com/office/word/2010/wordprocessingShape">
                    <wps:wsp>
                      <wps:cNvSpPr txBox="1"/>
                      <wps:spPr>
                        <a:xfrm>
                          <a:ext cx="1207135" cy="1873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4E6896"/>
                                <w:spacing w:val="0"/>
                                <w:w w:val="100"/>
                                <w:position w:val="0"/>
                                <w:sz w:val="18"/>
                                <w:szCs w:val="18"/>
                                <w:shd w:val="clear" w:color="auto" w:fill="auto"/>
                                <w:lang w:val="pt-PT" w:eastAsia="pt-PT" w:bidi="pt-PT"/>
                              </w:rPr>
                              <w:t xml:space="preserve">&gt; </w:t>
                            </w:r>
                            <w:r>
                              <w:rPr>
                                <w:b/>
                                <w:bCs/>
                                <w:color w:val="000000"/>
                                <w:spacing w:val="0"/>
                                <w:w w:val="100"/>
                                <w:position w:val="0"/>
                                <w:sz w:val="18"/>
                                <w:szCs w:val="18"/>
                                <w:shd w:val="clear" w:color="auto" w:fill="auto"/>
                                <w:lang w:val="pt-PT" w:eastAsia="pt-PT" w:bidi="pt-PT"/>
                              </w:rPr>
                              <w:t>APRESENTAÇÃO</w:t>
                            </w:r>
                          </w:p>
                        </w:txbxContent>
                      </wps:txbx>
                      <wps:bodyPr wrap="none" lIns="0" tIns="0" rIns="0" bIns="0">
                        <a:noAutoFit/>
                      </wps:bodyPr>
                    </wps:wsp>
                  </a:graphicData>
                </a:graphic>
              </wp:anchor>
            </w:drawing>
          </mc:Choice>
          <mc:Fallback>
            <w:pict>
              <v:shape id="_x0000_s1039" type="#_x0000_t202" style="position:absolute;margin-left:81.400000000000006pt;margin-top:39.25pt;width:95.049999999999997pt;height:14.75pt;z-index:-125829373;mso-wrap-distance-left:0;mso-wrap-distance-top:39.25pt;mso-wrap-distance-right:0;mso-wrap-distance-bottom:1.8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4E6896"/>
                          <w:spacing w:val="0"/>
                          <w:w w:val="100"/>
                          <w:position w:val="0"/>
                          <w:sz w:val="18"/>
                          <w:szCs w:val="18"/>
                          <w:shd w:val="clear" w:color="auto" w:fill="auto"/>
                          <w:lang w:val="pt-PT" w:eastAsia="pt-PT" w:bidi="pt-PT"/>
                        </w:rPr>
                        <w:t xml:space="preserve">&gt; </w:t>
                      </w:r>
                      <w:r>
                        <w:rPr>
                          <w:b/>
                          <w:bCs/>
                          <w:color w:val="000000"/>
                          <w:spacing w:val="0"/>
                          <w:w w:val="100"/>
                          <w:position w:val="0"/>
                          <w:sz w:val="18"/>
                          <w:szCs w:val="18"/>
                          <w:shd w:val="clear" w:color="auto" w:fill="auto"/>
                          <w:lang w:val="pt-PT" w:eastAsia="pt-PT" w:bidi="pt-PT"/>
                        </w:rPr>
                        <w:t>APRESENTAÇÃO</w:t>
                      </w:r>
                    </w:p>
                  </w:txbxContent>
                </v:textbox>
                <w10:wrap type="topAndBottom" anchorx="page"/>
              </v:shape>
            </w:pict>
          </mc:Fallback>
        </mc:AlternateContent>
      </w:r>
      <w:r>
        <mc:AlternateContent>
          <mc:Choice Requires="wps">
            <w:drawing>
              <wp:anchor distT="315595" distB="0" distL="0" distR="0" simplePos="0" relativeHeight="125829382" behindDoc="0" locked="0" layoutInCell="1" allowOverlap="1">
                <wp:simplePos x="0" y="0"/>
                <wp:positionH relativeFrom="page">
                  <wp:posOffset>2249805</wp:posOffset>
                </wp:positionH>
                <wp:positionV relativeFrom="paragraph">
                  <wp:posOffset>315595</wp:posOffset>
                </wp:positionV>
                <wp:extent cx="4439285" cy="393065"/>
                <wp:wrapTopAndBottom/>
                <wp:docPr id="15" name="Shape 15"/>
                <a:graphic xmlns:a="http://schemas.openxmlformats.org/drawingml/2006/main">
                  <a:graphicData uri="http://schemas.microsoft.com/office/word/2010/wordprocessingShape">
                    <wps:wsp>
                      <wps:cNvSpPr txBox="1"/>
                      <wps:spPr>
                        <a:xfrm>
                          <a:ext cx="4439285" cy="393065"/>
                        </a:xfrm>
                        <a:prstGeom prst="rect"/>
                        <a:noFill/>
                      </wps:spPr>
                      <wps:txbx>
                        <w:txbxContent>
                          <w:p>
                            <w:pPr>
                              <w:pStyle w:val="Style7"/>
                              <w:keepNext w:val="0"/>
                              <w:keepLines w:val="0"/>
                              <w:widowControl w:val="0"/>
                              <w:shd w:val="clear" w:color="auto" w:fill="auto"/>
                              <w:tabs>
                                <w:tab w:leader="dot" w:pos="6934" w:val="left"/>
                                <w:tab w:leader="dot" w:pos="6941" w:val="left"/>
                              </w:tabs>
                              <w:bidi w:val="0"/>
                              <w:spacing w:before="0" w:after="0" w:line="240" w:lineRule="auto"/>
                              <w:ind w:left="0" w:right="0" w:firstLine="0"/>
                              <w:jc w:val="both"/>
                              <w:rPr>
                                <w:sz w:val="46"/>
                                <w:szCs w:val="46"/>
                              </w:rPr>
                            </w:pPr>
                            <w:r>
                              <w:rPr>
                                <w:rFonts w:ascii="Times New Roman" w:eastAsia="Times New Roman" w:hAnsi="Times New Roman" w:cs="Times New Roman"/>
                                <w:i/>
                                <w:iCs/>
                                <w:color w:val="E89167"/>
                                <w:spacing w:val="0"/>
                                <w:w w:val="100"/>
                                <w:position w:val="0"/>
                                <w:sz w:val="46"/>
                                <w:szCs w:val="46"/>
                                <w:shd w:val="clear" w:color="auto" w:fill="auto"/>
                                <w:lang w:val="pt-PT" w:eastAsia="pt-PT" w:bidi="pt-PT"/>
                              </w:rPr>
                              <w:t>Í&gt;</w:t>
                            </w:r>
                            <w:r>
                              <w:rPr>
                                <w:rFonts w:ascii="Times New Roman" w:eastAsia="Times New Roman" w:hAnsi="Times New Roman" w:cs="Times New Roman"/>
                                <w:i/>
                                <w:iCs/>
                                <w:color w:val="000000"/>
                                <w:spacing w:val="0"/>
                                <w:w w:val="100"/>
                                <w:position w:val="0"/>
                                <w:sz w:val="46"/>
                                <w:szCs w:val="46"/>
                                <w:shd w:val="clear" w:color="auto" w:fill="auto"/>
                                <w:lang w:val="pt-PT" w:eastAsia="pt-PT" w:bidi="pt-PT"/>
                              </w:rPr>
                              <w:tab/>
                            </w:r>
                            <w:r>
                              <w:rPr>
                                <w:rFonts w:ascii="Times New Roman" w:eastAsia="Times New Roman" w:hAnsi="Times New Roman" w:cs="Times New Roman"/>
                                <w:i/>
                                <w:iCs/>
                                <w:color w:val="000000"/>
                                <w:spacing w:val="0"/>
                                <w:w w:val="100"/>
                                <w:position w:val="0"/>
                                <w:sz w:val="46"/>
                                <w:szCs w:val="46"/>
                                <w:shd w:val="clear" w:color="auto" w:fill="auto"/>
                                <w:lang w:val="pt-PT" w:eastAsia="pt-PT" w:bidi="pt-PT"/>
                              </w:rPr>
                              <w:tab/>
                            </w:r>
                          </w:p>
                        </w:txbxContent>
                      </wps:txbx>
                      <wps:bodyPr wrap="none" lIns="0" tIns="0" rIns="0" bIns="0">
                        <a:noAutoFit/>
                      </wps:bodyPr>
                    </wps:wsp>
                  </a:graphicData>
                </a:graphic>
              </wp:anchor>
            </w:drawing>
          </mc:Choice>
          <mc:Fallback>
            <w:pict>
              <v:shape id="_x0000_s1041" type="#_x0000_t202" style="position:absolute;margin-left:177.15000000000001pt;margin-top:24.850000000000001pt;width:349.55000000000001pt;height:30.949999999999999pt;z-index:-125829371;mso-wrap-distance-left:0;mso-wrap-distance-top:24.850000000000001pt;mso-wrap-distance-right:0;mso-position-horizontal-relative:page" filled="f" stroked="f">
                <v:textbox inset="0,0,0,0">
                  <w:txbxContent>
                    <w:p>
                      <w:pPr>
                        <w:pStyle w:val="Style7"/>
                        <w:keepNext w:val="0"/>
                        <w:keepLines w:val="0"/>
                        <w:widowControl w:val="0"/>
                        <w:shd w:val="clear" w:color="auto" w:fill="auto"/>
                        <w:tabs>
                          <w:tab w:leader="dot" w:pos="6934" w:val="left"/>
                          <w:tab w:leader="dot" w:pos="6941" w:val="left"/>
                        </w:tabs>
                        <w:bidi w:val="0"/>
                        <w:spacing w:before="0" w:after="0" w:line="240" w:lineRule="auto"/>
                        <w:ind w:left="0" w:right="0" w:firstLine="0"/>
                        <w:jc w:val="both"/>
                        <w:rPr>
                          <w:sz w:val="46"/>
                          <w:szCs w:val="46"/>
                        </w:rPr>
                      </w:pPr>
                      <w:r>
                        <w:rPr>
                          <w:rFonts w:ascii="Times New Roman" w:eastAsia="Times New Roman" w:hAnsi="Times New Roman" w:cs="Times New Roman"/>
                          <w:i/>
                          <w:iCs/>
                          <w:color w:val="E89167"/>
                          <w:spacing w:val="0"/>
                          <w:w w:val="100"/>
                          <w:position w:val="0"/>
                          <w:sz w:val="46"/>
                          <w:szCs w:val="46"/>
                          <w:shd w:val="clear" w:color="auto" w:fill="auto"/>
                          <w:lang w:val="pt-PT" w:eastAsia="pt-PT" w:bidi="pt-PT"/>
                        </w:rPr>
                        <w:t>Í&gt;</w:t>
                      </w:r>
                      <w:r>
                        <w:rPr>
                          <w:rFonts w:ascii="Times New Roman" w:eastAsia="Times New Roman" w:hAnsi="Times New Roman" w:cs="Times New Roman"/>
                          <w:i/>
                          <w:iCs/>
                          <w:color w:val="000000"/>
                          <w:spacing w:val="0"/>
                          <w:w w:val="100"/>
                          <w:position w:val="0"/>
                          <w:sz w:val="46"/>
                          <w:szCs w:val="46"/>
                          <w:shd w:val="clear" w:color="auto" w:fill="auto"/>
                          <w:lang w:val="pt-PT" w:eastAsia="pt-PT" w:bidi="pt-PT"/>
                        </w:rPr>
                        <w:tab/>
                      </w:r>
                      <w:r>
                        <w:rPr>
                          <w:rFonts w:ascii="Times New Roman" w:eastAsia="Times New Roman" w:hAnsi="Times New Roman" w:cs="Times New Roman"/>
                          <w:i/>
                          <w:iCs/>
                          <w:color w:val="000000"/>
                          <w:spacing w:val="0"/>
                          <w:w w:val="100"/>
                          <w:position w:val="0"/>
                          <w:sz w:val="46"/>
                          <w:szCs w:val="46"/>
                          <w:shd w:val="clear" w:color="auto" w:fill="auto"/>
                          <w:lang w:val="pt-PT" w:eastAsia="pt-PT" w:bidi="pt-PT"/>
                        </w:rPr>
                        <w:tab/>
                      </w:r>
                    </w:p>
                  </w:txbxContent>
                </v:textbox>
                <w10:wrap type="topAndBottom" anchorx="page"/>
              </v:shape>
            </w:pict>
          </mc:Fallback>
        </mc:AlternateContent>
      </w:r>
    </w:p>
    <w:p>
      <w:pPr>
        <w:pStyle w:val="Style13"/>
        <w:keepNext w:val="0"/>
        <w:keepLines w:val="0"/>
        <w:widowControl w:val="0"/>
        <w:shd w:val="clear" w:color="auto" w:fill="auto"/>
        <w:tabs>
          <w:tab w:leader="dot" w:pos="8647" w:val="left"/>
        </w:tabs>
        <w:bidi w:val="0"/>
        <w:spacing w:before="0" w:after="0" w:line="310" w:lineRule="auto"/>
        <w:ind w:left="0" w:right="600" w:firstLine="0"/>
        <w:jc w:val="right"/>
      </w:pPr>
      <w:r>
        <w:rPr>
          <w:color w:val="000000"/>
          <w:spacing w:val="0"/>
          <w:w w:val="100"/>
          <w:position w:val="0"/>
          <w:shd w:val="clear" w:color="auto" w:fill="auto"/>
          <w:lang w:val="pt-PT" w:eastAsia="pt-PT" w:bidi="pt-PT"/>
        </w:rPr>
        <w:t xml:space="preserve">Do </w:t>
      </w:r>
      <w:r>
        <w:rPr>
          <w:smallCaps/>
          <w:color w:val="000000"/>
          <w:spacing w:val="0"/>
          <w:w w:val="100"/>
          <w:position w:val="0"/>
          <w:shd w:val="clear" w:color="auto" w:fill="auto"/>
          <w:lang w:val="pt-PT" w:eastAsia="pt-PT" w:bidi="pt-PT"/>
        </w:rPr>
        <w:t>Objeto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5</w:t>
      </w:r>
    </w:p>
    <w:p>
      <w:pPr>
        <w:pStyle w:val="Style13"/>
        <w:keepNext w:val="0"/>
        <w:keepLines w:val="0"/>
        <w:widowControl w:val="0"/>
        <w:shd w:val="clear" w:color="auto" w:fill="auto"/>
        <w:tabs>
          <w:tab w:leader="dot" w:pos="8640" w:val="left"/>
          <w:tab w:leader="dot" w:pos="8647" w:val="left"/>
        </w:tabs>
        <w:bidi w:val="0"/>
        <w:spacing w:before="0" w:after="360" w:line="310" w:lineRule="auto"/>
        <w:ind w:left="0" w:right="600" w:firstLine="0"/>
        <w:jc w:val="right"/>
      </w:pPr>
      <w:r>
        <w:rPr>
          <w:smallCaps/>
          <w:color w:val="000000"/>
          <w:spacing w:val="0"/>
          <w:w w:val="100"/>
          <w:position w:val="0"/>
          <w:shd w:val="clear" w:color="auto" w:fill="auto"/>
          <w:lang w:val="pt-PT" w:eastAsia="pt-PT" w:bidi="pt-PT"/>
        </w:rPr>
        <w:t>Da Administração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5 </w:t>
      </w:r>
      <w:r>
        <w:rPr>
          <w:smallCaps/>
          <w:color w:val="000000"/>
          <w:spacing w:val="0"/>
          <w:w w:val="100"/>
          <w:position w:val="0"/>
          <w:shd w:val="clear" w:color="auto" w:fill="auto"/>
          <w:lang w:val="pt-PT" w:eastAsia="pt-PT" w:bidi="pt-PT"/>
        </w:rPr>
        <w:t xml:space="preserve">Da </w:t>
      </w:r>
      <w:r>
        <w:rPr>
          <w:smallCaps/>
          <w:color w:val="000000"/>
          <w:spacing w:val="0"/>
          <w:w w:val="100"/>
          <w:position w:val="0"/>
          <w:shd w:val="clear" w:color="auto" w:fill="auto"/>
          <w:lang w:val="pt-BR" w:eastAsia="pt-BR" w:bidi="pt-BR"/>
        </w:rPr>
        <w:t xml:space="preserve">Organização </w:t>
      </w:r>
      <w:r>
        <w:rPr>
          <w:smallCaps/>
          <w:color w:val="000000"/>
          <w:spacing w:val="0"/>
          <w:w w:val="100"/>
          <w:position w:val="0"/>
          <w:shd w:val="clear" w:color="auto" w:fill="auto"/>
          <w:lang w:val="pt-PT" w:eastAsia="pt-PT" w:bidi="pt-PT"/>
        </w:rPr>
        <w:t>do Documento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5</w:t>
      </w:r>
    </w:p>
    <w:p>
      <w:pPr>
        <w:pStyle w:val="Style13"/>
        <w:keepNext w:val="0"/>
        <w:keepLines w:val="0"/>
        <w:widowControl w:val="0"/>
        <w:shd w:val="clear" w:color="auto" w:fill="auto"/>
        <w:tabs>
          <w:tab w:pos="7200" w:val="left"/>
          <w:tab w:leader="dot" w:pos="8849" w:val="left"/>
        </w:tabs>
        <w:bidi w:val="0"/>
        <w:spacing w:before="0" w:line="326" w:lineRule="auto"/>
        <w:ind w:left="220" w:right="0" w:hanging="220"/>
        <w:jc w:val="both"/>
        <w:rPr>
          <w:sz w:val="18"/>
          <w:szCs w:val="18"/>
        </w:rPr>
      </w:pPr>
      <w:r>
        <w:rPr>
          <w:b/>
          <w:bCs/>
          <w:color w:val="000000"/>
          <w:spacing w:val="0"/>
          <w:w w:val="100"/>
          <w:position w:val="0"/>
          <w:sz w:val="18"/>
          <w:szCs w:val="18"/>
          <w:shd w:val="clear" w:color="auto" w:fill="auto"/>
          <w:lang w:val="pt-PT" w:eastAsia="pt-PT" w:bidi="pt-PT"/>
        </w:rPr>
        <w:t>►VIGÊNCIA E OBJETIVOS DA POLÍTICA DE INVESTIMENTOS 2026</w:t>
        <w:tab/>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6</w:t>
      </w:r>
    </w:p>
    <w:p>
      <w:pPr>
        <w:pStyle w:val="Style13"/>
        <w:keepNext w:val="0"/>
        <w:keepLines w:val="0"/>
        <w:widowControl w:val="0"/>
        <w:shd w:val="clear" w:color="auto" w:fill="auto"/>
        <w:tabs>
          <w:tab w:leader="dot" w:pos="8849" w:val="left"/>
          <w:tab w:leader="dot" w:pos="8863" w:val="left"/>
          <w:tab w:leader="dot" w:pos="8870" w:val="left"/>
        </w:tabs>
        <w:bidi w:val="0"/>
        <w:spacing w:before="0" w:after="0" w:line="480" w:lineRule="auto"/>
        <w:ind w:left="0" w:right="600" w:firstLine="0"/>
        <w:jc w:val="right"/>
        <w:rPr>
          <w:sz w:val="18"/>
          <w:szCs w:val="18"/>
        </w:rPr>
      </w:pPr>
      <w:r>
        <w:rPr>
          <w:smallCaps/>
          <w:color w:val="000000"/>
          <w:spacing w:val="0"/>
          <w:w w:val="100"/>
          <w:position w:val="0"/>
          <w:sz w:val="19"/>
          <w:szCs w:val="19"/>
          <w:shd w:val="clear" w:color="auto" w:fill="auto"/>
          <w:lang w:val="pt-PT" w:eastAsia="pt-PT" w:bidi="pt-PT"/>
        </w:rPr>
        <w:t>Da Vigência</w:t>
      </w:r>
      <w:r>
        <w:rPr>
          <w:color w:val="000000"/>
          <w:spacing w:val="0"/>
          <w:w w:val="100"/>
          <w:position w:val="0"/>
          <w:sz w:val="19"/>
          <w:szCs w:val="19"/>
          <w:shd w:val="clear" w:color="auto" w:fill="auto"/>
          <w:lang w:val="pt-PT" w:eastAsia="pt-PT" w:bidi="pt-PT"/>
        </w:rPr>
        <w:tab/>
      </w:r>
      <w:r>
        <w:rPr>
          <w:color w:val="000000"/>
          <w:spacing w:val="0"/>
          <w:w w:val="100"/>
          <w:position w:val="0"/>
          <w:sz w:val="19"/>
          <w:szCs w:val="19"/>
          <w:shd w:val="clear" w:color="auto" w:fill="auto"/>
          <w:lang w:val="pt-PT" w:eastAsia="pt-PT" w:bidi="pt-PT"/>
        </w:rPr>
        <w:t xml:space="preserve">6 Dos </w:t>
      </w:r>
      <w:r>
        <w:rPr>
          <w:smallCaps/>
          <w:color w:val="000000"/>
          <w:spacing w:val="0"/>
          <w:w w:val="100"/>
          <w:position w:val="0"/>
          <w:sz w:val="19"/>
          <w:szCs w:val="19"/>
          <w:shd w:val="clear" w:color="auto" w:fill="auto"/>
          <w:lang w:val="pt-PT" w:eastAsia="pt-PT" w:bidi="pt-PT"/>
        </w:rPr>
        <w:t>Objetivos</w:t>
      </w:r>
      <w:r>
        <w:rPr>
          <w:color w:val="000000"/>
          <w:spacing w:val="0"/>
          <w:w w:val="100"/>
          <w:position w:val="0"/>
          <w:sz w:val="19"/>
          <w:szCs w:val="19"/>
          <w:shd w:val="clear" w:color="auto" w:fill="auto"/>
          <w:lang w:val="pt-PT" w:eastAsia="pt-PT" w:bidi="pt-PT"/>
        </w:rPr>
        <w:tab/>
      </w:r>
      <w:r>
        <w:rPr>
          <w:color w:val="000000"/>
          <w:spacing w:val="0"/>
          <w:w w:val="100"/>
          <w:position w:val="0"/>
          <w:sz w:val="19"/>
          <w:szCs w:val="19"/>
          <w:shd w:val="clear" w:color="auto" w:fill="auto"/>
          <w:lang w:val="pt-PT" w:eastAsia="pt-PT" w:bidi="pt-PT"/>
        </w:rPr>
        <w:t xml:space="preserve">6 </w:t>
      </w:r>
      <w:r>
        <w:rPr>
          <w:b/>
          <w:bCs/>
          <w:color w:val="000000"/>
          <w:spacing w:val="0"/>
          <w:w w:val="100"/>
          <w:position w:val="0"/>
          <w:sz w:val="18"/>
          <w:szCs w:val="18"/>
          <w:shd w:val="clear" w:color="auto" w:fill="auto"/>
          <w:lang w:val="pt-PT" w:eastAsia="pt-PT" w:bidi="pt-PT"/>
        </w:rPr>
        <w:t xml:space="preserve">►MODELO </w:t>
      </w:r>
      <w:r>
        <w:rPr>
          <w:smallCaps/>
          <w:color w:val="000000"/>
          <w:spacing w:val="0"/>
          <w:w w:val="100"/>
          <w:position w:val="0"/>
          <w:sz w:val="24"/>
          <w:szCs w:val="24"/>
          <w:shd w:val="clear" w:color="auto" w:fill="auto"/>
          <w:lang w:val="pt-PT" w:eastAsia="pt-PT" w:bidi="pt-PT"/>
        </w:rPr>
        <w:t>de gestão e serviços</w:t>
      </w:r>
      <w:r>
        <w:rPr>
          <w:b/>
          <w:bCs/>
          <w:color w:val="000000"/>
          <w:spacing w:val="0"/>
          <w:w w:val="100"/>
          <w:position w:val="0"/>
          <w:sz w:val="18"/>
          <w:szCs w:val="18"/>
          <w:shd w:val="clear" w:color="auto" w:fill="auto"/>
          <w:lang w:val="pt-PT" w:eastAsia="pt-PT" w:bidi="pt-PT"/>
        </w:rPr>
        <w:t xml:space="preserve"> ESPECIALIZADOS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7</w:t>
      </w:r>
    </w:p>
    <w:p>
      <w:pPr>
        <w:pStyle w:val="Style13"/>
        <w:keepNext w:val="0"/>
        <w:keepLines w:val="0"/>
        <w:widowControl w:val="0"/>
        <w:shd w:val="clear" w:color="auto" w:fill="auto"/>
        <w:tabs>
          <w:tab w:leader="dot" w:pos="8849" w:val="left"/>
          <w:tab w:leader="dot" w:pos="8870" w:val="left"/>
        </w:tabs>
        <w:bidi w:val="0"/>
        <w:spacing w:before="0" w:after="220" w:line="470" w:lineRule="auto"/>
        <w:ind w:left="0" w:right="600" w:firstLine="0"/>
        <w:jc w:val="right"/>
        <w:rPr>
          <w:sz w:val="18"/>
          <w:szCs w:val="18"/>
        </w:rPr>
      </w:pPr>
      <w:r>
        <w:rPr>
          <w:color w:val="000000"/>
          <w:spacing w:val="0"/>
          <w:w w:val="100"/>
          <w:position w:val="0"/>
          <w:sz w:val="19"/>
          <w:szCs w:val="19"/>
          <w:shd w:val="clear" w:color="auto" w:fill="auto"/>
          <w:lang w:val="pt-PT" w:eastAsia="pt-PT" w:bidi="pt-PT"/>
        </w:rPr>
        <w:t xml:space="preserve">Do </w:t>
      </w:r>
      <w:r>
        <w:rPr>
          <w:smallCaps/>
          <w:color w:val="000000"/>
          <w:spacing w:val="0"/>
          <w:w w:val="100"/>
          <w:position w:val="0"/>
          <w:sz w:val="19"/>
          <w:szCs w:val="19"/>
          <w:shd w:val="clear" w:color="auto" w:fill="auto"/>
          <w:lang w:val="pt-PT" w:eastAsia="pt-PT" w:bidi="pt-PT"/>
        </w:rPr>
        <w:t>Modelo de Gestão</w:t>
      </w:r>
      <w:r>
        <w:rPr>
          <w:color w:val="000000"/>
          <w:spacing w:val="0"/>
          <w:w w:val="100"/>
          <w:position w:val="0"/>
          <w:sz w:val="19"/>
          <w:szCs w:val="19"/>
          <w:shd w:val="clear" w:color="auto" w:fill="auto"/>
          <w:lang w:val="pt-PT" w:eastAsia="pt-PT" w:bidi="pt-PT"/>
        </w:rPr>
        <w:tab/>
      </w:r>
      <w:r>
        <w:rPr>
          <w:color w:val="000000"/>
          <w:spacing w:val="0"/>
          <w:w w:val="100"/>
          <w:position w:val="0"/>
          <w:sz w:val="19"/>
          <w:szCs w:val="19"/>
          <w:shd w:val="clear" w:color="auto" w:fill="auto"/>
          <w:lang w:val="pt-PT" w:eastAsia="pt-PT" w:bidi="pt-PT"/>
        </w:rPr>
        <w:t xml:space="preserve">7 Dos </w:t>
      </w:r>
      <w:r>
        <w:rPr>
          <w:smallCaps/>
          <w:color w:val="000000"/>
          <w:spacing w:val="0"/>
          <w:w w:val="100"/>
          <w:position w:val="0"/>
          <w:sz w:val="19"/>
          <w:szCs w:val="19"/>
          <w:shd w:val="clear" w:color="auto" w:fill="auto"/>
          <w:lang w:val="pt-PT" w:eastAsia="pt-PT" w:bidi="pt-PT"/>
        </w:rPr>
        <w:t>Serviços Especializados</w:t>
      </w:r>
      <w:r>
        <w:rPr>
          <w:color w:val="000000"/>
          <w:spacing w:val="0"/>
          <w:w w:val="100"/>
          <w:position w:val="0"/>
          <w:sz w:val="19"/>
          <w:szCs w:val="19"/>
          <w:shd w:val="clear" w:color="auto" w:fill="auto"/>
          <w:lang w:val="pt-PT" w:eastAsia="pt-PT" w:bidi="pt-PT"/>
        </w:rPr>
        <w:tab/>
      </w:r>
      <w:r>
        <w:rPr>
          <w:color w:val="000000"/>
          <w:spacing w:val="0"/>
          <w:w w:val="100"/>
          <w:position w:val="0"/>
          <w:sz w:val="19"/>
          <w:szCs w:val="19"/>
          <w:shd w:val="clear" w:color="auto" w:fill="auto"/>
          <w:lang w:val="pt-PT" w:eastAsia="pt-PT" w:bidi="pt-PT"/>
        </w:rPr>
        <w:t xml:space="preserve">7 </w:t>
      </w:r>
      <w:r>
        <w:rPr>
          <w:b/>
          <w:bCs/>
          <w:color w:val="000000"/>
          <w:spacing w:val="0"/>
          <w:w w:val="100"/>
          <w:position w:val="0"/>
          <w:sz w:val="18"/>
          <w:szCs w:val="18"/>
          <w:shd w:val="clear" w:color="auto" w:fill="auto"/>
          <w:lang w:val="pt-PT" w:eastAsia="pt-PT" w:bidi="pt-PT"/>
        </w:rPr>
        <w:t xml:space="preserve">►ASPECTOS LEGAIS DA RESOLUÇÃO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8</w:t>
      </w:r>
    </w:p>
    <w:p>
      <w:pPr>
        <w:pStyle w:val="Style13"/>
        <w:keepNext w:val="0"/>
        <w:keepLines w:val="0"/>
        <w:widowControl w:val="0"/>
        <w:shd w:val="clear" w:color="auto" w:fill="auto"/>
        <w:tabs>
          <w:tab w:leader="dot" w:pos="8719" w:val="left"/>
        </w:tabs>
        <w:bidi w:val="0"/>
        <w:spacing w:before="0" w:after="0" w:line="518" w:lineRule="auto"/>
        <w:ind w:left="0" w:right="600" w:firstLine="0"/>
        <w:jc w:val="right"/>
        <w:rPr>
          <w:sz w:val="18"/>
          <w:szCs w:val="18"/>
        </w:rPr>
      </w:pPr>
      <w:r>
        <mc:AlternateContent>
          <mc:Choice Requires="wps">
            <w:drawing>
              <wp:anchor distT="0" distB="388620" distL="0" distR="5080" simplePos="0" relativeHeight="125829384" behindDoc="0" locked="0" layoutInCell="1" allowOverlap="1">
                <wp:simplePos x="0" y="0"/>
                <wp:positionH relativeFrom="page">
                  <wp:posOffset>4938395</wp:posOffset>
                </wp:positionH>
                <wp:positionV relativeFrom="paragraph">
                  <wp:posOffset>266700</wp:posOffset>
                </wp:positionV>
                <wp:extent cx="1883410" cy="351790"/>
                <wp:wrapSquare wrapText="left"/>
                <wp:docPr id="17" name="Shape 17"/>
                <a:graphic xmlns:a="http://schemas.openxmlformats.org/drawingml/2006/main">
                  <a:graphicData uri="http://schemas.microsoft.com/office/word/2010/wordprocessingShape">
                    <wps:wsp>
                      <wps:cNvSpPr txBox="1"/>
                      <wps:spPr>
                        <a:xfrm>
                          <a:ext cx="1883410" cy="351790"/>
                        </a:xfrm>
                        <a:prstGeom prst="rect"/>
                        <a:noFill/>
                      </wps:spPr>
                      <wps:txbx>
                        <w:txbxContent>
                          <w:p>
                            <w:pPr>
                              <w:pStyle w:val="Style13"/>
                              <w:keepNext w:val="0"/>
                              <w:keepLines w:val="0"/>
                              <w:widowControl w:val="0"/>
                              <w:shd w:val="clear" w:color="auto" w:fill="auto"/>
                              <w:bidi w:val="0"/>
                              <w:spacing w:before="0" w:after="0" w:line="286" w:lineRule="auto"/>
                              <w:ind w:left="0" w:right="0" w:firstLine="0"/>
                              <w:jc w:val="both"/>
                              <w:rPr>
                                <w:sz w:val="20"/>
                                <w:szCs w:val="20"/>
                              </w:rPr>
                            </w:pPr>
                            <w:r>
                              <w:rPr>
                                <w:smallCaps/>
                                <w:color w:val="000000"/>
                                <w:spacing w:val="0"/>
                                <w:w w:val="100"/>
                                <w:position w:val="0"/>
                                <w:sz w:val="20"/>
                                <w:szCs w:val="20"/>
                                <w:shd w:val="clear" w:color="auto" w:fill="auto"/>
                                <w:lang w:val="pt-PT" w:eastAsia="pt-PT" w:bidi="pt-PT"/>
                              </w:rPr>
                              <w:t>Erro! Indicador não definido. Erro! Indicador não definido.</w:t>
                            </w:r>
                          </w:p>
                        </w:txbxContent>
                      </wps:txbx>
                      <wps:bodyPr lIns="0" tIns="0" rIns="0" bIns="0">
                        <a:noAutoFit/>
                      </wps:bodyPr>
                    </wps:wsp>
                  </a:graphicData>
                </a:graphic>
              </wp:anchor>
            </w:drawing>
          </mc:Choice>
          <mc:Fallback>
            <w:pict>
              <v:shape id="_x0000_s1043" type="#_x0000_t202" style="position:absolute;margin-left:388.85000000000002pt;margin-top:21.pt;width:148.30000000000001pt;height:27.699999999999999pt;z-index:-125829369;mso-wrap-distance-left:0;mso-wrap-distance-right:0.40000000000000002pt;mso-wrap-distance-bottom:30.600000000000001pt;mso-position-horizontal-relative:page" filled="f" stroked="f">
                <v:textbox inset="0,0,0,0">
                  <w:txbxContent>
                    <w:p>
                      <w:pPr>
                        <w:pStyle w:val="Style13"/>
                        <w:keepNext w:val="0"/>
                        <w:keepLines w:val="0"/>
                        <w:widowControl w:val="0"/>
                        <w:shd w:val="clear" w:color="auto" w:fill="auto"/>
                        <w:bidi w:val="0"/>
                        <w:spacing w:before="0" w:after="0" w:line="286" w:lineRule="auto"/>
                        <w:ind w:left="0" w:right="0" w:firstLine="0"/>
                        <w:jc w:val="both"/>
                        <w:rPr>
                          <w:sz w:val="20"/>
                          <w:szCs w:val="20"/>
                        </w:rPr>
                      </w:pPr>
                      <w:r>
                        <w:rPr>
                          <w:smallCaps/>
                          <w:color w:val="000000"/>
                          <w:spacing w:val="0"/>
                          <w:w w:val="100"/>
                          <w:position w:val="0"/>
                          <w:sz w:val="20"/>
                          <w:szCs w:val="20"/>
                          <w:shd w:val="clear" w:color="auto" w:fill="auto"/>
                          <w:lang w:val="pt-PT" w:eastAsia="pt-PT" w:bidi="pt-PT"/>
                        </w:rPr>
                        <w:t>Erro! Indicador não definido. Erro! Indicador não definido.</w:t>
                      </w:r>
                    </w:p>
                  </w:txbxContent>
                </v:textbox>
                <w10:wrap type="square" side="left" anchorx="page"/>
              </v:shape>
            </w:pict>
          </mc:Fallback>
        </mc:AlternateContent>
      </w:r>
      <w:r>
        <mc:AlternateContent>
          <mc:Choice Requires="wps">
            <w:drawing>
              <wp:anchor distT="356870" distB="0" distL="0" distR="0" simplePos="0" relativeHeight="125829386" behindDoc="0" locked="0" layoutInCell="1" allowOverlap="1">
                <wp:simplePos x="0" y="0"/>
                <wp:positionH relativeFrom="page">
                  <wp:posOffset>4938395</wp:posOffset>
                </wp:positionH>
                <wp:positionV relativeFrom="paragraph">
                  <wp:posOffset>623570</wp:posOffset>
                </wp:positionV>
                <wp:extent cx="1888490" cy="384175"/>
                <wp:wrapSquare wrapText="left"/>
                <wp:docPr id="19" name="Shape 19"/>
                <a:graphic xmlns:a="http://schemas.openxmlformats.org/drawingml/2006/main">
                  <a:graphicData uri="http://schemas.microsoft.com/office/word/2010/wordprocessingShape">
                    <wps:wsp>
                      <wps:cNvSpPr txBox="1"/>
                      <wps:spPr>
                        <a:xfrm>
                          <a:ext cx="1888490" cy="384175"/>
                        </a:xfrm>
                        <a:prstGeom prst="rect"/>
                        <a:noFill/>
                      </wps:spPr>
                      <wps:txbx>
                        <w:txbxContent>
                          <w:p>
                            <w:pPr>
                              <w:pStyle w:val="Style13"/>
                              <w:keepNext w:val="0"/>
                              <w:keepLines w:val="0"/>
                              <w:widowControl w:val="0"/>
                              <w:shd w:val="clear" w:color="auto" w:fill="auto"/>
                              <w:bidi w:val="0"/>
                              <w:spacing w:before="0" w:after="0" w:line="293" w:lineRule="auto"/>
                              <w:ind w:left="0" w:right="0" w:firstLine="0"/>
                              <w:jc w:val="both"/>
                              <w:rPr>
                                <w:sz w:val="20"/>
                                <w:szCs w:val="20"/>
                              </w:rPr>
                            </w:pPr>
                            <w:r>
                              <w:rPr>
                                <w:smallCaps/>
                                <w:color w:val="000000"/>
                                <w:spacing w:val="0"/>
                                <w:w w:val="100"/>
                                <w:position w:val="0"/>
                                <w:sz w:val="20"/>
                                <w:szCs w:val="20"/>
                                <w:shd w:val="clear" w:color="auto" w:fill="auto"/>
                                <w:lang w:val="pt-PT" w:eastAsia="pt-PT" w:bidi="pt-PT"/>
                              </w:rPr>
                              <w:t>Erro! Indicador não definido. Erro! Indicador não definido.</w:t>
                            </w:r>
                          </w:p>
                        </w:txbxContent>
                      </wps:txbx>
                      <wps:bodyPr lIns="0" tIns="0" rIns="0" bIns="0">
                        <a:noAutoFit/>
                      </wps:bodyPr>
                    </wps:wsp>
                  </a:graphicData>
                </a:graphic>
              </wp:anchor>
            </w:drawing>
          </mc:Choice>
          <mc:Fallback>
            <w:pict>
              <v:shape id="_x0000_s1045" type="#_x0000_t202" style="position:absolute;margin-left:388.85000000000002pt;margin-top:49.100000000000001pt;width:148.69999999999999pt;height:30.25pt;z-index:-125829367;mso-wrap-distance-left:0;mso-wrap-distance-top:28.100000000000001pt;mso-wrap-distance-right:0;mso-position-horizontal-relative:page" filled="f" stroked="f">
                <v:textbox inset="0,0,0,0">
                  <w:txbxContent>
                    <w:p>
                      <w:pPr>
                        <w:pStyle w:val="Style13"/>
                        <w:keepNext w:val="0"/>
                        <w:keepLines w:val="0"/>
                        <w:widowControl w:val="0"/>
                        <w:shd w:val="clear" w:color="auto" w:fill="auto"/>
                        <w:bidi w:val="0"/>
                        <w:spacing w:before="0" w:after="0" w:line="293" w:lineRule="auto"/>
                        <w:ind w:left="0" w:right="0" w:firstLine="0"/>
                        <w:jc w:val="both"/>
                        <w:rPr>
                          <w:sz w:val="20"/>
                          <w:szCs w:val="20"/>
                        </w:rPr>
                      </w:pPr>
                      <w:r>
                        <w:rPr>
                          <w:smallCaps/>
                          <w:color w:val="000000"/>
                          <w:spacing w:val="0"/>
                          <w:w w:val="100"/>
                          <w:position w:val="0"/>
                          <w:sz w:val="20"/>
                          <w:szCs w:val="20"/>
                          <w:shd w:val="clear" w:color="auto" w:fill="auto"/>
                          <w:lang w:val="pt-PT" w:eastAsia="pt-PT" w:bidi="pt-PT"/>
                        </w:rPr>
                        <w:t>Erro! Indicador não definido. Erro! Indicador não definido.</w:t>
                      </w:r>
                    </w:p>
                  </w:txbxContent>
                </v:textbox>
                <w10:wrap type="square" side="left" anchorx="page"/>
              </v:shape>
            </w:pict>
          </mc:Fallback>
        </mc:AlternateContent>
      </w:r>
      <w:r>
        <w:rPr>
          <w:b/>
          <w:bCs/>
          <w:color w:val="000000"/>
          <w:spacing w:val="0"/>
          <w:w w:val="100"/>
          <w:position w:val="0"/>
          <w:sz w:val="18"/>
          <w:szCs w:val="18"/>
          <w:shd w:val="clear" w:color="auto" w:fill="auto"/>
          <w:lang w:val="pt-PT" w:eastAsia="pt-PT" w:bidi="pt-PT"/>
        </w:rPr>
        <w:t xml:space="preserve">►CONJUNTURA </w:t>
      </w:r>
      <w:r>
        <w:rPr>
          <w:b/>
          <w:bCs/>
          <w:color w:val="000000"/>
          <w:spacing w:val="0"/>
          <w:w w:val="100"/>
          <w:position w:val="0"/>
          <w:sz w:val="18"/>
          <w:szCs w:val="18"/>
          <w:shd w:val="clear" w:color="auto" w:fill="auto"/>
          <w:lang w:val="pt-BR" w:eastAsia="pt-BR" w:bidi="pt-BR"/>
        </w:rPr>
        <w:t xml:space="preserve">ECONÔMICA </w:t>
      </w:r>
      <w:r>
        <w:rPr>
          <w:b/>
          <w:bCs/>
          <w:color w:val="000000"/>
          <w:spacing w:val="0"/>
          <w:w w:val="100"/>
          <w:position w:val="0"/>
          <w:sz w:val="18"/>
          <w:szCs w:val="18"/>
          <w:shd w:val="clear" w:color="auto" w:fill="auto"/>
          <w:lang w:val="pt-PT" w:eastAsia="pt-PT" w:bidi="pt-PT"/>
        </w:rPr>
        <w:t xml:space="preserve">E ANÁLISE DE MERCADO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10</w:t>
      </w:r>
    </w:p>
    <w:p>
      <w:pPr>
        <w:pStyle w:val="Style13"/>
        <w:keepNext w:val="0"/>
        <w:keepLines w:val="0"/>
        <w:widowControl w:val="0"/>
        <w:shd w:val="clear" w:color="auto" w:fill="auto"/>
        <w:tabs>
          <w:tab w:leader="dot" w:pos="6059" w:val="left"/>
        </w:tabs>
        <w:bidi w:val="0"/>
        <w:spacing w:before="0" w:after="0" w:line="293" w:lineRule="auto"/>
        <w:ind w:left="220" w:right="0" w:firstLine="20"/>
        <w:jc w:val="both"/>
        <w:rPr>
          <w:sz w:val="20"/>
          <w:szCs w:val="20"/>
        </w:rPr>
      </w:pPr>
      <w:r>
        <w:rPr>
          <w:smallCaps/>
          <w:color w:val="000000"/>
          <w:spacing w:val="0"/>
          <w:w w:val="100"/>
          <w:position w:val="0"/>
          <w:sz w:val="20"/>
          <w:szCs w:val="20"/>
          <w:shd w:val="clear" w:color="auto" w:fill="auto"/>
          <w:lang w:val="pt-PT" w:eastAsia="pt-PT" w:bidi="pt-PT"/>
        </w:rPr>
        <w:t>Análise e Projeções</w:t>
      </w:r>
      <w:r>
        <w:rPr>
          <w:b/>
          <w:bCs/>
          <w:color w:val="000000"/>
          <w:spacing w:val="0"/>
          <w:w w:val="100"/>
          <w:position w:val="0"/>
          <w:sz w:val="18"/>
          <w:szCs w:val="18"/>
          <w:shd w:val="clear" w:color="auto" w:fill="auto"/>
          <w:lang w:val="pt-PT" w:eastAsia="pt-PT" w:bidi="pt-PT"/>
        </w:rPr>
        <w:t xml:space="preserve"> 2025/2026</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 xml:space="preserve"> </w:t>
      </w:r>
      <w:r>
        <w:rPr>
          <w:smallCaps/>
          <w:color w:val="000000"/>
          <w:spacing w:val="0"/>
          <w:w w:val="100"/>
          <w:position w:val="0"/>
          <w:sz w:val="20"/>
          <w:szCs w:val="20"/>
          <w:shd w:val="clear" w:color="auto" w:fill="auto"/>
          <w:lang w:val="pt-PT" w:eastAsia="pt-PT" w:bidi="pt-PT"/>
        </w:rPr>
        <w:t>Economia Mundial e taxa de câmbio</w:t>
      </w:r>
      <w:r>
        <w:rPr>
          <w:smallCaps/>
          <w:color w:val="000000"/>
          <w:spacing w:val="0"/>
          <w:w w:val="100"/>
          <w:position w:val="0"/>
          <w:sz w:val="20"/>
          <w:szCs w:val="20"/>
          <w:shd w:val="clear" w:color="auto" w:fill="auto"/>
          <w:lang w:val="pt-PT" w:eastAsia="pt-PT" w:bidi="pt-PT"/>
        </w:rPr>
        <w:tab/>
      </w:r>
    </w:p>
    <w:p>
      <w:pPr>
        <w:pStyle w:val="Style13"/>
        <w:keepNext w:val="0"/>
        <w:keepLines w:val="0"/>
        <w:widowControl w:val="0"/>
        <w:shd w:val="clear" w:color="auto" w:fill="auto"/>
        <w:tabs>
          <w:tab w:leader="dot" w:pos="6009" w:val="left"/>
          <w:tab w:leader="dot" w:pos="6066" w:val="left"/>
          <w:tab w:leader="dot" w:pos="6237" w:val="left"/>
        </w:tabs>
        <w:bidi w:val="0"/>
        <w:spacing w:before="0" w:after="360" w:line="293" w:lineRule="auto"/>
        <w:ind w:left="220" w:right="0" w:firstLine="20"/>
        <w:jc w:val="both"/>
        <w:rPr>
          <w:sz w:val="20"/>
          <w:szCs w:val="20"/>
        </w:rPr>
      </w:pPr>
      <w:r>
        <w:rPr>
          <w:smallCaps/>
          <w:color w:val="000000"/>
          <w:spacing w:val="0"/>
          <w:w w:val="100"/>
          <w:position w:val="0"/>
          <w:sz w:val="20"/>
          <w:szCs w:val="20"/>
          <w:shd w:val="clear" w:color="auto" w:fill="auto"/>
          <w:lang w:val="pt-PT" w:eastAsia="pt-PT" w:bidi="pt-PT"/>
        </w:rPr>
        <w:t>Taxa de Juros, Inflação e Política Monetária</w:t>
      </w:r>
      <w:r>
        <w:rPr>
          <w:smallCaps/>
          <w:color w:val="000000"/>
          <w:spacing w:val="0"/>
          <w:w w:val="100"/>
          <w:position w:val="0"/>
          <w:sz w:val="20"/>
          <w:szCs w:val="20"/>
          <w:shd w:val="clear" w:color="auto" w:fill="auto"/>
          <w:lang w:val="pt-PT" w:eastAsia="pt-PT" w:bidi="pt-PT"/>
        </w:rPr>
        <w:tab/>
      </w:r>
      <w:r>
        <w:rPr>
          <w:smallCaps/>
          <w:color w:val="000000"/>
          <w:spacing w:val="0"/>
          <w:w w:val="100"/>
          <w:position w:val="0"/>
          <w:sz w:val="20"/>
          <w:szCs w:val="20"/>
          <w:shd w:val="clear" w:color="auto" w:fill="auto"/>
          <w:lang w:val="pt-PT" w:eastAsia="pt-PT" w:bidi="pt-PT"/>
        </w:rPr>
        <w:t xml:space="preserve"> Atividade </w:t>
      </w:r>
      <w:r>
        <w:rPr>
          <w:smallCaps/>
          <w:color w:val="000000"/>
          <w:spacing w:val="0"/>
          <w:w w:val="100"/>
          <w:position w:val="0"/>
          <w:sz w:val="20"/>
          <w:szCs w:val="20"/>
          <w:shd w:val="clear" w:color="auto" w:fill="auto"/>
          <w:lang w:val="pt-BR" w:eastAsia="pt-BR" w:bidi="pt-BR"/>
        </w:rPr>
        <w:t xml:space="preserve">Econômica </w:t>
      </w:r>
      <w:r>
        <w:rPr>
          <w:smallCaps/>
          <w:color w:val="000000"/>
          <w:spacing w:val="0"/>
          <w:w w:val="100"/>
          <w:position w:val="0"/>
          <w:sz w:val="20"/>
          <w:szCs w:val="20"/>
          <w:shd w:val="clear" w:color="auto" w:fill="auto"/>
          <w:lang w:val="pt-PT" w:eastAsia="pt-PT" w:bidi="pt-PT"/>
        </w:rPr>
        <w:t>e Produto Interno Bruto</w:t>
      </w:r>
      <w:r>
        <w:rPr>
          <w:smallCaps/>
          <w:color w:val="000000"/>
          <w:spacing w:val="0"/>
          <w:w w:val="100"/>
          <w:position w:val="0"/>
          <w:sz w:val="20"/>
          <w:szCs w:val="20"/>
          <w:shd w:val="clear" w:color="auto" w:fill="auto"/>
          <w:lang w:val="pt-PT" w:eastAsia="pt-PT" w:bidi="pt-PT"/>
        </w:rPr>
        <w:tab/>
      </w:r>
      <w:r>
        <w:rPr>
          <w:smallCaps/>
          <w:color w:val="000000"/>
          <w:spacing w:val="0"/>
          <w:w w:val="100"/>
          <w:position w:val="0"/>
          <w:sz w:val="20"/>
          <w:szCs w:val="20"/>
          <w:shd w:val="clear" w:color="auto" w:fill="auto"/>
          <w:lang w:val="pt-PT" w:eastAsia="pt-PT" w:bidi="pt-PT"/>
        </w:rPr>
        <w:tab/>
      </w:r>
    </w:p>
    <w:p>
      <w:pPr>
        <w:pStyle w:val="Style13"/>
        <w:keepNext w:val="0"/>
        <w:keepLines w:val="0"/>
        <w:widowControl w:val="0"/>
        <w:shd w:val="clear" w:color="auto" w:fill="auto"/>
        <w:tabs>
          <w:tab w:leader="dot" w:pos="6055" w:val="left"/>
          <w:tab w:leader="dot" w:pos="6062" w:val="left"/>
        </w:tabs>
        <w:bidi w:val="0"/>
        <w:spacing w:before="0" w:after="260" w:line="360" w:lineRule="auto"/>
        <w:ind w:left="220" w:right="0" w:hanging="220"/>
        <w:jc w:val="left"/>
        <w:rPr>
          <w:sz w:val="20"/>
          <w:szCs w:val="20"/>
        </w:rPr>
      </w:pPr>
      <w:r>
        <w:rPr>
          <w:b/>
          <w:bCs/>
          <w:color w:val="000000"/>
          <w:spacing w:val="0"/>
          <w:w w:val="100"/>
          <w:position w:val="0"/>
          <w:sz w:val="18"/>
          <w:szCs w:val="18"/>
          <w:shd w:val="clear" w:color="auto" w:fill="auto"/>
          <w:lang w:val="pt-BR" w:eastAsia="pt-BR" w:bidi="pt-BR"/>
        </w:rPr>
        <w:t xml:space="preserve">►EXPECTATIVAS </w:t>
      </w:r>
      <w:r>
        <w:rPr>
          <w:b/>
          <w:bCs/>
          <w:color w:val="000000"/>
          <w:spacing w:val="0"/>
          <w:w w:val="100"/>
          <w:position w:val="0"/>
          <w:sz w:val="18"/>
          <w:szCs w:val="18"/>
          <w:shd w:val="clear" w:color="auto" w:fill="auto"/>
          <w:lang w:val="pt-PT" w:eastAsia="pt-PT" w:bidi="pt-PT"/>
        </w:rPr>
        <w:t xml:space="preserve">DO MERCADO FINANCEIRO 2026 - BRASIL </w:t>
      </w:r>
      <w:r>
        <w:rPr>
          <w:color w:val="000000"/>
          <w:spacing w:val="0"/>
          <w:w w:val="100"/>
          <w:position w:val="0"/>
          <w:sz w:val="19"/>
          <w:szCs w:val="19"/>
          <w:shd w:val="clear" w:color="auto" w:fill="auto"/>
          <w:lang w:val="pt-PT" w:eastAsia="pt-PT" w:bidi="pt-PT"/>
        </w:rPr>
        <w:t xml:space="preserve">ERRO! INDICADOR NÃO DEFINIDO. </w:t>
      </w:r>
      <w:r>
        <w:rPr>
          <w:smallCaps/>
          <w:color w:val="000000"/>
          <w:spacing w:val="0"/>
          <w:w w:val="100"/>
          <w:position w:val="0"/>
          <w:sz w:val="20"/>
          <w:szCs w:val="20"/>
          <w:shd w:val="clear" w:color="auto" w:fill="auto"/>
          <w:lang w:val="pt-PT" w:eastAsia="pt-PT" w:bidi="pt-PT"/>
        </w:rPr>
        <w:t>Renda Fixa</w:t>
      </w:r>
      <w:r>
        <w:rPr>
          <w:smallCaps/>
          <w:color w:val="000000"/>
          <w:spacing w:val="0"/>
          <w:w w:val="100"/>
          <w:position w:val="0"/>
          <w:sz w:val="20"/>
          <w:szCs w:val="20"/>
          <w:shd w:val="clear" w:color="auto" w:fill="auto"/>
          <w:lang w:val="pt-PT" w:eastAsia="pt-PT" w:bidi="pt-PT"/>
        </w:rPr>
        <w:tab/>
      </w:r>
      <w:r>
        <w:rPr>
          <w:smallCaps/>
          <w:color w:val="000000"/>
          <w:spacing w:val="0"/>
          <w:w w:val="100"/>
          <w:position w:val="0"/>
          <w:sz w:val="20"/>
          <w:szCs w:val="20"/>
          <w:shd w:val="clear" w:color="auto" w:fill="auto"/>
          <w:lang w:val="pt-PT" w:eastAsia="pt-PT" w:bidi="pt-PT"/>
        </w:rPr>
        <w:t>Erro! Indicador não definido. Análise</w:t>
      </w:r>
      <w:r>
        <w:rPr>
          <w:b/>
          <w:bCs/>
          <w:color w:val="000000"/>
          <w:spacing w:val="0"/>
          <w:w w:val="100"/>
          <w:position w:val="0"/>
          <w:sz w:val="18"/>
          <w:szCs w:val="18"/>
          <w:shd w:val="clear" w:color="auto" w:fill="auto"/>
          <w:lang w:val="pt-PT" w:eastAsia="pt-PT" w:bidi="pt-PT"/>
        </w:rPr>
        <w:t xml:space="preserve"> 2025 </w:t>
      </w:r>
      <w:r>
        <w:rPr>
          <w:smallCaps/>
          <w:color w:val="000000"/>
          <w:spacing w:val="0"/>
          <w:w w:val="100"/>
          <w:position w:val="0"/>
          <w:sz w:val="20"/>
          <w:szCs w:val="20"/>
          <w:shd w:val="clear" w:color="auto" w:fill="auto"/>
          <w:lang w:val="pt-PT" w:eastAsia="pt-PT" w:bidi="pt-PT"/>
        </w:rPr>
        <w:t xml:space="preserve">e </w:t>
      </w:r>
      <w:r>
        <w:rPr>
          <w:smallCaps/>
          <w:color w:val="000000"/>
          <w:spacing w:val="0"/>
          <w:w w:val="100"/>
          <w:position w:val="0"/>
          <w:sz w:val="20"/>
          <w:szCs w:val="20"/>
          <w:shd w:val="clear" w:color="auto" w:fill="auto"/>
          <w:lang w:val="pt-BR" w:eastAsia="pt-BR" w:bidi="pt-BR"/>
        </w:rPr>
        <w:t xml:space="preserve">Perspectivas </w:t>
      </w:r>
      <w:r>
        <w:rPr>
          <w:smallCaps/>
          <w:color w:val="000000"/>
          <w:spacing w:val="0"/>
          <w:w w:val="100"/>
          <w:position w:val="0"/>
          <w:sz w:val="20"/>
          <w:szCs w:val="20"/>
          <w:shd w:val="clear" w:color="auto" w:fill="auto"/>
          <w:lang w:val="pt-PT" w:eastAsia="pt-PT" w:bidi="pt-PT"/>
        </w:rPr>
        <w:t>para</w:t>
      </w:r>
      <w:r>
        <w:rPr>
          <w:b/>
          <w:bCs/>
          <w:color w:val="000000"/>
          <w:spacing w:val="0"/>
          <w:w w:val="100"/>
          <w:position w:val="0"/>
          <w:sz w:val="18"/>
          <w:szCs w:val="18"/>
          <w:shd w:val="clear" w:color="auto" w:fill="auto"/>
          <w:lang w:val="pt-PT" w:eastAsia="pt-PT" w:bidi="pt-PT"/>
        </w:rPr>
        <w:t xml:space="preserve"> 2026</w:t>
      </w:r>
      <w:r>
        <w:rPr>
          <w:b/>
          <w:bCs/>
          <w:color w:val="000000"/>
          <w:spacing w:val="0"/>
          <w:w w:val="100"/>
          <w:position w:val="0"/>
          <w:sz w:val="18"/>
          <w:szCs w:val="18"/>
          <w:shd w:val="clear" w:color="auto" w:fill="auto"/>
          <w:lang w:val="pt-PT" w:eastAsia="pt-PT" w:bidi="pt-PT"/>
        </w:rPr>
        <w:tab/>
      </w:r>
      <w:r>
        <w:rPr>
          <w:smallCaps/>
          <w:color w:val="000000"/>
          <w:spacing w:val="0"/>
          <w:w w:val="100"/>
          <w:position w:val="0"/>
          <w:sz w:val="20"/>
          <w:szCs w:val="20"/>
          <w:shd w:val="clear" w:color="auto" w:fill="auto"/>
          <w:lang w:val="pt-PT" w:eastAsia="pt-PT" w:bidi="pt-PT"/>
        </w:rPr>
        <w:t>Erro! Indicador não definido.</w:t>
      </w:r>
    </w:p>
    <w:p>
      <w:pPr>
        <w:pStyle w:val="Style13"/>
        <w:keepNext w:val="0"/>
        <w:keepLines w:val="0"/>
        <w:widowControl w:val="0"/>
        <w:shd w:val="clear" w:color="auto" w:fill="auto"/>
        <w:tabs>
          <w:tab w:pos="4212" w:val="left"/>
          <w:tab w:leader="dot" w:pos="6079" w:val="left"/>
        </w:tabs>
        <w:bidi w:val="0"/>
        <w:spacing w:before="0" w:after="420" w:line="240" w:lineRule="auto"/>
        <w:ind w:left="220" w:right="0" w:firstLine="20"/>
        <w:jc w:val="both"/>
        <w:rPr>
          <w:sz w:val="18"/>
          <w:szCs w:val="18"/>
        </w:rPr>
      </w:pPr>
      <w:r>
        <mc:AlternateContent>
          <mc:Choice Requires="wps">
            <w:drawing>
              <wp:anchor distT="0" distB="0" distL="0" distR="0" simplePos="0" relativeHeight="125829388" behindDoc="0" locked="0" layoutInCell="1" allowOverlap="1">
                <wp:simplePos x="0" y="0"/>
                <wp:positionH relativeFrom="page">
                  <wp:posOffset>4947285</wp:posOffset>
                </wp:positionH>
                <wp:positionV relativeFrom="paragraph">
                  <wp:posOffset>12700</wp:posOffset>
                </wp:positionV>
                <wp:extent cx="1883410" cy="173990"/>
                <wp:wrapSquare wrapText="left"/>
                <wp:docPr id="21" name="Shape 21"/>
                <a:graphic xmlns:a="http://schemas.openxmlformats.org/drawingml/2006/main">
                  <a:graphicData uri="http://schemas.microsoft.com/office/word/2010/wordprocessingShape">
                    <wps:wsp>
                      <wps:cNvSpPr txBox="1"/>
                      <wps:spPr>
                        <a:xfrm>
                          <a:ext cx="1883410" cy="1739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smallCaps/>
                                <w:color w:val="000000"/>
                                <w:spacing w:val="0"/>
                                <w:w w:val="100"/>
                                <w:position w:val="0"/>
                                <w:sz w:val="20"/>
                                <w:szCs w:val="20"/>
                                <w:shd w:val="clear" w:color="auto" w:fill="auto"/>
                                <w:lang w:val="pt-PT" w:eastAsia="pt-PT" w:bidi="pt-PT"/>
                              </w:rPr>
                              <w:t>Erro! Indicador não definido.</w:t>
                            </w:r>
                          </w:p>
                        </w:txbxContent>
                      </wps:txbx>
                      <wps:bodyPr wrap="none" lIns="0" tIns="0" rIns="0" bIns="0">
                        <a:noAutoFit/>
                      </wps:bodyPr>
                    </wps:wsp>
                  </a:graphicData>
                </a:graphic>
              </wp:anchor>
            </w:drawing>
          </mc:Choice>
          <mc:Fallback>
            <w:pict>
              <v:shape id="_x0000_s1047" type="#_x0000_t202" style="position:absolute;margin-left:389.55000000000001pt;margin-top:1.pt;width:148.30000000000001pt;height:13.699999999999999pt;z-index:-12582936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smallCaps/>
                          <w:color w:val="000000"/>
                          <w:spacing w:val="0"/>
                          <w:w w:val="100"/>
                          <w:position w:val="0"/>
                          <w:sz w:val="20"/>
                          <w:szCs w:val="20"/>
                          <w:shd w:val="clear" w:color="auto" w:fill="auto"/>
                          <w:lang w:val="pt-PT" w:eastAsia="pt-PT" w:bidi="pt-PT"/>
                        </w:rPr>
                        <w:t>Erro! Indicador não definido.</w:t>
                      </w:r>
                    </w:p>
                  </w:txbxContent>
                </v:textbox>
                <w10:wrap type="square" side="left" anchorx="page"/>
              </v:shape>
            </w:pict>
          </mc:Fallback>
        </mc:AlternateContent>
      </w:r>
      <w:r>
        <w:drawing>
          <wp:anchor distT="0" distB="22860" distL="12700" distR="2056130" simplePos="0" relativeHeight="125829390" behindDoc="0" locked="0" layoutInCell="1" allowOverlap="1">
            <wp:simplePos x="0" y="0"/>
            <wp:positionH relativeFrom="page">
              <wp:posOffset>4380230</wp:posOffset>
            </wp:positionH>
            <wp:positionV relativeFrom="paragraph">
              <wp:posOffset>254000</wp:posOffset>
            </wp:positionV>
            <wp:extent cx="408305" cy="304800"/>
            <wp:wrapSquare wrapText="lef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9"/>
                    <a:stretch/>
                  </pic:blipFill>
                  <pic:spPr>
                    <a:xfrm>
                      <a:ext cx="408305" cy="3048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4791710</wp:posOffset>
                </wp:positionH>
                <wp:positionV relativeFrom="paragraph">
                  <wp:posOffset>400050</wp:posOffset>
                </wp:positionV>
                <wp:extent cx="2038985" cy="182880"/>
                <wp:wrapNone/>
                <wp:docPr id="25" name="Shape 25"/>
                <a:graphic xmlns:a="http://schemas.openxmlformats.org/drawingml/2006/main">
                  <a:graphicData uri="http://schemas.microsoft.com/office/word/2010/wordprocessingShape">
                    <wps:wsp>
                      <wps:cNvSpPr txBox="1"/>
                      <wps:spPr>
                        <a:xfrm>
                          <a:ext cx="2038985" cy="1828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ERRO! INDICADOR NÃO DEFINIDO.</w:t>
                            </w:r>
                          </w:p>
                        </w:txbxContent>
                      </wps:txbx>
                      <wps:bodyPr lIns="0" tIns="0" rIns="0" bIns="0">
                        <a:noAutoFit/>
                      </wps:bodyPr>
                    </wps:wsp>
                  </a:graphicData>
                </a:graphic>
              </wp:anchor>
            </w:drawing>
          </mc:Choice>
          <mc:Fallback>
            <w:pict>
              <v:shape id="_x0000_s1051" type="#_x0000_t202" style="position:absolute;margin-left:377.30000000000001pt;margin-top:31.5pt;width:160.55000000000001pt;height:14.4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ERRO! INDICADOR NÃO DEFINIDO.</w:t>
                      </w:r>
                    </w:p>
                  </w:txbxContent>
                </v:textbox>
                <w10:wrap anchorx="page"/>
              </v:shape>
            </w:pict>
          </mc:Fallback>
        </mc:AlternateContent>
      </w:r>
      <w:r>
        <w:rPr>
          <w:smallCaps/>
          <w:color w:val="000000"/>
          <w:spacing w:val="0"/>
          <w:w w:val="100"/>
          <w:position w:val="0"/>
          <w:sz w:val="20"/>
          <w:szCs w:val="20"/>
          <w:shd w:val="clear" w:color="auto" w:fill="auto"/>
          <w:lang w:val="pt-PT" w:eastAsia="pt-PT" w:bidi="pt-PT"/>
        </w:rPr>
        <w:t>Análise</w:t>
      </w:r>
      <w:r>
        <w:rPr>
          <w:b/>
          <w:bCs/>
          <w:color w:val="000000"/>
          <w:spacing w:val="0"/>
          <w:w w:val="100"/>
          <w:position w:val="0"/>
          <w:sz w:val="18"/>
          <w:szCs w:val="18"/>
          <w:shd w:val="clear" w:color="auto" w:fill="auto"/>
          <w:lang w:val="pt-PT" w:eastAsia="pt-PT" w:bidi="pt-PT"/>
        </w:rPr>
        <w:t xml:space="preserve"> 2025 </w:t>
      </w:r>
      <w:r>
        <w:rPr>
          <w:smallCaps/>
          <w:color w:val="000000"/>
          <w:spacing w:val="0"/>
          <w:w w:val="100"/>
          <w:position w:val="0"/>
          <w:sz w:val="20"/>
          <w:szCs w:val="20"/>
          <w:shd w:val="clear" w:color="auto" w:fill="auto"/>
          <w:lang w:val="pt-PT" w:eastAsia="pt-PT" w:bidi="pt-PT"/>
        </w:rPr>
        <w:t xml:space="preserve">e </w:t>
      </w:r>
      <w:r>
        <w:rPr>
          <w:smallCaps/>
          <w:color w:val="000000"/>
          <w:spacing w:val="0"/>
          <w:w w:val="100"/>
          <w:position w:val="0"/>
          <w:sz w:val="20"/>
          <w:szCs w:val="20"/>
          <w:shd w:val="clear" w:color="auto" w:fill="auto"/>
          <w:lang w:val="pt-BR" w:eastAsia="pt-BR" w:bidi="pt-BR"/>
        </w:rPr>
        <w:t xml:space="preserve">Perspectivas </w:t>
      </w:r>
      <w:r>
        <w:rPr>
          <w:smallCaps/>
          <w:color w:val="000000"/>
          <w:spacing w:val="0"/>
          <w:w w:val="100"/>
          <w:position w:val="0"/>
          <w:sz w:val="20"/>
          <w:szCs w:val="20"/>
          <w:shd w:val="clear" w:color="auto" w:fill="auto"/>
          <w:lang w:val="pt-PT" w:eastAsia="pt-PT" w:bidi="pt-PT"/>
        </w:rPr>
        <w:t>para</w:t>
      </w:r>
      <w:r>
        <w:rPr>
          <w:b/>
          <w:bCs/>
          <w:color w:val="000000"/>
          <w:spacing w:val="0"/>
          <w:w w:val="100"/>
          <w:position w:val="0"/>
          <w:sz w:val="18"/>
          <w:szCs w:val="18"/>
          <w:shd w:val="clear" w:color="auto" w:fill="auto"/>
          <w:lang w:val="pt-PT" w:eastAsia="pt-PT" w:bidi="pt-PT"/>
        </w:rPr>
        <w:t xml:space="preserve"> 2026</w:t>
        <w:tab/>
      </w:r>
      <w:r>
        <w:rPr>
          <w:b/>
          <w:bCs/>
          <w:color w:val="000000"/>
          <w:spacing w:val="0"/>
          <w:w w:val="100"/>
          <w:position w:val="0"/>
          <w:sz w:val="18"/>
          <w:szCs w:val="18"/>
          <w:shd w:val="clear" w:color="auto" w:fill="auto"/>
          <w:lang w:val="pt-PT" w:eastAsia="pt-PT" w:bidi="pt-PT"/>
        </w:rPr>
        <w:tab/>
      </w:r>
    </w:p>
    <w:p>
      <w:pPr>
        <w:pStyle w:val="Style13"/>
        <w:keepNext w:val="0"/>
        <w:keepLines w:val="0"/>
        <w:widowControl w:val="0"/>
        <w:shd w:val="clear" w:color="auto" w:fill="auto"/>
        <w:bidi w:val="0"/>
        <w:spacing w:before="0" w:after="0" w:line="240" w:lineRule="auto"/>
        <w:ind w:left="220" w:right="0" w:hanging="220"/>
        <w:jc w:val="left"/>
        <w:rPr>
          <w:sz w:val="18"/>
          <w:szCs w:val="18"/>
        </w:rPr>
      </w:pPr>
      <w:r>
        <w:rPr>
          <w:b/>
          <w:bCs/>
          <w:color w:val="000000"/>
          <w:spacing w:val="0"/>
          <w:w w:val="100"/>
          <w:position w:val="0"/>
          <w:sz w:val="18"/>
          <w:szCs w:val="18"/>
          <w:shd w:val="clear" w:color="auto" w:fill="auto"/>
          <w:lang w:val="pt-PT" w:eastAsia="pt-PT" w:bidi="pt-PT"/>
        </w:rPr>
        <w:t>►CONSIDERAÇÕES GERAIS - CENÁRIO 2025/2026</w:t>
      </w:r>
    </w:p>
    <w:p>
      <w:pPr>
        <w:widowControl w:val="0"/>
        <w:spacing w:line="1" w:lineRule="exact"/>
        <w:sectPr>
          <w:footnotePr>
            <w:pos w:val="pageBottom"/>
            <w:numFmt w:val="decimal"/>
            <w:numRestart w:val="continuous"/>
          </w:footnotePr>
          <w:pgSz w:w="11900" w:h="16840"/>
          <w:pgMar w:top="3608" w:left="1628" w:right="560" w:bottom="437" w:header="0" w:footer="3" w:gutter="0"/>
          <w:cols w:space="720"/>
          <w:noEndnote/>
          <w:rtlGutter w:val="0"/>
          <w:docGrid w:linePitch="360"/>
        </w:sectPr>
      </w:pPr>
      <w:r>
        <w:drawing>
          <wp:anchor distT="12700" distB="27305" distL="0" distR="0" simplePos="0" relativeHeight="125829391" behindDoc="0" locked="0" layoutInCell="1" allowOverlap="1">
            <wp:simplePos x="0" y="0"/>
            <wp:positionH relativeFrom="page">
              <wp:posOffset>2665730</wp:posOffset>
            </wp:positionH>
            <wp:positionV relativeFrom="paragraph">
              <wp:posOffset>12700</wp:posOffset>
            </wp:positionV>
            <wp:extent cx="286385" cy="30480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286385" cy="304800"/>
                    </a:xfrm>
                    <a:prstGeom prst="rect"/>
                  </pic:spPr>
                </pic:pic>
              </a:graphicData>
            </a:graphic>
          </wp:anchor>
        </w:drawing>
      </w:r>
      <w:r>
        <mc:AlternateContent>
          <mc:Choice Requires="wps">
            <w:drawing>
              <wp:anchor distT="168275" distB="0" distL="0" distR="0" simplePos="0" relativeHeight="125829392" behindDoc="0" locked="0" layoutInCell="1" allowOverlap="1">
                <wp:simplePos x="0" y="0"/>
                <wp:positionH relativeFrom="page">
                  <wp:posOffset>1061085</wp:posOffset>
                </wp:positionH>
                <wp:positionV relativeFrom="paragraph">
                  <wp:posOffset>168275</wp:posOffset>
                </wp:positionV>
                <wp:extent cx="5563870" cy="173990"/>
                <wp:wrapTopAndBottom/>
                <wp:docPr id="29" name="Shape 29"/>
                <a:graphic xmlns:a="http://schemas.openxmlformats.org/drawingml/2006/main">
                  <a:graphicData uri="http://schemas.microsoft.com/office/word/2010/wordprocessingShape">
                    <wps:wsp>
                      <wps:cNvSpPr txBox="1"/>
                      <wps:spPr>
                        <a:xfrm>
                          <a:ext cx="5563870" cy="173990"/>
                        </a:xfrm>
                        <a:prstGeom prst="rect"/>
                        <a:noFill/>
                      </wps:spPr>
                      <wps:txbx>
                        <w:txbxContent>
                          <w:p>
                            <w:pPr>
                              <w:pStyle w:val="Style13"/>
                              <w:keepNext w:val="0"/>
                              <w:keepLines w:val="0"/>
                              <w:widowControl w:val="0"/>
                              <w:shd w:val="clear" w:color="auto" w:fill="auto"/>
                              <w:tabs>
                                <w:tab w:pos="2995" w:val="left"/>
                                <w:tab w:leader="dot" w:pos="8734" w:val="left"/>
                              </w:tabs>
                              <w:bidi w:val="0"/>
                              <w:spacing w:before="0" w:after="0" w:line="240" w:lineRule="auto"/>
                              <w:ind w:left="0" w:right="0" w:firstLine="0"/>
                              <w:jc w:val="both"/>
                              <w:rPr>
                                <w:sz w:val="18"/>
                                <w:szCs w:val="18"/>
                              </w:rPr>
                            </w:pPr>
                            <w:r>
                              <w:rPr>
                                <w:b/>
                                <w:bCs/>
                                <w:color w:val="000000"/>
                                <w:spacing w:val="0"/>
                                <w:w w:val="100"/>
                                <w:position w:val="0"/>
                                <w:sz w:val="18"/>
                                <w:szCs w:val="18"/>
                                <w:shd w:val="clear" w:color="auto" w:fill="auto"/>
                                <w:lang w:val="pt-PT" w:eastAsia="pt-PT" w:bidi="pt-PT"/>
                              </w:rPr>
                              <w:t>►CONTROLE DE RISCOS</w:t>
                              <w:tab/>
                            </w:r>
                            <w:r>
                              <w:rPr>
                                <w:b/>
                                <w:bCs/>
                                <w:color w:val="000000"/>
                                <w:spacing w:val="0"/>
                                <w:w w:val="100"/>
                                <w:position w:val="0"/>
                                <w:sz w:val="18"/>
                                <w:szCs w:val="18"/>
                                <w:shd w:val="clear" w:color="auto" w:fill="auto"/>
                                <w:lang w:val="pt-PT" w:eastAsia="pt-PT" w:bidi="pt-PT"/>
                              </w:rPr>
                              <w:tab/>
                            </w:r>
                          </w:p>
                        </w:txbxContent>
                      </wps:txbx>
                      <wps:bodyPr wrap="none" lIns="0" tIns="0" rIns="0" bIns="0">
                        <a:noAutoFit/>
                      </wps:bodyPr>
                    </wps:wsp>
                  </a:graphicData>
                </a:graphic>
              </wp:anchor>
            </w:drawing>
          </mc:Choice>
          <mc:Fallback>
            <w:pict>
              <v:shape id="_x0000_s1055" type="#_x0000_t202" style="position:absolute;margin-left:83.549999999999997pt;margin-top:13.25pt;width:438.10000000000002pt;height:13.699999999999999pt;z-index:-125829361;mso-wrap-distance-left:0;mso-wrap-distance-top:13.25pt;mso-wrap-distance-right:0;mso-position-horizontal-relative:page" filled="f" stroked="f">
                <v:textbox inset="0,0,0,0">
                  <w:txbxContent>
                    <w:p>
                      <w:pPr>
                        <w:pStyle w:val="Style13"/>
                        <w:keepNext w:val="0"/>
                        <w:keepLines w:val="0"/>
                        <w:widowControl w:val="0"/>
                        <w:shd w:val="clear" w:color="auto" w:fill="auto"/>
                        <w:tabs>
                          <w:tab w:pos="2995" w:val="left"/>
                          <w:tab w:leader="dot" w:pos="8734" w:val="left"/>
                        </w:tabs>
                        <w:bidi w:val="0"/>
                        <w:spacing w:before="0" w:after="0" w:line="240" w:lineRule="auto"/>
                        <w:ind w:left="0" w:right="0" w:firstLine="0"/>
                        <w:jc w:val="both"/>
                        <w:rPr>
                          <w:sz w:val="18"/>
                          <w:szCs w:val="18"/>
                        </w:rPr>
                      </w:pPr>
                      <w:r>
                        <w:rPr>
                          <w:b/>
                          <w:bCs/>
                          <w:color w:val="000000"/>
                          <w:spacing w:val="0"/>
                          <w:w w:val="100"/>
                          <w:position w:val="0"/>
                          <w:sz w:val="18"/>
                          <w:szCs w:val="18"/>
                          <w:shd w:val="clear" w:color="auto" w:fill="auto"/>
                          <w:lang w:val="pt-PT" w:eastAsia="pt-PT" w:bidi="pt-PT"/>
                        </w:rPr>
                        <w:t>►CONTROLE DE RISCOS</w:t>
                        <w:tab/>
                      </w:r>
                      <w:r>
                        <w:rPr>
                          <w:b/>
                          <w:bCs/>
                          <w:color w:val="000000"/>
                          <w:spacing w:val="0"/>
                          <w:w w:val="100"/>
                          <w:position w:val="0"/>
                          <w:sz w:val="18"/>
                          <w:szCs w:val="18"/>
                          <w:shd w:val="clear" w:color="auto" w:fill="auto"/>
                          <w:lang w:val="pt-PT" w:eastAsia="pt-PT" w:bidi="pt-PT"/>
                        </w:rPr>
                        <w:tab/>
                      </w:r>
                    </w:p>
                  </w:txbxContent>
                </v:textbox>
                <w10:wrap type="topAndBottom" anchorx="page"/>
              </v:shape>
            </w:pict>
          </mc:Fallback>
        </mc:AlternateContent>
      </w:r>
      <w:r>
        <mc:AlternateContent>
          <mc:Choice Requires="wps">
            <w:drawing>
              <wp:anchor distT="177165" distB="8890" distL="0" distR="0" simplePos="0" relativeHeight="125829394" behindDoc="0" locked="0" layoutInCell="1" allowOverlap="1">
                <wp:simplePos x="0" y="0"/>
                <wp:positionH relativeFrom="page">
                  <wp:posOffset>6652895</wp:posOffset>
                </wp:positionH>
                <wp:positionV relativeFrom="paragraph">
                  <wp:posOffset>177165</wp:posOffset>
                </wp:positionV>
                <wp:extent cx="187325" cy="155575"/>
                <wp:wrapTopAndBottom/>
                <wp:docPr id="31" name="Shape 31"/>
                <a:graphic xmlns:a="http://schemas.openxmlformats.org/drawingml/2006/main">
                  <a:graphicData uri="http://schemas.microsoft.com/office/word/2010/wordprocessingShape">
                    <wps:wsp>
                      <wps:cNvSpPr txBox="1"/>
                      <wps:spPr>
                        <a:xfrm>
                          <a:ext cx="187325" cy="1555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23</w:t>
                            </w:r>
                          </w:p>
                        </w:txbxContent>
                      </wps:txbx>
                      <wps:bodyPr wrap="none" lIns="0" tIns="0" rIns="0" bIns="0">
                        <a:noAutoFit/>
                      </wps:bodyPr>
                    </wps:wsp>
                  </a:graphicData>
                </a:graphic>
              </wp:anchor>
            </w:drawing>
          </mc:Choice>
          <mc:Fallback>
            <w:pict>
              <v:shape id="_x0000_s1057" type="#_x0000_t202" style="position:absolute;margin-left:523.85000000000002pt;margin-top:13.949999999999999pt;width:14.75pt;height:12.25pt;z-index:-125829359;mso-wrap-distance-left:0;mso-wrap-distance-top:13.949999999999999pt;mso-wrap-distance-right:0;mso-wrap-distance-bottom:0.6999999999999999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23</w:t>
                      </w:r>
                    </w:p>
                  </w:txbxContent>
                </v:textbox>
                <w10:wrap type="topAndBottom" anchorx="page"/>
              </v:shape>
            </w:pict>
          </mc:Fallback>
        </mc:AlternateContent>
      </w:r>
    </w:p>
    <w:p>
      <w:pPr>
        <w:pStyle w:val="Style13"/>
        <w:keepNext w:val="0"/>
        <w:keepLines w:val="0"/>
        <w:widowControl w:val="0"/>
        <w:shd w:val="clear" w:color="auto" w:fill="auto"/>
        <w:tabs>
          <w:tab w:leader="dot" w:pos="8726" w:val="left"/>
          <w:tab w:leader="dot" w:pos="8748" w:val="left"/>
          <w:tab w:leader="dot" w:pos="8755" w:val="left"/>
        </w:tabs>
        <w:bidi w:val="0"/>
        <w:spacing w:before="0" w:after="0" w:line="406" w:lineRule="auto"/>
        <w:ind w:left="0" w:right="580" w:firstLine="0"/>
        <w:jc w:val="right"/>
      </w:pPr>
      <w:r>
        <w:rPr>
          <w:smallCaps/>
          <w:color w:val="000000"/>
          <w:spacing w:val="0"/>
          <w:w w:val="100"/>
          <w:position w:val="0"/>
          <w:sz w:val="20"/>
          <w:szCs w:val="20"/>
          <w:shd w:val="clear" w:color="auto" w:fill="auto"/>
          <w:lang w:val="pt-PT" w:eastAsia="pt-PT" w:bidi="pt-PT"/>
        </w:rPr>
        <w:t>Perfil de Investidor do</w:t>
      </w:r>
      <w:r>
        <w:rPr>
          <w:b/>
          <w:bCs/>
          <w:color w:val="000000"/>
          <w:spacing w:val="0"/>
          <w:w w:val="100"/>
          <w:position w:val="0"/>
          <w:sz w:val="18"/>
          <w:szCs w:val="18"/>
          <w:shd w:val="clear" w:color="auto" w:fill="auto"/>
          <w:lang w:val="pt-PT" w:eastAsia="pt-PT" w:bidi="pt-PT"/>
        </w:rPr>
        <w:t xml:space="preserve"> RPPS</w:t>
      </w:r>
      <w:r>
        <w:rPr>
          <w:b/>
          <w:bCs/>
          <w:color w:val="000000"/>
          <w:spacing w:val="0"/>
          <w:w w:val="100"/>
          <w:position w:val="0"/>
          <w:sz w:val="18"/>
          <w:szCs w:val="18"/>
          <w:shd w:val="clear" w:color="auto" w:fill="auto"/>
          <w:lang w:val="pt-PT" w:eastAsia="pt-PT" w:bidi="pt-PT"/>
        </w:rPr>
        <w:tab/>
      </w:r>
      <w:r>
        <w:rPr>
          <w:color w:val="000000"/>
          <w:spacing w:val="0"/>
          <w:w w:val="100"/>
          <w:position w:val="0"/>
          <w:shd w:val="clear" w:color="auto" w:fill="auto"/>
          <w:lang w:val="pt-PT" w:eastAsia="pt-PT" w:bidi="pt-PT"/>
        </w:rPr>
        <w:t xml:space="preserve">24 </w:t>
      </w:r>
      <w:r>
        <w:rPr>
          <w:smallCaps/>
          <w:color w:val="000000"/>
          <w:spacing w:val="0"/>
          <w:w w:val="100"/>
          <w:position w:val="0"/>
          <w:sz w:val="20"/>
          <w:szCs w:val="20"/>
          <w:shd w:val="clear" w:color="auto" w:fill="auto"/>
          <w:lang w:val="pt-PT" w:eastAsia="pt-PT" w:bidi="pt-PT"/>
        </w:rPr>
        <w:t>Plano de Contingência para situações de crise no mercado financeiro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24 </w:t>
      </w:r>
      <w:r>
        <w:rPr>
          <w:b/>
          <w:bCs/>
          <w:color w:val="000000"/>
          <w:spacing w:val="0"/>
          <w:w w:val="100"/>
          <w:position w:val="0"/>
          <w:sz w:val="18"/>
          <w:szCs w:val="18"/>
          <w:shd w:val="clear" w:color="auto" w:fill="auto"/>
          <w:lang w:val="pt-PT" w:eastAsia="pt-PT" w:bidi="pt-PT"/>
        </w:rPr>
        <w:t xml:space="preserve">►DIRETRIZES PARA </w:t>
      </w:r>
      <w:r>
        <w:rPr>
          <w:b/>
          <w:bCs/>
          <w:color w:val="000000"/>
          <w:spacing w:val="0"/>
          <w:w w:val="100"/>
          <w:position w:val="0"/>
          <w:sz w:val="18"/>
          <w:szCs w:val="18"/>
          <w:shd w:val="clear" w:color="auto" w:fill="auto"/>
          <w:lang w:val="pt-BR" w:eastAsia="pt-BR" w:bidi="pt-BR"/>
        </w:rPr>
        <w:t xml:space="preserve">ALOCAÇÃO </w:t>
      </w:r>
      <w:r>
        <w:rPr>
          <w:b/>
          <w:bCs/>
          <w:color w:val="000000"/>
          <w:spacing w:val="0"/>
          <w:w w:val="100"/>
          <w:position w:val="0"/>
          <w:sz w:val="18"/>
          <w:szCs w:val="18"/>
          <w:shd w:val="clear" w:color="auto" w:fill="auto"/>
          <w:lang w:val="pt-PT" w:eastAsia="pt-PT" w:bidi="pt-PT"/>
        </w:rPr>
        <w:t xml:space="preserve">DOS RECURSOS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 xml:space="preserve">27 </w:t>
      </w:r>
      <w:r>
        <w:rPr>
          <w:smallCaps/>
          <w:color w:val="000000"/>
          <w:spacing w:val="0"/>
          <w:w w:val="100"/>
          <w:position w:val="0"/>
          <w:sz w:val="20"/>
          <w:szCs w:val="20"/>
          <w:shd w:val="clear" w:color="auto" w:fill="auto"/>
          <w:lang w:val="pt-PT" w:eastAsia="pt-PT" w:bidi="pt-PT"/>
        </w:rPr>
        <w:t>Das Diretrizes</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 xml:space="preserve">27 </w:t>
      </w:r>
      <w:r>
        <w:rPr>
          <w:smallCaps/>
          <w:color w:val="000000"/>
          <w:spacing w:val="0"/>
          <w:w w:val="100"/>
          <w:position w:val="0"/>
          <w:sz w:val="20"/>
          <w:szCs w:val="20"/>
          <w:shd w:val="clear" w:color="auto" w:fill="auto"/>
          <w:lang w:val="pt-PT" w:eastAsia="pt-PT" w:bidi="pt-PT"/>
        </w:rPr>
        <w:t>Competência dos Órgãos envolvidos na Gestão dos recursos do</w:t>
      </w:r>
      <w:r>
        <w:rPr>
          <w:b/>
          <w:bCs/>
          <w:color w:val="000000"/>
          <w:spacing w:val="0"/>
          <w:w w:val="100"/>
          <w:position w:val="0"/>
          <w:sz w:val="18"/>
          <w:szCs w:val="18"/>
          <w:shd w:val="clear" w:color="auto" w:fill="auto"/>
          <w:lang w:val="pt-PT" w:eastAsia="pt-PT" w:bidi="pt-PT"/>
        </w:rPr>
        <w:t xml:space="preserve"> RPPS</w:t>
      </w:r>
      <w:r>
        <w:rPr>
          <w:b/>
          <w:bCs/>
          <w:color w:val="000000"/>
          <w:spacing w:val="0"/>
          <w:w w:val="100"/>
          <w:position w:val="0"/>
          <w:sz w:val="18"/>
          <w:szCs w:val="18"/>
          <w:shd w:val="clear" w:color="auto" w:fill="auto"/>
          <w:lang w:val="pt-PT" w:eastAsia="pt-PT" w:bidi="pt-PT"/>
        </w:rPr>
        <w:tab/>
      </w:r>
      <w:r>
        <w:rPr>
          <w:color w:val="000000"/>
          <w:spacing w:val="0"/>
          <w:w w:val="100"/>
          <w:position w:val="0"/>
          <w:shd w:val="clear" w:color="auto" w:fill="auto"/>
          <w:lang w:val="pt-PT" w:eastAsia="pt-PT" w:bidi="pt-PT"/>
        </w:rPr>
        <w:t xml:space="preserve">28 </w:t>
      </w:r>
      <w:r>
        <w:rPr>
          <w:smallCaps/>
          <w:color w:val="000000"/>
          <w:spacing w:val="0"/>
          <w:w w:val="100"/>
          <w:position w:val="0"/>
          <w:sz w:val="20"/>
          <w:szCs w:val="20"/>
          <w:shd w:val="clear" w:color="auto" w:fill="auto"/>
          <w:lang w:val="pt-PT" w:eastAsia="pt-PT" w:bidi="pt-PT"/>
        </w:rPr>
        <w:t xml:space="preserve">Objetivo de </w:t>
      </w:r>
      <w:r>
        <w:rPr>
          <w:smallCaps/>
          <w:color w:val="000000"/>
          <w:spacing w:val="0"/>
          <w:w w:val="100"/>
          <w:position w:val="0"/>
          <w:sz w:val="20"/>
          <w:szCs w:val="20"/>
          <w:shd w:val="clear" w:color="auto" w:fill="auto"/>
          <w:lang w:val="pt-BR" w:eastAsia="pt-BR" w:bidi="pt-BR"/>
        </w:rPr>
        <w:t>Alocação</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29</w:t>
      </w:r>
    </w:p>
    <w:p>
      <w:pPr>
        <w:widowControl w:val="0"/>
        <w:spacing w:after="704" w:line="1" w:lineRule="exact"/>
      </w:pPr>
      <w:r>
        <w:drawing>
          <wp:anchor distT="0" distB="0" distL="0" distR="0" simplePos="0" relativeHeight="62914700" behindDoc="1" locked="0" layoutInCell="1" allowOverlap="1">
            <wp:simplePos x="0" y="0"/>
            <wp:positionH relativeFrom="page">
              <wp:posOffset>6250305</wp:posOffset>
            </wp:positionH>
            <wp:positionV relativeFrom="paragraph">
              <wp:posOffset>12700</wp:posOffset>
            </wp:positionV>
            <wp:extent cx="1200785" cy="433070"/>
            <wp:wrapNone/>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3"/>
                    <a:stretch/>
                  </pic:blipFill>
                  <pic:spPr>
                    <a:xfrm>
                      <a:ext cx="1200785" cy="433070"/>
                    </a:xfrm>
                    <a:prstGeom prst="rect"/>
                  </pic:spPr>
                </pic:pic>
              </a:graphicData>
            </a:graphic>
          </wp:anchor>
        </w:drawing>
      </w:r>
      <w:r>
        <w:br w:type="page"/>
      </w:r>
    </w:p>
    <w:p>
      <w:pPr>
        <w:pStyle w:val="Style13"/>
        <w:keepNext w:val="0"/>
        <w:keepLines w:val="0"/>
        <w:widowControl w:val="0"/>
        <w:shd w:val="clear" w:color="auto" w:fill="auto"/>
        <w:tabs>
          <w:tab w:leader="dot" w:pos="7067" w:val="left"/>
          <w:tab w:leader="dot" w:pos="8745" w:val="left"/>
        </w:tabs>
        <w:bidi w:val="0"/>
        <w:spacing w:before="0" w:after="0" w:line="310" w:lineRule="auto"/>
        <w:ind w:left="440" w:right="0" w:hanging="220"/>
        <w:jc w:val="left"/>
      </w:pPr>
      <w:r>
        <w:rPr>
          <w:smallCaps/>
          <w:color w:val="000000"/>
          <w:spacing w:val="0"/>
          <w:w w:val="100"/>
          <w:position w:val="0"/>
          <w:shd w:val="clear" w:color="auto" w:fill="auto"/>
          <w:lang w:val="pt-PT" w:eastAsia="pt-PT" w:bidi="pt-PT"/>
        </w:rPr>
        <w:t xml:space="preserve">Das </w:t>
      </w:r>
      <w:r>
        <w:rPr>
          <w:smallCaps/>
          <w:color w:val="000000"/>
          <w:spacing w:val="0"/>
          <w:w w:val="100"/>
          <w:position w:val="0"/>
          <w:shd w:val="clear" w:color="auto" w:fill="auto"/>
          <w:lang w:val="pt-BR" w:eastAsia="pt-BR" w:bidi="pt-BR"/>
        </w:rPr>
        <w:t xml:space="preserve">Alocações </w:t>
      </w:r>
      <w:r>
        <w:rPr>
          <w:smallCaps/>
          <w:color w:val="000000"/>
          <w:spacing w:val="0"/>
          <w:w w:val="100"/>
          <w:position w:val="0"/>
          <w:shd w:val="clear" w:color="auto" w:fill="auto"/>
          <w:lang w:val="pt-PT" w:eastAsia="pt-PT" w:bidi="pt-PT"/>
        </w:rPr>
        <w:t>dos Recursos</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29 Dos Segmentos</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29</w:t>
      </w:r>
    </w:p>
    <w:p>
      <w:pPr>
        <w:pStyle w:val="Style13"/>
        <w:keepNext w:val="0"/>
        <w:keepLines w:val="0"/>
        <w:widowControl w:val="0"/>
        <w:shd w:val="clear" w:color="auto" w:fill="auto"/>
        <w:tabs>
          <w:tab w:leader="dot" w:pos="4429" w:val="left"/>
        </w:tabs>
        <w:bidi w:val="0"/>
        <w:spacing w:before="0" w:after="0" w:line="310" w:lineRule="auto"/>
        <w:ind w:left="440" w:right="0" w:firstLine="0"/>
        <w:jc w:val="left"/>
        <w:rPr>
          <w:sz w:val="18"/>
          <w:szCs w:val="18"/>
        </w:rPr>
      </w:pPr>
      <w:r>
        <w:rPr>
          <w:color w:val="000000"/>
          <w:spacing w:val="0"/>
          <w:w w:val="100"/>
          <w:position w:val="0"/>
          <w:sz w:val="19"/>
          <w:szCs w:val="19"/>
          <w:shd w:val="clear" w:color="auto" w:fill="auto"/>
          <w:lang w:val="pt-PT" w:eastAsia="pt-PT" w:bidi="pt-PT"/>
        </w:rPr>
        <w:t>Dos Limites Gerais</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Erro! Indicador não definido.</w:t>
      </w:r>
    </w:p>
    <w:p>
      <w:pPr>
        <w:pStyle w:val="Style13"/>
        <w:keepNext w:val="0"/>
        <w:keepLines w:val="0"/>
        <w:widowControl w:val="0"/>
        <w:shd w:val="clear" w:color="auto" w:fill="auto"/>
        <w:bidi w:val="0"/>
        <w:spacing w:before="0" w:after="0" w:line="310" w:lineRule="auto"/>
        <w:ind w:left="440" w:right="0" w:firstLine="0"/>
        <w:jc w:val="left"/>
        <w:rPr>
          <w:sz w:val="18"/>
          <w:szCs w:val="18"/>
        </w:rPr>
      </w:pPr>
      <w:r>
        <w:rPr>
          <w:color w:val="000000"/>
          <w:spacing w:val="0"/>
          <w:w w:val="100"/>
          <w:position w:val="0"/>
          <w:sz w:val="19"/>
          <w:szCs w:val="19"/>
          <w:shd w:val="clear" w:color="auto" w:fill="auto"/>
          <w:lang w:val="pt-PT" w:eastAsia="pt-PT" w:bidi="pt-PT"/>
        </w:rPr>
        <w:t xml:space="preserve">Da Avaliação de Desempenho das Aplicações. </w:t>
      </w:r>
      <w:r>
        <w:rPr>
          <w:b/>
          <w:bCs/>
          <w:color w:val="000000"/>
          <w:spacing w:val="0"/>
          <w:w w:val="100"/>
          <w:position w:val="0"/>
          <w:sz w:val="18"/>
          <w:szCs w:val="18"/>
          <w:shd w:val="clear" w:color="auto" w:fill="auto"/>
          <w:lang w:val="pt-PT" w:eastAsia="pt-PT" w:bidi="pt-PT"/>
        </w:rPr>
        <w:t>Erro! Indicador não definido.</w:t>
      </w:r>
    </w:p>
    <w:p>
      <w:pPr>
        <w:pStyle w:val="Style13"/>
        <w:keepNext w:val="0"/>
        <w:keepLines w:val="0"/>
        <w:widowControl w:val="0"/>
        <w:shd w:val="clear" w:color="auto" w:fill="auto"/>
        <w:tabs>
          <w:tab w:leader="dot" w:pos="4429" w:val="left"/>
        </w:tabs>
        <w:bidi w:val="0"/>
        <w:spacing w:before="0" w:after="0" w:line="310" w:lineRule="auto"/>
        <w:ind w:left="440" w:right="0" w:firstLine="0"/>
        <w:jc w:val="left"/>
        <w:rPr>
          <w:sz w:val="18"/>
          <w:szCs w:val="18"/>
        </w:rPr>
      </w:pPr>
      <w:r>
        <w:rPr>
          <w:color w:val="000000"/>
          <w:spacing w:val="0"/>
          <w:w w:val="100"/>
          <w:position w:val="0"/>
          <w:sz w:val="19"/>
          <w:szCs w:val="19"/>
          <w:shd w:val="clear" w:color="auto" w:fill="auto"/>
          <w:lang w:val="pt-PT" w:eastAsia="pt-PT" w:bidi="pt-PT"/>
        </w:rPr>
        <w:t>Dos Riscos de Mercado e Crédito</w:t>
      </w:r>
      <w:r>
        <w:rPr>
          <w:color w:val="000000"/>
          <w:spacing w:val="0"/>
          <w:w w:val="100"/>
          <w:position w:val="0"/>
          <w:sz w:val="19"/>
          <w:szCs w:val="19"/>
          <w:shd w:val="clear" w:color="auto" w:fill="auto"/>
          <w:lang w:val="pt-PT" w:eastAsia="pt-PT" w:bidi="pt-PT"/>
        </w:rPr>
        <w:tab/>
      </w:r>
      <w:r>
        <w:rPr>
          <w:b/>
          <w:bCs/>
          <w:color w:val="000000"/>
          <w:spacing w:val="0"/>
          <w:w w:val="100"/>
          <w:position w:val="0"/>
          <w:sz w:val="18"/>
          <w:szCs w:val="18"/>
          <w:shd w:val="clear" w:color="auto" w:fill="auto"/>
          <w:lang w:val="pt-PT" w:eastAsia="pt-PT" w:bidi="pt-PT"/>
        </w:rPr>
        <w:t>Erro! Indicador não definido.</w:t>
      </w:r>
    </w:p>
    <w:p>
      <w:pPr>
        <w:pStyle w:val="Style13"/>
        <w:keepNext w:val="0"/>
        <w:keepLines w:val="0"/>
        <w:widowControl w:val="0"/>
        <w:shd w:val="clear" w:color="auto" w:fill="auto"/>
        <w:tabs>
          <w:tab w:leader="dot" w:pos="4429" w:val="left"/>
        </w:tabs>
        <w:bidi w:val="0"/>
        <w:spacing w:before="0" w:after="0" w:line="326" w:lineRule="auto"/>
        <w:ind w:left="440" w:right="0" w:firstLine="0"/>
        <w:jc w:val="left"/>
        <w:rPr>
          <w:sz w:val="18"/>
          <w:szCs w:val="18"/>
        </w:rPr>
      </w:pPr>
      <w:r>
        <w:rPr>
          <w:b/>
          <w:bCs/>
          <w:color w:val="000000"/>
          <w:spacing w:val="0"/>
          <w:w w:val="100"/>
          <w:position w:val="0"/>
          <w:sz w:val="18"/>
          <w:szCs w:val="18"/>
          <w:shd w:val="clear" w:color="auto" w:fill="auto"/>
          <w:lang w:val="pt-PT" w:eastAsia="pt-PT" w:bidi="pt-PT"/>
        </w:rPr>
        <w:t xml:space="preserve">Do </w:t>
      </w:r>
      <w:r>
        <w:rPr>
          <w:b/>
          <w:bCs/>
          <w:color w:val="000000"/>
          <w:spacing w:val="0"/>
          <w:w w:val="100"/>
          <w:position w:val="0"/>
          <w:sz w:val="18"/>
          <w:szCs w:val="18"/>
          <w:shd w:val="clear" w:color="auto" w:fill="auto"/>
          <w:lang w:val="pt-BR" w:eastAsia="pt-BR" w:bidi="pt-BR"/>
        </w:rPr>
        <w:t>Credenciamento</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Erro! Indicador não definido.</w:t>
      </w:r>
    </w:p>
    <w:p>
      <w:pPr>
        <w:pStyle w:val="Style13"/>
        <w:keepNext w:val="0"/>
        <w:keepLines w:val="0"/>
        <w:widowControl w:val="0"/>
        <w:shd w:val="clear" w:color="auto" w:fill="auto"/>
        <w:tabs>
          <w:tab w:leader="dot" w:pos="7071" w:val="left"/>
        </w:tabs>
        <w:bidi w:val="0"/>
        <w:spacing w:before="0" w:after="0" w:line="240" w:lineRule="auto"/>
        <w:ind w:left="440" w:right="0" w:firstLine="0"/>
        <w:jc w:val="left"/>
      </w:pPr>
      <w:r>
        <w:rPr>
          <w:color w:val="000000"/>
          <w:spacing w:val="0"/>
          <w:w w:val="100"/>
          <w:position w:val="0"/>
          <w:shd w:val="clear" w:color="auto" w:fill="auto"/>
          <w:lang w:val="pt-PT" w:eastAsia="pt-PT" w:bidi="pt-PT"/>
        </w:rPr>
        <w:t>Da Seleção e Precificação de ativos</w:t>
      </w:r>
      <w:r>
        <w:rPr>
          <w:color w:val="000000"/>
          <w:spacing w:val="0"/>
          <w:w w:val="100"/>
          <w:position w:val="0"/>
          <w:shd w:val="clear" w:color="auto" w:fill="auto"/>
          <w:lang w:val="pt-PT" w:eastAsia="pt-PT" w:bidi="pt-PT"/>
        </w:rPr>
        <w:tab/>
      </w:r>
      <w:r>
        <w:rPr>
          <w:color w:val="000000"/>
          <w:spacing w:val="0"/>
          <w:w w:val="100"/>
          <w:position w:val="0"/>
          <w:shd w:val="clear" w:color="auto" w:fill="auto"/>
          <w:lang w:val="pt-PT" w:eastAsia="pt-PT" w:bidi="pt-PT"/>
        </w:rPr>
        <w:t>33</w:t>
      </w:r>
    </w:p>
    <w:p>
      <w:pPr>
        <w:pStyle w:val="Style13"/>
        <w:keepNext w:val="0"/>
        <w:keepLines w:val="0"/>
        <w:widowControl w:val="0"/>
        <w:shd w:val="clear" w:color="auto" w:fill="auto"/>
        <w:tabs>
          <w:tab w:leader="dot" w:pos="8726" w:val="left"/>
          <w:tab w:leader="dot" w:pos="8734" w:val="left"/>
          <w:tab w:leader="dot" w:pos="8748" w:val="left"/>
        </w:tabs>
        <w:bidi w:val="0"/>
        <w:spacing w:before="0" w:after="0" w:line="670" w:lineRule="exact"/>
        <w:ind w:left="0" w:right="0" w:firstLine="220"/>
        <w:jc w:val="both"/>
        <w:rPr>
          <w:sz w:val="18"/>
          <w:szCs w:val="18"/>
        </w:rPr>
      </w:pPr>
      <w:r>
        <w:rPr>
          <w:smallCaps/>
          <w:color w:val="000000"/>
          <w:spacing w:val="0"/>
          <w:w w:val="100"/>
          <w:position w:val="0"/>
          <w:sz w:val="19"/>
          <w:szCs w:val="19"/>
          <w:shd w:val="clear" w:color="auto" w:fill="auto"/>
          <w:lang w:val="pt-PT" w:eastAsia="pt-PT" w:bidi="pt-PT"/>
        </w:rPr>
        <w:t>Deliberações sobre novos Investimentos</w:t>
      </w:r>
      <w:r>
        <w:rPr>
          <w:color w:val="000000"/>
          <w:spacing w:val="0"/>
          <w:w w:val="100"/>
          <w:position w:val="0"/>
          <w:sz w:val="19"/>
          <w:szCs w:val="19"/>
          <w:shd w:val="clear" w:color="auto" w:fill="auto"/>
          <w:lang w:val="pt-PT" w:eastAsia="pt-PT" w:bidi="pt-PT"/>
        </w:rPr>
        <w:tab/>
      </w:r>
      <w:r>
        <w:rPr>
          <w:color w:val="000000"/>
          <w:spacing w:val="0"/>
          <w:w w:val="100"/>
          <w:position w:val="0"/>
          <w:sz w:val="19"/>
          <w:szCs w:val="19"/>
          <w:shd w:val="clear" w:color="auto" w:fill="auto"/>
          <w:lang w:val="pt-PT" w:eastAsia="pt-PT" w:bidi="pt-PT"/>
        </w:rPr>
        <w:t xml:space="preserve">39 </w:t>
      </w:r>
      <w:r>
        <w:rPr>
          <w:b/>
          <w:bCs/>
          <w:color w:val="000000"/>
          <w:spacing w:val="0"/>
          <w:w w:val="100"/>
          <w:position w:val="0"/>
          <w:sz w:val="18"/>
          <w:szCs w:val="18"/>
          <w:shd w:val="clear" w:color="auto" w:fill="auto"/>
          <w:lang w:val="pt-PT" w:eastAsia="pt-PT" w:bidi="pt-PT"/>
        </w:rPr>
        <w:t xml:space="preserve">►ESTRATÉGIA PARA </w:t>
      </w:r>
      <w:r>
        <w:rPr>
          <w:b/>
          <w:bCs/>
          <w:color w:val="000000"/>
          <w:spacing w:val="0"/>
          <w:w w:val="100"/>
          <w:position w:val="0"/>
          <w:sz w:val="18"/>
          <w:szCs w:val="18"/>
          <w:shd w:val="clear" w:color="auto" w:fill="auto"/>
          <w:lang w:val="pt-BR" w:eastAsia="pt-BR" w:bidi="pt-BR"/>
        </w:rPr>
        <w:t xml:space="preserve">ALOCAÇÃO </w:t>
      </w:r>
      <w:r>
        <w:rPr>
          <w:b/>
          <w:bCs/>
          <w:color w:val="000000"/>
          <w:spacing w:val="0"/>
          <w:w w:val="100"/>
          <w:position w:val="0"/>
          <w:sz w:val="18"/>
          <w:szCs w:val="18"/>
          <w:shd w:val="clear" w:color="auto" w:fill="auto"/>
          <w:lang w:val="pt-PT" w:eastAsia="pt-PT" w:bidi="pt-PT"/>
        </w:rPr>
        <w:t xml:space="preserve">DE RECURSOS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 xml:space="preserve">40 ►VEDAÇÕES </w:t>
      </w:r>
      <w:r>
        <w:rPr>
          <w:b/>
          <w:bCs/>
          <w:color w:val="000000"/>
          <w:spacing w:val="0"/>
          <w:w w:val="100"/>
          <w:position w:val="0"/>
          <w:sz w:val="18"/>
          <w:szCs w:val="18"/>
          <w:shd w:val="clear" w:color="auto" w:fill="auto"/>
          <w:lang w:val="pt-PT" w:eastAsia="pt-PT" w:bidi="pt-PT"/>
        </w:rPr>
        <w:tab/>
      </w:r>
      <w:r>
        <w:rPr>
          <w:b/>
          <w:bCs/>
          <w:color w:val="000000"/>
          <w:spacing w:val="0"/>
          <w:w w:val="100"/>
          <w:position w:val="0"/>
          <w:sz w:val="18"/>
          <w:szCs w:val="18"/>
          <w:shd w:val="clear" w:color="auto" w:fill="auto"/>
          <w:lang w:val="pt-PT" w:eastAsia="pt-PT" w:bidi="pt-PT"/>
        </w:rPr>
        <w:t>38</w:t>
      </w:r>
    </w:p>
    <w:p>
      <w:pPr>
        <w:widowControl w:val="0"/>
        <w:spacing w:line="1" w:lineRule="exact"/>
        <w:sectPr>
          <w:footnotePr>
            <w:pos w:val="pageBottom"/>
            <w:numFmt w:val="decimal"/>
            <w:numRestart w:val="continuous"/>
          </w:footnotePr>
          <w:type w:val="continuous"/>
          <w:pgSz w:w="11900" w:h="16840"/>
          <w:pgMar w:top="2469" w:left="1454" w:right="734" w:bottom="1639" w:header="0" w:footer="3" w:gutter="0"/>
          <w:cols w:space="720"/>
          <w:noEndnote/>
          <w:rtlGutter w:val="0"/>
          <w:docGrid w:linePitch="360"/>
        </w:sectPr>
      </w:pPr>
      <w:r>
        <mc:AlternateContent>
          <mc:Choice Requires="wps">
            <w:drawing>
              <wp:anchor distT="12700" distB="420370" distL="0" distR="0" simplePos="0" relativeHeight="125829396" behindDoc="0" locked="0" layoutInCell="1" allowOverlap="1">
                <wp:simplePos x="0" y="0"/>
                <wp:positionH relativeFrom="page">
                  <wp:posOffset>1123950</wp:posOffset>
                </wp:positionH>
                <wp:positionV relativeFrom="paragraph">
                  <wp:posOffset>12700</wp:posOffset>
                </wp:positionV>
                <wp:extent cx="5559425" cy="228600"/>
                <wp:wrapTopAndBottom/>
                <wp:docPr id="35" name="Shape 35"/>
                <a:graphic xmlns:a="http://schemas.openxmlformats.org/drawingml/2006/main">
                  <a:graphicData uri="http://schemas.microsoft.com/office/word/2010/wordprocessingShape">
                    <wps:wsp>
                      <wps:cNvSpPr txBox="1"/>
                      <wps:spPr>
                        <a:xfrm>
                          <a:ext cx="5559425" cy="228600"/>
                        </a:xfrm>
                        <a:prstGeom prst="rect"/>
                        <a:noFill/>
                      </wps:spPr>
                      <wps:txbx>
                        <w:txbxContent>
                          <w:p>
                            <w:pPr>
                              <w:pStyle w:val="Style16"/>
                              <w:keepNext/>
                              <w:keepLines/>
                              <w:widowControl w:val="0"/>
                              <w:shd w:val="clear" w:color="auto" w:fill="auto"/>
                              <w:tabs>
                                <w:tab w:pos="2873" w:val="left"/>
                                <w:tab w:leader="dot" w:pos="8734" w:val="left"/>
                              </w:tabs>
                              <w:bidi w:val="0"/>
                              <w:spacing w:before="0" w:after="0" w:line="240" w:lineRule="auto"/>
                              <w:ind w:left="0" w:right="0" w:firstLine="0"/>
                              <w:jc w:val="both"/>
                            </w:pPr>
                            <w:bookmarkStart w:id="4" w:name="bookmark4"/>
                            <w:r>
                              <w:rPr>
                                <w:color w:val="000000"/>
                                <w:spacing w:val="0"/>
                                <w:w w:val="100"/>
                                <w:position w:val="0"/>
                                <w:shd w:val="clear" w:color="auto" w:fill="auto"/>
                                <w:lang w:val="pt-PT" w:eastAsia="pt-PT" w:bidi="pt-PT"/>
                              </w:rPr>
                              <w:t>►DISPOSIÇÕES GERAIS</w:t>
                              <w:tab/>
                            </w:r>
                            <w:r>
                              <w:rPr>
                                <w:color w:val="000000"/>
                                <w:spacing w:val="0"/>
                                <w:w w:val="100"/>
                                <w:position w:val="0"/>
                                <w:shd w:val="clear" w:color="auto" w:fill="auto"/>
                                <w:lang w:val="pt-PT" w:eastAsia="pt-PT" w:bidi="pt-PT"/>
                              </w:rPr>
                              <w:tab/>
                            </w:r>
                            <w:bookmarkEnd w:id="4"/>
                          </w:p>
                        </w:txbxContent>
                      </wps:txbx>
                      <wps:bodyPr wrap="none" lIns="0" tIns="0" rIns="0" bIns="0">
                        <a:noAutoFit/>
                      </wps:bodyPr>
                    </wps:wsp>
                  </a:graphicData>
                </a:graphic>
              </wp:anchor>
            </w:drawing>
          </mc:Choice>
          <mc:Fallback>
            <w:pict>
              <v:shape id="_x0000_s1061" type="#_x0000_t202" style="position:absolute;margin-left:88.5pt;margin-top:1.pt;width:437.75pt;height:18.pt;z-index:-125829357;mso-wrap-distance-left:0;mso-wrap-distance-top:1.pt;mso-wrap-distance-right:0;mso-wrap-distance-bottom:33.100000000000001pt;mso-position-horizontal-relative:page" filled="f" stroked="f">
                <v:textbox inset="0,0,0,0">
                  <w:txbxContent>
                    <w:p>
                      <w:pPr>
                        <w:pStyle w:val="Style16"/>
                        <w:keepNext/>
                        <w:keepLines/>
                        <w:widowControl w:val="0"/>
                        <w:shd w:val="clear" w:color="auto" w:fill="auto"/>
                        <w:tabs>
                          <w:tab w:pos="2873" w:val="left"/>
                          <w:tab w:leader="dot" w:pos="8734" w:val="left"/>
                        </w:tabs>
                        <w:bidi w:val="0"/>
                        <w:spacing w:before="0" w:after="0" w:line="240" w:lineRule="auto"/>
                        <w:ind w:left="0" w:right="0" w:firstLine="0"/>
                        <w:jc w:val="both"/>
                      </w:pPr>
                      <w:bookmarkStart w:id="4" w:name="bookmark4"/>
                      <w:r>
                        <w:rPr>
                          <w:color w:val="000000"/>
                          <w:spacing w:val="0"/>
                          <w:w w:val="100"/>
                          <w:position w:val="0"/>
                          <w:shd w:val="clear" w:color="auto" w:fill="auto"/>
                          <w:lang w:val="pt-PT" w:eastAsia="pt-PT" w:bidi="pt-PT"/>
                        </w:rPr>
                        <w:t>►DISPOSIÇÕES GERAIS</w:t>
                        <w:tab/>
                      </w:r>
                      <w:r>
                        <w:rPr>
                          <w:color w:val="000000"/>
                          <w:spacing w:val="0"/>
                          <w:w w:val="100"/>
                          <w:position w:val="0"/>
                          <w:shd w:val="clear" w:color="auto" w:fill="auto"/>
                          <w:lang w:val="pt-PT" w:eastAsia="pt-PT" w:bidi="pt-PT"/>
                        </w:rPr>
                        <w:tab/>
                      </w:r>
                      <w:bookmarkEnd w:id="4"/>
                    </w:p>
                  </w:txbxContent>
                </v:textbox>
                <w10:wrap type="topAndBottom" anchorx="page"/>
              </v:shape>
            </w:pict>
          </mc:Fallback>
        </mc:AlternateContent>
      </w:r>
      <w:r>
        <w:drawing>
          <wp:anchor distT="53975" distB="447675" distL="0" distR="0" simplePos="0" relativeHeight="125829398" behindDoc="0" locked="0" layoutInCell="1" allowOverlap="1">
            <wp:simplePos x="0" y="0"/>
            <wp:positionH relativeFrom="page">
              <wp:posOffset>6591935</wp:posOffset>
            </wp:positionH>
            <wp:positionV relativeFrom="paragraph">
              <wp:posOffset>53975</wp:posOffset>
            </wp:positionV>
            <wp:extent cx="323215" cy="15875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5"/>
                    <a:stretch/>
                  </pic:blipFill>
                  <pic:spPr>
                    <a:xfrm>
                      <a:ext cx="323215" cy="158750"/>
                    </a:xfrm>
                    <a:prstGeom prst="rect"/>
                  </pic:spPr>
                </pic:pic>
              </a:graphicData>
            </a:graphic>
          </wp:anchor>
        </w:drawing>
      </w:r>
      <w:r>
        <mc:AlternateContent>
          <mc:Choice Requires="wps">
            <w:drawing>
              <wp:anchor distT="497205" distB="0" distL="0" distR="0" simplePos="0" relativeHeight="125829399" behindDoc="0" locked="0" layoutInCell="1" allowOverlap="1">
                <wp:simplePos x="0" y="0"/>
                <wp:positionH relativeFrom="page">
                  <wp:posOffset>1261110</wp:posOffset>
                </wp:positionH>
                <wp:positionV relativeFrom="paragraph">
                  <wp:posOffset>497205</wp:posOffset>
                </wp:positionV>
                <wp:extent cx="676910" cy="164465"/>
                <wp:wrapTopAndBottom/>
                <wp:docPr id="39" name="Shape 39"/>
                <a:graphic xmlns:a="http://schemas.openxmlformats.org/drawingml/2006/main">
                  <a:graphicData uri="http://schemas.microsoft.com/office/word/2010/wordprocessingShape">
                    <wps:wsp>
                      <wps:cNvSpPr txBox="1"/>
                      <wps:spPr>
                        <a:xfrm>
                          <a:ext cx="676910" cy="16446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►ANEXO I</w:t>
                            </w:r>
                          </w:p>
                        </w:txbxContent>
                      </wps:txbx>
                      <wps:bodyPr wrap="none" lIns="0" tIns="0" rIns="0" bIns="0">
                        <a:noAutoFit/>
                      </wps:bodyPr>
                    </wps:wsp>
                  </a:graphicData>
                </a:graphic>
              </wp:anchor>
            </w:drawing>
          </mc:Choice>
          <mc:Fallback>
            <w:pict>
              <v:shape id="_x0000_s1065" type="#_x0000_t202" style="position:absolute;margin-left:99.299999999999997pt;margin-top:39.149999999999999pt;width:53.299999999999997pt;height:12.949999999999999pt;z-index:-125829354;mso-wrap-distance-left:0;mso-wrap-distance-top:39.149999999999999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►ANEXO I</w:t>
                      </w:r>
                    </w:p>
                  </w:txbxContent>
                </v:textbox>
                <w10:wrap type="topAndBottom" anchorx="page"/>
              </v:shape>
            </w:pict>
          </mc:Fallback>
        </mc:AlternateContent>
      </w:r>
      <w:r>
        <w:drawing>
          <wp:anchor distT="332740" distB="45720" distL="0" distR="0" simplePos="0" relativeHeight="125829401" behindDoc="0" locked="0" layoutInCell="1" allowOverlap="1">
            <wp:simplePos x="0" y="0"/>
            <wp:positionH relativeFrom="page">
              <wp:posOffset>1938020</wp:posOffset>
            </wp:positionH>
            <wp:positionV relativeFrom="paragraph">
              <wp:posOffset>332740</wp:posOffset>
            </wp:positionV>
            <wp:extent cx="255905" cy="286385"/>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7"/>
                    <a:stretch/>
                  </pic:blipFill>
                  <pic:spPr>
                    <a:xfrm>
                      <a:ext cx="255905" cy="286385"/>
                    </a:xfrm>
                    <a:prstGeom prst="rect"/>
                  </pic:spPr>
                </pic:pic>
              </a:graphicData>
            </a:graphic>
          </wp:anchor>
        </w:drawing>
      </w:r>
      <w:r>
        <mc:AlternateContent>
          <mc:Choice Requires="wps">
            <w:drawing>
              <wp:anchor distT="474345" distB="18415" distL="0" distR="0" simplePos="0" relativeHeight="125829402" behindDoc="0" locked="0" layoutInCell="1" allowOverlap="1">
                <wp:simplePos x="0" y="0"/>
                <wp:positionH relativeFrom="page">
                  <wp:posOffset>2212340</wp:posOffset>
                </wp:positionH>
                <wp:positionV relativeFrom="paragraph">
                  <wp:posOffset>474345</wp:posOffset>
                </wp:positionV>
                <wp:extent cx="4681855" cy="168910"/>
                <wp:wrapTopAndBottom/>
                <wp:docPr id="43" name="Shape 43"/>
                <a:graphic xmlns:a="http://schemas.openxmlformats.org/drawingml/2006/main">
                  <a:graphicData uri="http://schemas.microsoft.com/office/word/2010/wordprocessingShape">
                    <wps:wsp>
                      <wps:cNvSpPr txBox="1"/>
                      <wps:spPr>
                        <a:xfrm>
                          <a:ext cx="4681855" cy="168910"/>
                        </a:xfrm>
                        <a:prstGeom prst="rect"/>
                        <a:noFill/>
                      </wps:spPr>
                      <wps:txbx>
                        <w:txbxContent>
                          <w:p>
                            <w:pPr>
                              <w:pStyle w:val="Style13"/>
                              <w:keepNext w:val="0"/>
                              <w:keepLines w:val="0"/>
                              <w:widowControl w:val="0"/>
                              <w:shd w:val="clear" w:color="auto" w:fill="auto"/>
                              <w:tabs>
                                <w:tab w:leader="dot" w:pos="4694" w:val="left"/>
                              </w:tabs>
                              <w:bidi w:val="0"/>
                              <w:spacing w:before="0" w:after="0" w:line="240" w:lineRule="auto"/>
                              <w:ind w:left="0" w:right="0" w:firstLine="0"/>
                              <w:jc w:val="left"/>
                            </w:pPr>
                            <w:r>
                              <w:rPr>
                                <w:smallCaps/>
                                <w:color w:val="000000"/>
                                <w:spacing w:val="0"/>
                                <w:w w:val="100"/>
                                <w:position w:val="0"/>
                                <w:shd w:val="clear" w:color="auto" w:fill="auto"/>
                                <w:lang w:val="pt-PT" w:eastAsia="pt-PT" w:bidi="pt-PT"/>
                              </w:rPr>
                              <w:tab/>
                            </w:r>
                            <w:r>
                              <w:rPr>
                                <w:smallCaps/>
                                <w:color w:val="000000"/>
                                <w:spacing w:val="0"/>
                                <w:w w:val="100"/>
                                <w:position w:val="0"/>
                                <w:shd w:val="clear" w:color="auto" w:fill="auto"/>
                                <w:lang w:val="pt-PT" w:eastAsia="pt-PT" w:bidi="pt-PT"/>
                              </w:rPr>
                              <w:t>Erro! Indicador não definido.</w:t>
                            </w:r>
                          </w:p>
                        </w:txbxContent>
                      </wps:txbx>
                      <wps:bodyPr wrap="none" lIns="0" tIns="0" rIns="0" bIns="0">
                        <a:noAutoFit/>
                      </wps:bodyPr>
                    </wps:wsp>
                  </a:graphicData>
                </a:graphic>
              </wp:anchor>
            </w:drawing>
          </mc:Choice>
          <mc:Fallback>
            <w:pict>
              <v:shape id="_x0000_s1069" type="#_x0000_t202" style="position:absolute;margin-left:174.19999999999999pt;margin-top:37.350000000000001pt;width:368.64999999999998pt;height:13.300000000000001pt;z-index:-125829351;mso-wrap-distance-left:0;mso-wrap-distance-top:37.350000000000001pt;mso-wrap-distance-right:0;mso-wrap-distance-bottom:1.45pt;mso-position-horizontal-relative:page" filled="f" stroked="f">
                <v:textbox inset="0,0,0,0">
                  <w:txbxContent>
                    <w:p>
                      <w:pPr>
                        <w:pStyle w:val="Style13"/>
                        <w:keepNext w:val="0"/>
                        <w:keepLines w:val="0"/>
                        <w:widowControl w:val="0"/>
                        <w:shd w:val="clear" w:color="auto" w:fill="auto"/>
                        <w:tabs>
                          <w:tab w:leader="dot" w:pos="4694" w:val="left"/>
                        </w:tabs>
                        <w:bidi w:val="0"/>
                        <w:spacing w:before="0" w:after="0" w:line="240" w:lineRule="auto"/>
                        <w:ind w:left="0" w:right="0" w:firstLine="0"/>
                        <w:jc w:val="left"/>
                      </w:pPr>
                      <w:r>
                        <w:rPr>
                          <w:smallCaps/>
                          <w:color w:val="000000"/>
                          <w:spacing w:val="0"/>
                          <w:w w:val="100"/>
                          <w:position w:val="0"/>
                          <w:shd w:val="clear" w:color="auto" w:fill="auto"/>
                          <w:lang w:val="pt-PT" w:eastAsia="pt-PT" w:bidi="pt-PT"/>
                        </w:rPr>
                        <w:tab/>
                      </w:r>
                      <w:r>
                        <w:rPr>
                          <w:smallCaps/>
                          <w:color w:val="000000"/>
                          <w:spacing w:val="0"/>
                          <w:w w:val="100"/>
                          <w:position w:val="0"/>
                          <w:shd w:val="clear" w:color="auto" w:fill="auto"/>
                          <w:lang w:val="pt-PT" w:eastAsia="pt-PT" w:bidi="pt-PT"/>
                        </w:rPr>
                        <w:t>Erro! Indicador não definido.</w:t>
                      </w:r>
                    </w:p>
                  </w:txbxContent>
                </v:textbox>
                <w10:wrap type="topAndBottom" anchorx="page"/>
              </v:shape>
            </w:pict>
          </mc:Fallback>
        </mc:AlternateContent>
      </w:r>
    </w:p>
    <w:p>
      <w:pPr>
        <w:widowControl w:val="0"/>
        <w:spacing w:line="1" w:lineRule="exact"/>
      </w:pPr>
      <w:r>
        <mc:AlternateContent>
          <mc:Choice Requires="wps">
            <w:drawing>
              <wp:anchor distT="132715" distB="0" distL="0" distR="0" simplePos="0" relativeHeight="125829404" behindDoc="0" locked="0" layoutInCell="1" allowOverlap="1">
                <wp:simplePos x="0" y="0"/>
                <wp:positionH relativeFrom="page">
                  <wp:posOffset>1019175</wp:posOffset>
                </wp:positionH>
                <wp:positionV relativeFrom="paragraph">
                  <wp:posOffset>132715</wp:posOffset>
                </wp:positionV>
                <wp:extent cx="1431290" cy="214630"/>
                <wp:wrapTopAndBottom/>
                <wp:docPr id="45" name="Shape 45"/>
                <a:graphic xmlns:a="http://schemas.openxmlformats.org/drawingml/2006/main">
                  <a:graphicData uri="http://schemas.microsoft.com/office/word/2010/wordprocessingShape">
                    <wps:wsp>
                      <wps:cNvSpPr txBox="1"/>
                      <wps:spPr>
                        <a:xfrm>
                          <a:ext cx="1431290" cy="2146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b/>
                                <w:bCs/>
                                <w:color w:val="4E6896"/>
                                <w:spacing w:val="0"/>
                                <w:w w:val="100"/>
                                <w:position w:val="0"/>
                                <w:sz w:val="22"/>
                                <w:szCs w:val="22"/>
                                <w:shd w:val="clear" w:color="auto" w:fill="auto"/>
                                <w:lang w:val="pt-PT" w:eastAsia="pt-PT" w:bidi="pt-PT"/>
                              </w:rPr>
                              <w:t>► APRESENTAÇÃO</w:t>
                            </w:r>
                          </w:p>
                        </w:txbxContent>
                      </wps:txbx>
                      <wps:bodyPr wrap="none" lIns="0" tIns="0" rIns="0" bIns="0">
                        <a:noAutoFit/>
                      </wps:bodyPr>
                    </wps:wsp>
                  </a:graphicData>
                </a:graphic>
              </wp:anchor>
            </w:drawing>
          </mc:Choice>
          <mc:Fallback>
            <w:pict>
              <v:shape id="_x0000_s1071" type="#_x0000_t202" style="position:absolute;margin-left:80.25pt;margin-top:10.449999999999999pt;width:112.7pt;height:16.899999999999999pt;z-index:-125829349;mso-wrap-distance-left:0;mso-wrap-distance-top:10.449999999999999pt;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b/>
                          <w:bCs/>
                          <w:color w:val="4E6896"/>
                          <w:spacing w:val="0"/>
                          <w:w w:val="100"/>
                          <w:position w:val="0"/>
                          <w:sz w:val="22"/>
                          <w:szCs w:val="22"/>
                          <w:shd w:val="clear" w:color="auto" w:fill="auto"/>
                          <w:lang w:val="pt-PT" w:eastAsia="pt-PT" w:bidi="pt-PT"/>
                        </w:rPr>
                        <w:t>► APRESENTAÇÃO</w:t>
                      </w:r>
                    </w:p>
                  </w:txbxContent>
                </v:textbox>
                <w10:wrap type="topAndBottom" anchorx="page"/>
              </v:shape>
            </w:pict>
          </mc:Fallback>
        </mc:AlternateContent>
      </w:r>
      <w:r>
        <w:drawing>
          <wp:anchor distT="0" distB="41275" distL="0" distR="0" simplePos="0" relativeHeight="125829406" behindDoc="0" locked="0" layoutInCell="1" allowOverlap="1">
            <wp:simplePos x="0" y="0"/>
            <wp:positionH relativeFrom="page">
              <wp:posOffset>2482215</wp:posOffset>
            </wp:positionH>
            <wp:positionV relativeFrom="paragraph">
              <wp:posOffset>0</wp:posOffset>
            </wp:positionV>
            <wp:extent cx="286385" cy="304800"/>
            <wp:wrapTopAndBottom/>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19"/>
                    <a:stretch/>
                  </pic:blipFill>
                  <pic:spPr>
                    <a:xfrm>
                      <a:ext cx="286385" cy="304800"/>
                    </a:xfrm>
                    <a:prstGeom prst="rect"/>
                  </pic:spPr>
                </pic:pic>
              </a:graphicData>
            </a:graphic>
          </wp:anchor>
        </w:drawing>
      </w:r>
    </w:p>
    <w:p>
      <w:pPr>
        <w:pStyle w:val="Style13"/>
        <w:keepNext w:val="0"/>
        <w:keepLines w:val="0"/>
        <w:widowControl w:val="0"/>
        <w:shd w:val="clear" w:color="auto" w:fill="auto"/>
        <w:bidi w:val="0"/>
        <w:spacing w:before="0" w:after="120" w:line="240" w:lineRule="auto"/>
        <w:ind w:left="0" w:right="0" w:firstLine="0"/>
        <w:jc w:val="left"/>
      </w:pPr>
      <w:r>
        <w:rPr>
          <w:b/>
          <w:bCs/>
          <w:color w:val="000000"/>
          <w:spacing w:val="0"/>
          <w:w w:val="100"/>
          <w:position w:val="0"/>
          <w:sz w:val="18"/>
          <w:szCs w:val="18"/>
          <w:shd w:val="clear" w:color="auto" w:fill="auto"/>
          <w:lang w:val="pt-PT" w:eastAsia="pt-PT" w:bidi="pt-PT"/>
        </w:rPr>
        <w:t xml:space="preserve">Do </w:t>
      </w:r>
      <w:r>
        <w:rPr>
          <w:color w:val="000000"/>
          <w:spacing w:val="0"/>
          <w:w w:val="100"/>
          <w:position w:val="0"/>
          <w:shd w:val="clear" w:color="auto" w:fill="auto"/>
          <w:lang w:val="pt-PT" w:eastAsia="pt-PT" w:bidi="pt-PT"/>
        </w:rPr>
        <w:t>Objeto</w:t>
      </w:r>
    </w:p>
    <w:p>
      <w:pPr>
        <w:pStyle w:val="Style13"/>
        <w:keepNext w:val="0"/>
        <w:keepLines w:val="0"/>
        <w:widowControl w:val="0"/>
        <w:shd w:val="clear" w:color="auto" w:fill="auto"/>
        <w:bidi w:val="0"/>
        <w:spacing w:before="0" w:after="120" w:line="266" w:lineRule="auto"/>
        <w:ind w:left="0" w:right="0" w:firstLine="740"/>
        <w:jc w:val="both"/>
        <w:rPr>
          <w:sz w:val="18"/>
          <w:szCs w:val="18"/>
        </w:rPr>
      </w:pPr>
      <w:r>
        <w:rPr>
          <w:color w:val="000000"/>
          <w:spacing w:val="0"/>
          <w:w w:val="100"/>
          <w:position w:val="0"/>
          <w:sz w:val="19"/>
          <w:szCs w:val="19"/>
          <w:shd w:val="clear" w:color="auto" w:fill="auto"/>
          <w:lang w:val="pt-PT" w:eastAsia="pt-PT" w:bidi="pt-PT"/>
        </w:rPr>
        <w:t xml:space="preserve">Esta Política de Investimentos dispõe sobre as aplicações dos recursos do Regime Próprio de Previdência Social (RPPS) instituído pelo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z w:val="19"/>
          <w:szCs w:val="19"/>
          <w:shd w:val="clear" w:color="auto" w:fill="auto"/>
          <w:lang w:val="pt-PT" w:eastAsia="pt-PT" w:bidi="pt-PT"/>
        </w:rPr>
        <w:t xml:space="preserve">Fica estabelecido que os recursos do Regime Próprio de Previdência Social, instituído nos termos da Lei n° 9.717, de 27 de novembro de 1998, devem ser aplicados conforme a legislação em vigor, tendo presentes as condições de segurança, rentabilidade, solvência, liquidez e transparência. Este documento contempla os requisitos mínimos exigidos no </w:t>
      </w:r>
      <w:r>
        <w:rPr>
          <w:b/>
          <w:bCs/>
          <w:color w:val="000000"/>
          <w:spacing w:val="0"/>
          <w:w w:val="100"/>
          <w:position w:val="0"/>
          <w:sz w:val="18"/>
          <w:szCs w:val="18"/>
          <w:shd w:val="clear" w:color="auto" w:fill="auto"/>
          <w:lang w:val="pt-BR" w:eastAsia="pt-BR" w:bidi="pt-BR"/>
        </w:rPr>
        <w:t xml:space="preserve">Art. </w:t>
      </w:r>
      <w:r>
        <w:rPr>
          <w:b/>
          <w:bCs/>
          <w:color w:val="000000"/>
          <w:spacing w:val="0"/>
          <w:w w:val="100"/>
          <w:position w:val="0"/>
          <w:sz w:val="18"/>
          <w:szCs w:val="18"/>
          <w:shd w:val="clear" w:color="auto" w:fill="auto"/>
          <w:lang w:val="pt-PT" w:eastAsia="pt-PT" w:bidi="pt-PT"/>
        </w:rPr>
        <w:t>102 da Portaria MTP n° 1.467/2022.</w:t>
      </w:r>
    </w:p>
    <w:p>
      <w:pPr>
        <w:pStyle w:val="Style13"/>
        <w:keepNext w:val="0"/>
        <w:keepLines w:val="0"/>
        <w:widowControl w:val="0"/>
        <w:shd w:val="clear" w:color="auto" w:fill="auto"/>
        <w:bidi w:val="0"/>
        <w:spacing w:before="0" w:after="500" w:line="266" w:lineRule="auto"/>
        <w:ind w:left="0" w:right="0" w:firstLine="740"/>
        <w:jc w:val="both"/>
      </w:pPr>
      <w:r>
        <w:rPr>
          <w:color w:val="000000"/>
          <w:spacing w:val="0"/>
          <w:w w:val="100"/>
          <w:position w:val="0"/>
          <w:shd w:val="clear" w:color="auto" w:fill="auto"/>
          <w:lang w:val="pt-PT" w:eastAsia="pt-PT" w:bidi="pt-PT"/>
        </w:rPr>
        <w:t xml:space="preserve">Observadas as limitações e condições estabelecidas na legislação vigente, os recursos do Regime Próprio de Previdência Social devem ser </w:t>
      </w:r>
      <w:r>
        <w:rPr>
          <w:color w:val="000000"/>
          <w:spacing w:val="0"/>
          <w:w w:val="100"/>
          <w:position w:val="0"/>
          <w:shd w:val="clear" w:color="auto" w:fill="auto"/>
          <w:lang w:val="pt-BR" w:eastAsia="pt-BR" w:bidi="pt-BR"/>
        </w:rPr>
        <w:t xml:space="preserve">alocados </w:t>
      </w:r>
      <w:r>
        <w:rPr>
          <w:color w:val="000000"/>
          <w:spacing w:val="0"/>
          <w:w w:val="100"/>
          <w:position w:val="0"/>
          <w:shd w:val="clear" w:color="auto" w:fill="auto"/>
          <w:lang w:val="pt-PT" w:eastAsia="pt-PT" w:bidi="pt-PT"/>
        </w:rPr>
        <w:t>conforme as diretrizes definidas nesta Política de Investimentos, nos seguintes segmentos de aplicação: renda fixa, renda variável, investimentos no exterior, investimentos estruturados, fundos imobiliários e empréstimos consignados. São considerados recursos Regime Próprio de Previdência Social: as disponibilidades oriundas das receitas correntes e de capital, os demais ingressos financeiros auferidos pelo Regime Próprio de Previdência Social, as aplicações financeiras, os títulos e os valores mobiliários, os ativos vinculados por lei ao fundo integrado de previdência e demais bens, direitos e ativos com finalidade previdenciária do Regime Próprio de Previdência Social.</w:t>
      </w:r>
    </w:p>
    <w:p>
      <w:pPr>
        <w:pStyle w:val="Style16"/>
        <w:keepNext/>
        <w:keepLines/>
        <w:widowControl w:val="0"/>
        <w:shd w:val="clear" w:color="auto" w:fill="auto"/>
        <w:bidi w:val="0"/>
        <w:spacing w:before="0" w:after="120"/>
        <w:ind w:left="0" w:right="0" w:firstLine="0"/>
        <w:jc w:val="left"/>
      </w:pPr>
      <w:bookmarkStart w:id="5" w:name="bookmark5"/>
      <w:r>
        <w:rPr>
          <w:color w:val="000000"/>
          <w:spacing w:val="0"/>
          <w:w w:val="100"/>
          <w:position w:val="0"/>
          <w:shd w:val="clear" w:color="auto" w:fill="auto"/>
          <w:lang w:val="pt-PT" w:eastAsia="pt-PT" w:bidi="pt-PT"/>
        </w:rPr>
        <w:t>Da Administração</w:t>
      </w:r>
      <w:bookmarkEnd w:id="5"/>
    </w:p>
    <w:p>
      <w:pPr>
        <w:pStyle w:val="Style13"/>
        <w:keepNext w:val="0"/>
        <w:keepLines w:val="0"/>
        <w:widowControl w:val="0"/>
        <w:shd w:val="clear" w:color="auto" w:fill="auto"/>
        <w:bidi w:val="0"/>
        <w:spacing w:before="0" w:after="480" w:line="266" w:lineRule="auto"/>
        <w:ind w:left="0" w:right="0" w:firstLine="740"/>
        <w:jc w:val="both"/>
        <w:rPr>
          <w:sz w:val="18"/>
          <w:szCs w:val="18"/>
        </w:rPr>
      </w:pPr>
      <w:r>
        <w:rPr>
          <w:color w:val="000000"/>
          <w:spacing w:val="0"/>
          <w:w w:val="100"/>
          <w:position w:val="0"/>
          <w:sz w:val="19"/>
          <w:szCs w:val="19"/>
          <w:shd w:val="clear" w:color="auto" w:fill="auto"/>
          <w:lang w:val="pt-PT" w:eastAsia="pt-PT" w:bidi="pt-PT"/>
        </w:rPr>
        <w:t xml:space="preserve">O Regime Próprio de Previdência Social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z w:val="19"/>
          <w:szCs w:val="19"/>
          <w:shd w:val="clear" w:color="auto" w:fill="auto"/>
          <w:lang w:val="pt-PT" w:eastAsia="pt-PT" w:bidi="pt-PT"/>
        </w:rPr>
        <w:t xml:space="preserve">é administrado pela UNIDADE GESTORA representada pelo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z w:val="19"/>
          <w:szCs w:val="19"/>
          <w:shd w:val="clear" w:color="auto" w:fill="auto"/>
          <w:lang w:val="pt-PT" w:eastAsia="pt-PT" w:bidi="pt-PT"/>
        </w:rPr>
        <w:t xml:space="preserve">sito na Rua Joaquim Envira, 381 - Centro - Envira, </w:t>
      </w:r>
      <w:r>
        <w:rPr>
          <w:color w:val="000000"/>
          <w:spacing w:val="0"/>
          <w:w w:val="100"/>
          <w:position w:val="0"/>
          <w:sz w:val="19"/>
          <w:szCs w:val="19"/>
          <w:shd w:val="clear" w:color="auto" w:fill="auto"/>
          <w:lang w:val="pt-BR" w:eastAsia="pt-BR" w:bidi="pt-BR"/>
        </w:rPr>
        <w:t xml:space="preserve">CEP: </w:t>
      </w:r>
      <w:r>
        <w:rPr>
          <w:color w:val="000000"/>
          <w:spacing w:val="0"/>
          <w:w w:val="100"/>
          <w:position w:val="0"/>
          <w:sz w:val="19"/>
          <w:szCs w:val="19"/>
          <w:shd w:val="clear" w:color="auto" w:fill="auto"/>
          <w:lang w:val="pt-PT" w:eastAsia="pt-PT" w:bidi="pt-PT"/>
        </w:rPr>
        <w:t xml:space="preserve">69870-000, inscrita no CNPJ sob o n° 05.285.565/000-186, doravante abreviadamente designada, </w:t>
      </w:r>
      <w:r>
        <w:rPr>
          <w:b/>
          <w:bCs/>
          <w:color w:val="000000"/>
          <w:spacing w:val="0"/>
          <w:w w:val="100"/>
          <w:position w:val="0"/>
          <w:sz w:val="18"/>
          <w:szCs w:val="18"/>
          <w:shd w:val="clear" w:color="auto" w:fill="auto"/>
          <w:lang w:val="pt-PT" w:eastAsia="pt-PT" w:bidi="pt-PT"/>
        </w:rPr>
        <w:t xml:space="preserve">RPPS, </w:t>
      </w:r>
      <w:r>
        <w:rPr>
          <w:color w:val="000000"/>
          <w:spacing w:val="0"/>
          <w:w w:val="100"/>
          <w:position w:val="0"/>
          <w:sz w:val="19"/>
          <w:szCs w:val="19"/>
          <w:shd w:val="clear" w:color="auto" w:fill="auto"/>
          <w:lang w:val="pt-PT" w:eastAsia="pt-PT" w:bidi="pt-PT"/>
        </w:rPr>
        <w:t xml:space="preserve">tendo como Representante Legal do Ente o Sr. </w:t>
      </w:r>
      <w:r>
        <w:rPr>
          <w:b/>
          <w:bCs/>
          <w:color w:val="000000"/>
          <w:spacing w:val="0"/>
          <w:w w:val="100"/>
          <w:position w:val="0"/>
          <w:sz w:val="18"/>
          <w:szCs w:val="18"/>
          <w:shd w:val="clear" w:color="auto" w:fill="auto"/>
          <w:lang w:val="pt-PT" w:eastAsia="pt-PT" w:bidi="pt-PT"/>
        </w:rPr>
        <w:t xml:space="preserve">IVON RATES DA SILVA </w:t>
      </w:r>
      <w:r>
        <w:rPr>
          <w:color w:val="000000"/>
          <w:spacing w:val="0"/>
          <w:w w:val="100"/>
          <w:position w:val="0"/>
          <w:sz w:val="19"/>
          <w:szCs w:val="19"/>
          <w:shd w:val="clear" w:color="auto" w:fill="auto"/>
          <w:lang w:val="pt-PT" w:eastAsia="pt-PT" w:bidi="pt-PT"/>
        </w:rPr>
        <w:t xml:space="preserve">e o Representante Legal da Unidade Gestora o Sr. </w:t>
      </w:r>
      <w:r>
        <w:rPr>
          <w:b/>
          <w:bCs/>
          <w:color w:val="000000"/>
          <w:spacing w:val="0"/>
          <w:w w:val="100"/>
          <w:position w:val="0"/>
          <w:sz w:val="18"/>
          <w:szCs w:val="18"/>
          <w:shd w:val="clear" w:color="auto" w:fill="auto"/>
          <w:lang w:val="pt-PT" w:eastAsia="pt-PT" w:bidi="pt-PT"/>
        </w:rPr>
        <w:t>JULIO CHAGAS DE PINHO MATTOS.</w:t>
      </w:r>
    </w:p>
    <w:p>
      <w:pPr>
        <w:pStyle w:val="Style16"/>
        <w:keepNext/>
        <w:keepLines/>
        <w:widowControl w:val="0"/>
        <w:shd w:val="clear" w:color="auto" w:fill="auto"/>
        <w:bidi w:val="0"/>
        <w:spacing w:before="0" w:after="120" w:line="276" w:lineRule="auto"/>
        <w:ind w:left="0" w:right="0" w:firstLine="0"/>
        <w:jc w:val="left"/>
      </w:pPr>
      <w:bookmarkStart w:id="6" w:name="bookmark6"/>
      <w:r>
        <w:rPr>
          <w:color w:val="000000"/>
          <w:spacing w:val="0"/>
          <w:w w:val="100"/>
          <w:position w:val="0"/>
          <w:shd w:val="clear" w:color="auto" w:fill="auto"/>
          <w:lang w:val="pt-PT" w:eastAsia="pt-PT" w:bidi="pt-PT"/>
        </w:rPr>
        <w:t>Da Organização do Documento</w:t>
      </w:r>
      <w:bookmarkEnd w:id="6"/>
    </w:p>
    <w:p>
      <w:pPr>
        <w:pStyle w:val="Style13"/>
        <w:keepNext w:val="0"/>
        <w:keepLines w:val="0"/>
        <w:widowControl w:val="0"/>
        <w:shd w:val="clear" w:color="auto" w:fill="auto"/>
        <w:bidi w:val="0"/>
        <w:spacing w:before="0" w:after="120" w:line="266" w:lineRule="auto"/>
        <w:ind w:left="0" w:right="0" w:firstLine="740"/>
        <w:jc w:val="both"/>
        <w:sectPr>
          <w:headerReference w:type="default" r:id="rId21"/>
          <w:headerReference w:type="even" r:id="rId22"/>
          <w:footnotePr>
            <w:pos w:val="pageBottom"/>
            <w:numFmt w:val="decimal"/>
            <w:numRestart w:val="continuous"/>
          </w:footnotePr>
          <w:pgSz w:w="11900" w:h="16840"/>
          <w:pgMar w:top="2371" w:left="1605" w:right="1555" w:bottom="2371" w:header="0" w:footer="3" w:gutter="0"/>
          <w:cols w:space="720"/>
          <w:noEndnote/>
          <w:rtlGutter w:val="0"/>
          <w:docGrid w:linePitch="360"/>
        </w:sectPr>
      </w:pPr>
      <w:r>
        <w:rPr>
          <w:color w:val="000000"/>
          <w:spacing w:val="0"/>
          <w:w w:val="100"/>
          <w:position w:val="0"/>
          <w:shd w:val="clear" w:color="auto" w:fill="auto"/>
          <w:lang w:val="pt-PT" w:eastAsia="pt-PT" w:bidi="pt-PT"/>
        </w:rPr>
        <w:t xml:space="preserve">Esta INTRODUÇÃO de apresentação da Política de Investimentos do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 xml:space="preserve">contempla a VIGÊNCIA E OBJETIVOS DA POLÍTICA DE INVESTIMENTOS, destacando a </w:t>
      </w:r>
      <w:r>
        <w:rPr>
          <w:color w:val="000000"/>
          <w:spacing w:val="0"/>
          <w:w w:val="100"/>
          <w:position w:val="0"/>
          <w:shd w:val="clear" w:color="auto" w:fill="auto"/>
          <w:lang w:val="pt-BR" w:eastAsia="pt-BR" w:bidi="pt-BR"/>
        </w:rPr>
        <w:t xml:space="preserve">abrangência </w:t>
      </w:r>
      <w:r>
        <w:rPr>
          <w:color w:val="000000"/>
          <w:spacing w:val="0"/>
          <w:w w:val="100"/>
          <w:position w:val="0"/>
          <w:shd w:val="clear" w:color="auto" w:fill="auto"/>
          <w:lang w:val="pt-PT" w:eastAsia="pt-PT" w:bidi="pt-PT"/>
        </w:rPr>
        <w:t xml:space="preserve">temporal dos efeitos originados por este documento e o propósito de curto e longo prazo do RPPS; o MODELO DE GESTÃO E SERVIÇOS ESPECIALIZADOS, para prever o modo de gerir os recursos e o suporte especializado necessário; os ASPECTOS LEGAIS DA RESOLUÇÃO CMN 5.272/2025, a partir da síntese dos seus principais aspectos correspondentes; a CONJUNTURA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E ANÁLISE DE MERCADO, para oferecer dados e informações a respeito do contexto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 xml:space="preserve">de investimentos, bem como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DO MERCADO FINANCEIRO PARA 2025/2026, as CONSIDERAÇÕES GERAIS DO CENÁRIO DE 2025/2026 e o CONTROLE DE RISCO. Temos as DIRETRIZES PARA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DOS RECURSOS, alinhando os elementos de gestão e as suas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 xml:space="preserve">restrições; a ESTRATÉGIA PARA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DE RECURSOS, onde traçamos os limites de </w:t>
      </w:r>
      <w:r>
        <w:rPr>
          <w:color w:val="000000"/>
          <w:spacing w:val="0"/>
          <w:w w:val="100"/>
          <w:position w:val="0"/>
          <w:shd w:val="clear" w:color="auto" w:fill="auto"/>
          <w:lang w:val="pt-BR" w:eastAsia="pt-BR" w:bidi="pt-BR"/>
        </w:rPr>
        <w:t xml:space="preserve">alocações </w:t>
      </w:r>
      <w:r>
        <w:rPr>
          <w:color w:val="000000"/>
          <w:spacing w:val="0"/>
          <w:w w:val="100"/>
          <w:position w:val="0"/>
          <w:shd w:val="clear" w:color="auto" w:fill="auto"/>
          <w:lang w:val="pt-PT" w:eastAsia="pt-PT" w:bidi="pt-PT"/>
        </w:rPr>
        <w:t>por segmento; as VEDAÇÕES e por fim, as DISPOSIÇÕES GERAIS.</w:t>
      </w:r>
    </w:p>
    <w:p>
      <w:pPr>
        <w:widowControl w:val="0"/>
        <w:spacing w:line="1" w:lineRule="exact"/>
      </w:pPr>
      <w:r>
        <w:drawing>
          <wp:anchor distT="0" distB="0" distL="12700" distR="12700" simplePos="0" relativeHeight="125829407" behindDoc="0" locked="0" layoutInCell="1" allowOverlap="1">
            <wp:simplePos x="0" y="0"/>
            <wp:positionH relativeFrom="page">
              <wp:posOffset>5035550</wp:posOffset>
            </wp:positionH>
            <wp:positionV relativeFrom="paragraph">
              <wp:posOffset>12700</wp:posOffset>
            </wp:positionV>
            <wp:extent cx="286385" cy="304800"/>
            <wp:wrapSquare wrapText="left"/>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23"/>
                    <a:stretch/>
                  </pic:blipFill>
                  <pic:spPr>
                    <a:xfrm>
                      <a:ext cx="286385" cy="304800"/>
                    </a:xfrm>
                    <a:prstGeom prst="rect"/>
                  </pic:spPr>
                </pic:pic>
              </a:graphicData>
            </a:graphic>
          </wp:anchor>
        </w:drawing>
      </w:r>
    </w:p>
    <w:p>
      <w:pPr>
        <w:pStyle w:val="Style13"/>
        <w:keepNext w:val="0"/>
        <w:keepLines w:val="0"/>
        <w:widowControl w:val="0"/>
        <w:shd w:val="clear" w:color="auto" w:fill="auto"/>
        <w:bidi w:val="0"/>
        <w:spacing w:before="0" w:after="180" w:line="240" w:lineRule="auto"/>
        <w:ind w:left="0" w:right="0" w:firstLine="0"/>
        <w:jc w:val="left"/>
      </w:pPr>
      <w:r>
        <w:rPr>
          <w:color w:val="4E6896"/>
          <w:spacing w:val="0"/>
          <w:w w:val="100"/>
          <w:position w:val="0"/>
          <w:shd w:val="clear" w:color="auto" w:fill="auto"/>
          <w:lang w:val="pt-PT" w:eastAsia="pt-PT" w:bidi="pt-PT"/>
        </w:rPr>
        <w:t>►VIGÊNCIA E OBJETIVOS DA POLÍTICA DE INVESTIMENTOS 2026</w:t>
      </w:r>
    </w:p>
    <w:p>
      <w:pPr>
        <w:pStyle w:val="Style13"/>
        <w:keepNext w:val="0"/>
        <w:keepLines w:val="0"/>
        <w:widowControl w:val="0"/>
        <w:shd w:val="clear" w:color="auto" w:fill="auto"/>
        <w:bidi w:val="0"/>
        <w:spacing w:before="0" w:line="283"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Da Vigência</w:t>
      </w:r>
    </w:p>
    <w:p>
      <w:pPr>
        <w:pStyle w:val="Style13"/>
        <w:keepNext w:val="0"/>
        <w:keepLines w:val="0"/>
        <w:widowControl w:val="0"/>
        <w:shd w:val="clear" w:color="auto" w:fill="auto"/>
        <w:bidi w:val="0"/>
        <w:spacing w:before="0" w:after="500" w:line="266" w:lineRule="auto"/>
        <w:ind w:left="0" w:right="0" w:firstLine="740"/>
        <w:jc w:val="both"/>
      </w:pPr>
      <w:r>
        <w:rPr>
          <w:color w:val="000000"/>
          <w:spacing w:val="0"/>
          <w:w w:val="100"/>
          <w:position w:val="0"/>
          <w:shd w:val="clear" w:color="auto" w:fill="auto"/>
          <w:lang w:val="pt-PT" w:eastAsia="pt-PT" w:bidi="pt-PT"/>
        </w:rPr>
        <w:t xml:space="preserve">Esta Política de Investimentos será válida para todo o </w:t>
      </w:r>
      <w:r>
        <w:rPr>
          <w:b/>
          <w:bCs/>
          <w:color w:val="000000"/>
          <w:spacing w:val="0"/>
          <w:w w:val="100"/>
          <w:position w:val="0"/>
          <w:sz w:val="18"/>
          <w:szCs w:val="18"/>
          <w:shd w:val="clear" w:color="auto" w:fill="auto"/>
          <w:lang w:val="pt-PT" w:eastAsia="pt-PT" w:bidi="pt-PT"/>
        </w:rPr>
        <w:t xml:space="preserve">EXERCÍCIO DE 2026. </w:t>
      </w:r>
      <w:r>
        <w:rPr>
          <w:color w:val="000000"/>
          <w:spacing w:val="0"/>
          <w:w w:val="100"/>
          <w:position w:val="0"/>
          <w:shd w:val="clear" w:color="auto" w:fill="auto"/>
          <w:lang w:val="pt-PT" w:eastAsia="pt-PT" w:bidi="pt-PT"/>
        </w:rPr>
        <w:t xml:space="preserve">Durante este período, correções e alterações poderão ocorrer para adequar mudanças na legislação aplicável ou, caso seja considerado necessário pelo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até 31 de Dezembro de cada exercício. Ressalta-se que, em nenhuma hipótese será permitida a existência de duas Políticas de Investimentos abrangendo o mesmo exercício.</w:t>
      </w:r>
    </w:p>
    <w:p>
      <w:pPr>
        <w:pStyle w:val="Style16"/>
        <w:keepNext/>
        <w:keepLines/>
        <w:widowControl w:val="0"/>
        <w:shd w:val="clear" w:color="auto" w:fill="auto"/>
        <w:bidi w:val="0"/>
        <w:spacing w:before="0"/>
        <w:ind w:left="0" w:right="0" w:firstLine="0"/>
        <w:jc w:val="left"/>
      </w:pPr>
      <w:bookmarkStart w:id="7" w:name="bookmark7"/>
      <w:r>
        <w:rPr>
          <w:color w:val="000000"/>
          <w:spacing w:val="0"/>
          <w:w w:val="100"/>
          <w:position w:val="0"/>
          <w:shd w:val="clear" w:color="auto" w:fill="auto"/>
          <w:lang w:val="pt-PT" w:eastAsia="pt-PT" w:bidi="pt-PT"/>
        </w:rPr>
        <w:t>Dos Objetivos</w:t>
      </w:r>
      <w:bookmarkEnd w:id="7"/>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Os objetivos contemplam horizontes de curto e longo prazo. Em essência, o Regime Próprio de Previdência Social dos servidores públicos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hd w:val="clear" w:color="auto" w:fill="auto"/>
          <w:lang w:val="pt-PT" w:eastAsia="pt-PT" w:bidi="pt-PT"/>
        </w:rPr>
        <w:t xml:space="preserve">deve ser organizado para garantir a cobertura contínua dos seus segurados por meio do plano de benefícios. Para isso, o seu equilíbrio financeiro e, principalmente, atuarial, representam o seu objetivo de longo prazo. Além disso, é preciso visar permanentemente a construção de processos de pleno acesso dos segurados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informações relativas à gestão do regime e participação de representantes dos servidores públicos, ativos e inativos, nos colegiados e instâncias de decisão em que os seus interesses sejam objeto de discussão e deliberação, nos termos do art. 6</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Inciso IV e art. I</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Inciso VI, da Lei 9.717/98.</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Nesse sentido, a Política de Investimentos define a estratégia de aplicação dos recursos no curto prazo. Anualmente, é necessário selecionar os diversos segmentos de aplicação e 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 xml:space="preserve">carteiras de investimentos de acordo com o perfil das obrigações 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Regime Próprio de Previdência Social, observados os critérios para aplicação dos recursos, conforme estabelecido pelo Conselho Monetário Nacional (CMN), tendo em vista a necessidade de buscar a manutenção do equilíbrio financeiro e atuarial e os limites de diversificação e concentração previstos na referida legislação.</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A Portaria MTP n° 1.467/2022, em seu artigo 102, elenca o que a Política de Investimentos deve contemplar no que se refere aos parâmetros de rentabilidade perseguidos, sobretudo definir a meta de rentabilidade futura dos investimentos, que será utilizada para balizar a aderência da taxa utilizada na avaliação atuarial do regime.</w:t>
      </w:r>
    </w:p>
    <w:p>
      <w:pPr>
        <w:pStyle w:val="Style13"/>
        <w:keepNext w:val="0"/>
        <w:keepLines w:val="0"/>
        <w:widowControl w:val="0"/>
        <w:shd w:val="clear" w:color="auto" w:fill="auto"/>
        <w:bidi w:val="0"/>
        <w:spacing w:before="0" w:line="266" w:lineRule="auto"/>
        <w:ind w:left="0" w:right="0" w:firstLine="740"/>
        <w:jc w:val="both"/>
      </w:pPr>
      <w:r>
        <w:rPr>
          <w:color w:val="000000"/>
          <w:spacing w:val="0"/>
          <w:w w:val="100"/>
          <w:position w:val="0"/>
          <w:shd w:val="clear" w:color="auto" w:fill="auto"/>
          <w:lang w:val="pt-PT" w:eastAsia="pt-PT" w:bidi="pt-PT"/>
        </w:rPr>
        <w:t xml:space="preserve">Além disso, </w:t>
      </w:r>
      <w:r>
        <w:rPr>
          <w:color w:val="000000"/>
          <w:spacing w:val="0"/>
          <w:w w:val="100"/>
          <w:position w:val="0"/>
          <w:shd w:val="clear" w:color="auto" w:fill="auto"/>
          <w:lang w:val="pt-BR" w:eastAsia="pt-BR" w:bidi="pt-BR"/>
        </w:rPr>
        <w:t xml:space="preserve">deve-se </w:t>
      </w:r>
      <w:r>
        <w:rPr>
          <w:color w:val="000000"/>
          <w:spacing w:val="0"/>
          <w:w w:val="100"/>
          <w:position w:val="0"/>
          <w:shd w:val="clear" w:color="auto" w:fill="auto"/>
          <w:lang w:val="pt-PT" w:eastAsia="pt-PT" w:bidi="pt-PT"/>
        </w:rPr>
        <w:t>observar o disposto no art. 4</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da Seção II, do Anexo VII, da Portaria MTP n° 1.467/2022, alterada pela </w:t>
      </w:r>
      <w:r>
        <w:rPr>
          <w:b/>
          <w:bCs/>
          <w:color w:val="000000"/>
          <w:spacing w:val="0"/>
          <w:w w:val="100"/>
          <w:position w:val="0"/>
          <w:sz w:val="18"/>
          <w:szCs w:val="18"/>
          <w:shd w:val="clear" w:color="auto" w:fill="auto"/>
          <w:lang w:val="pt-PT" w:eastAsia="pt-PT" w:bidi="pt-PT"/>
        </w:rPr>
        <w:t xml:space="preserve">Portaria MPS n° 2.010, de 15 de outubro de 2025, </w:t>
      </w:r>
      <w:r>
        <w:rPr>
          <w:color w:val="000000"/>
          <w:spacing w:val="0"/>
          <w:w w:val="100"/>
          <w:position w:val="0"/>
          <w:shd w:val="clear" w:color="auto" w:fill="auto"/>
          <w:lang w:val="pt-PT" w:eastAsia="pt-PT" w:bidi="pt-PT"/>
        </w:rPr>
        <w:t>segundo o qual deverão ser acrescidos em 0,15 pontos percentuais para cada ano em que a taxa de juros utilizada nas avaliações atuariais dos últimos 5 (cinco) exercícios antecedentes à data focal da avaliação tenha sido alcançados pelo RPPS, limitada a 0,6 pontos percentuais.</w:t>
      </w:r>
    </w:p>
    <w:p>
      <w:pPr>
        <w:pStyle w:val="Style13"/>
        <w:keepNext w:val="0"/>
        <w:keepLines w:val="0"/>
        <w:widowControl w:val="0"/>
        <w:shd w:val="clear" w:color="auto" w:fill="auto"/>
        <w:bidi w:val="0"/>
        <w:spacing w:before="0"/>
        <w:ind w:left="0" w:right="0" w:firstLine="740"/>
        <w:jc w:val="both"/>
      </w:pPr>
      <w:r>
        <w:drawing>
          <wp:anchor distT="723900" distB="0" distL="114300" distR="114300" simplePos="0" relativeHeight="125829408" behindDoc="0" locked="0" layoutInCell="1" allowOverlap="1">
            <wp:simplePos x="0" y="0"/>
            <wp:positionH relativeFrom="page">
              <wp:posOffset>6068695</wp:posOffset>
            </wp:positionH>
            <wp:positionV relativeFrom="margin">
              <wp:posOffset>8220710</wp:posOffset>
            </wp:positionV>
            <wp:extent cx="1036320" cy="694690"/>
            <wp:wrapTopAndBottom/>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25"/>
                    <a:stretch/>
                  </pic:blipFill>
                  <pic:spPr>
                    <a:xfrm>
                      <a:ext cx="1036320" cy="694690"/>
                    </a:xfrm>
                    <a:prstGeom prst="rect"/>
                  </pic:spPr>
                </pic:pic>
              </a:graphicData>
            </a:graphic>
          </wp:anchor>
        </w:drawing>
      </w:r>
      <w:r>
        <w:rPr>
          <w:color w:val="000000"/>
          <w:spacing w:val="0"/>
          <w:w w:val="100"/>
          <w:position w:val="0"/>
          <w:shd w:val="clear" w:color="auto" w:fill="auto"/>
          <w:lang w:val="pt-PT" w:eastAsia="pt-PT" w:bidi="pt-PT"/>
        </w:rPr>
        <w:t xml:space="preserve">Por conseguinte, 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 xml:space="preserve">precisa buscar, através da aplicação dos seus recursos, uma rentabilidade igual ou superior a sua meta atuarial. Com base no horizonte de longo prazo, e a situação financeira e atuarial observada </w:t>
      </w:r>
      <w:r>
        <w:rPr>
          <w:color w:val="000000"/>
          <w:spacing w:val="0"/>
          <w:w w:val="100"/>
          <w:position w:val="0"/>
          <w:shd w:val="clear" w:color="auto" w:fill="auto"/>
          <w:lang w:val="pt-BR" w:eastAsia="pt-BR" w:bidi="pt-BR"/>
        </w:rPr>
        <w:t xml:space="preserve">atualmente, </w:t>
      </w:r>
      <w:r>
        <w:rPr>
          <w:color w:val="000000"/>
          <w:spacing w:val="0"/>
          <w:w w:val="100"/>
          <w:position w:val="0"/>
          <w:shd w:val="clear" w:color="auto" w:fill="auto"/>
          <w:lang w:val="pt-PT" w:eastAsia="pt-PT" w:bidi="pt-PT"/>
        </w:rPr>
        <w:t xml:space="preserve">a META ATUARIAL, definida e aprovada juntamente com a Política de Investimentos, será representada pelo </w:t>
      </w:r>
      <w:r>
        <w:rPr>
          <w:color w:val="000000"/>
          <w:spacing w:val="0"/>
          <w:w w:val="100"/>
          <w:position w:val="0"/>
          <w:shd w:val="clear" w:color="auto" w:fill="auto"/>
          <w:lang w:val="pt-BR" w:eastAsia="pt-BR" w:bidi="pt-BR"/>
        </w:rPr>
        <w:t xml:space="preserve">benchmark </w:t>
      </w:r>
      <w:r>
        <w:rPr>
          <w:b/>
          <w:bCs/>
          <w:color w:val="000000"/>
          <w:spacing w:val="0"/>
          <w:w w:val="100"/>
          <w:position w:val="0"/>
          <w:sz w:val="18"/>
          <w:szCs w:val="18"/>
          <w:shd w:val="clear" w:color="auto" w:fill="auto"/>
          <w:lang w:val="pt-PT" w:eastAsia="pt-PT" w:bidi="pt-PT"/>
        </w:rPr>
        <w:t xml:space="preserve">IPCA ACRESCIDO DE 6,00% a.a. (IPCA + 6,00% a.a.). </w:t>
      </w:r>
      <w:r>
        <w:rPr>
          <w:color w:val="000000"/>
          <w:spacing w:val="0"/>
          <w:w w:val="100"/>
          <w:position w:val="0"/>
          <w:shd w:val="clear" w:color="auto" w:fill="auto"/>
          <w:lang w:val="pt-PT" w:eastAsia="pt-PT" w:bidi="pt-PT"/>
        </w:rPr>
        <w:t xml:space="preserve">No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restou aplicada, nesta Política de Investimentos, a taxa de juros parâmetro orientada pela Portaria MPS n° 2.010/2025.</w:t>
      </w:r>
      <w:r>
        <w:br w:type="page"/>
      </w:r>
    </w:p>
    <w:p>
      <w:pPr>
        <w:pStyle w:val="Style13"/>
        <w:keepNext w:val="0"/>
        <w:keepLines w:val="0"/>
        <w:widowControl w:val="0"/>
        <w:shd w:val="clear" w:color="auto" w:fill="auto"/>
        <w:bidi w:val="0"/>
        <w:spacing w:before="0" w:after="560" w:line="240" w:lineRule="auto"/>
        <w:ind w:left="0" w:right="0" w:firstLine="0"/>
        <w:jc w:val="left"/>
      </w:pPr>
      <w:r>
        <w:rPr>
          <w:color w:val="4E6896"/>
          <w:spacing w:val="0"/>
          <w:w w:val="100"/>
          <w:position w:val="0"/>
          <w:shd w:val="clear" w:color="auto" w:fill="auto"/>
          <w:lang w:val="pt-PT" w:eastAsia="pt-PT" w:bidi="pt-PT"/>
        </w:rPr>
        <w:t>XMODELO DE GESTÃO E SERVIÇOS ESPECIALIZADOS</w:t>
      </w:r>
    </w:p>
    <w:p>
      <w:pPr>
        <w:pStyle w:val="Style16"/>
        <w:keepNext/>
        <w:keepLines/>
        <w:widowControl w:val="0"/>
        <w:shd w:val="clear" w:color="auto" w:fill="auto"/>
        <w:bidi w:val="0"/>
        <w:spacing w:before="0" w:after="140" w:line="240" w:lineRule="auto"/>
        <w:ind w:left="0" w:right="0" w:firstLine="0"/>
        <w:jc w:val="left"/>
      </w:pPr>
      <w:r>
        <w:drawing>
          <wp:anchor distT="0" distB="0" distL="12700" distR="12700" simplePos="0" relativeHeight="125829409" behindDoc="0" locked="0" layoutInCell="1" allowOverlap="1">
            <wp:simplePos x="0" y="0"/>
            <wp:positionH relativeFrom="page">
              <wp:posOffset>4445635</wp:posOffset>
            </wp:positionH>
            <wp:positionV relativeFrom="margin">
              <wp:posOffset>-128270</wp:posOffset>
            </wp:positionV>
            <wp:extent cx="286385" cy="298450"/>
            <wp:wrapSquare wrapText="left"/>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27"/>
                    <a:stretch/>
                  </pic:blipFill>
                  <pic:spPr>
                    <a:xfrm>
                      <a:ext cx="286385" cy="298450"/>
                    </a:xfrm>
                    <a:prstGeom prst="rect"/>
                  </pic:spPr>
                </pic:pic>
              </a:graphicData>
            </a:graphic>
          </wp:anchor>
        </w:drawing>
      </w:r>
      <w:bookmarkStart w:id="8" w:name="bookmark8"/>
      <w:r>
        <w:rPr>
          <w:color w:val="000000"/>
          <w:spacing w:val="0"/>
          <w:w w:val="100"/>
          <w:position w:val="0"/>
          <w:shd w:val="clear" w:color="auto" w:fill="auto"/>
          <w:lang w:val="pt-PT" w:eastAsia="pt-PT" w:bidi="pt-PT"/>
        </w:rPr>
        <w:t>Do Modelo de Gestão</w:t>
      </w:r>
      <w:bookmarkEnd w:id="8"/>
    </w:p>
    <w:p>
      <w:pPr>
        <w:pStyle w:val="Style13"/>
        <w:keepNext w:val="0"/>
        <w:keepLines w:val="0"/>
        <w:widowControl w:val="0"/>
        <w:shd w:val="clear" w:color="auto" w:fill="auto"/>
        <w:bidi w:val="0"/>
        <w:spacing w:before="0" w:after="0" w:line="276" w:lineRule="auto"/>
        <w:ind w:left="0" w:right="0"/>
        <w:jc w:val="left"/>
        <w:sectPr>
          <w:footnotePr>
            <w:pos w:val="pageBottom"/>
            <w:numFmt w:val="decimal"/>
            <w:numRestart w:val="continuous"/>
          </w:footnotePr>
          <w:pgSz w:w="11900" w:h="16840"/>
          <w:pgMar w:top="2301" w:left="1615" w:right="1558" w:bottom="2838" w:header="0" w:footer="3" w:gutter="0"/>
          <w:cols w:space="720"/>
          <w:noEndnote/>
          <w:rtlGutter w:val="0"/>
          <w:docGrid w:linePitch="360"/>
        </w:sectPr>
      </w:pPr>
      <w:r>
        <mc:AlternateContent>
          <mc:Choice Requires="wps">
            <w:drawing>
              <wp:anchor distT="137160" distB="1659890" distL="118745" distR="5344795" simplePos="0" relativeHeight="125829410" behindDoc="0" locked="0" layoutInCell="1" allowOverlap="1">
                <wp:simplePos x="0" y="0"/>
                <wp:positionH relativeFrom="page">
                  <wp:posOffset>462915</wp:posOffset>
                </wp:positionH>
                <wp:positionV relativeFrom="margin">
                  <wp:posOffset>1284605</wp:posOffset>
                </wp:positionV>
                <wp:extent cx="859790" cy="168910"/>
                <wp:wrapTopAndBottom/>
                <wp:docPr id="59" name="Shape 59"/>
                <a:graphic xmlns:a="http://schemas.openxmlformats.org/drawingml/2006/main">
                  <a:graphicData uri="http://schemas.microsoft.com/office/word/2010/wordprocessingShape">
                    <wps:wsp>
                      <wps:cNvSpPr txBox="1"/>
                      <wps:spPr>
                        <a:xfrm>
                          <a:ext cx="859790" cy="1689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4E6896"/>
                                <w:spacing w:val="0"/>
                                <w:w w:val="100"/>
                                <w:position w:val="0"/>
                                <w:shd w:val="clear" w:color="auto" w:fill="auto"/>
                                <w:lang w:val="pt-PT" w:eastAsia="pt-PT" w:bidi="pt-PT"/>
                              </w:rPr>
                              <w:t>ELABORAR</w:t>
                            </w:r>
                          </w:p>
                        </w:txbxContent>
                      </wps:txbx>
                      <wps:bodyPr wrap="none" lIns="0" tIns="0" rIns="0" bIns="0">
                        <a:noAutoFit/>
                      </wps:bodyPr>
                    </wps:wsp>
                  </a:graphicData>
                </a:graphic>
              </wp:anchor>
            </w:drawing>
          </mc:Choice>
          <mc:Fallback>
            <w:pict>
              <v:shape id="_x0000_s1085" type="#_x0000_t202" style="position:absolute;margin-left:36.450000000000003pt;margin-top:101.15000000000001pt;width:67.700000000000003pt;height:13.300000000000001pt;z-index:-125829343;mso-wrap-distance-left:9.3499999999999996pt;mso-wrap-distance-top:10.800000000000001pt;mso-wrap-distance-right:420.85000000000002pt;mso-wrap-distance-bottom:130.6999999999999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4E6896"/>
                          <w:spacing w:val="0"/>
                          <w:w w:val="100"/>
                          <w:position w:val="0"/>
                          <w:shd w:val="clear" w:color="auto" w:fill="auto"/>
                          <w:lang w:val="pt-PT" w:eastAsia="pt-PT" w:bidi="pt-PT"/>
                        </w:rPr>
                        <w:t>ELABORAR</w:t>
                      </w:r>
                    </w:p>
                  </w:txbxContent>
                </v:textbox>
                <w10:wrap type="topAndBottom" anchorx="page" anchory="margin"/>
              </v:shape>
            </w:pict>
          </mc:Fallback>
        </mc:AlternateContent>
      </w:r>
      <w:r>
        <mc:AlternateContent>
          <mc:Choice Requires="wps">
            <w:drawing>
              <wp:anchor distT="123190" distB="1664335" distL="1494790" distR="3955415" simplePos="0" relativeHeight="125829412" behindDoc="0" locked="0" layoutInCell="1" allowOverlap="1">
                <wp:simplePos x="0" y="0"/>
                <wp:positionH relativeFrom="page">
                  <wp:posOffset>1838960</wp:posOffset>
                </wp:positionH>
                <wp:positionV relativeFrom="margin">
                  <wp:posOffset>1270635</wp:posOffset>
                </wp:positionV>
                <wp:extent cx="873125" cy="178435"/>
                <wp:wrapTopAndBottom/>
                <wp:docPr id="61" name="Shape 61"/>
                <a:graphic xmlns:a="http://schemas.openxmlformats.org/drawingml/2006/main">
                  <a:graphicData uri="http://schemas.microsoft.com/office/word/2010/wordprocessingShape">
                    <wps:wsp>
                      <wps:cNvSpPr txBox="1"/>
                      <wps:spPr>
                        <a:xfrm>
                          <a:ext cx="873125" cy="1784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BR" w:eastAsia="pt-BR" w:bidi="pt-BR"/>
                              </w:rPr>
                              <w:t>ELATÓRIO.S</w:t>
                            </w:r>
                          </w:p>
                        </w:txbxContent>
                      </wps:txbx>
                      <wps:bodyPr wrap="none" lIns="0" tIns="0" rIns="0" bIns="0">
                        <a:noAutoFit/>
                      </wps:bodyPr>
                    </wps:wsp>
                  </a:graphicData>
                </a:graphic>
              </wp:anchor>
            </w:drawing>
          </mc:Choice>
          <mc:Fallback>
            <w:pict>
              <v:shape id="_x0000_s1087" type="#_x0000_t202" style="position:absolute;margin-left:144.80000000000001pt;margin-top:100.05pt;width:68.75pt;height:14.050000000000001pt;z-index:-125829341;mso-wrap-distance-left:117.7pt;mso-wrap-distance-top:9.6999999999999993pt;mso-wrap-distance-right:311.44999999999999pt;mso-wrap-distance-bottom:131.05000000000001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BR" w:eastAsia="pt-BR" w:bidi="pt-BR"/>
                        </w:rPr>
                        <w:t>ELATÓRIO.S</w:t>
                      </w:r>
                    </w:p>
                  </w:txbxContent>
                </v:textbox>
                <w10:wrap type="topAndBottom" anchorx="page" anchory="margin"/>
              </v:shape>
            </w:pict>
          </mc:Fallback>
        </mc:AlternateContent>
      </w:r>
      <w:r>
        <mc:AlternateContent>
          <mc:Choice Requires="wps">
            <w:drawing>
              <wp:anchor distT="0" distB="1641475" distL="2551430" distR="118745" simplePos="0" relativeHeight="125829414" behindDoc="0" locked="0" layoutInCell="1" allowOverlap="1">
                <wp:simplePos x="0" y="0"/>
                <wp:positionH relativeFrom="page">
                  <wp:posOffset>2895600</wp:posOffset>
                </wp:positionH>
                <wp:positionV relativeFrom="margin">
                  <wp:posOffset>1147445</wp:posOffset>
                </wp:positionV>
                <wp:extent cx="3653155" cy="324485"/>
                <wp:wrapTopAndBottom/>
                <wp:docPr id="63" name="Shape 63"/>
                <a:graphic xmlns:a="http://schemas.openxmlformats.org/drawingml/2006/main">
                  <a:graphicData uri="http://schemas.microsoft.com/office/word/2010/wordprocessingShape">
                    <wps:wsp>
                      <wps:cNvSpPr txBox="1"/>
                      <wps:spPr>
                        <a:xfrm>
                          <a:ext cx="3653155" cy="324485"/>
                        </a:xfrm>
                        <a:prstGeom prst="rect"/>
                        <a:noFill/>
                      </wps:spPr>
                      <wps:txbx>
                        <w:txbxContent>
                          <w:p>
                            <w:pPr>
                              <w:pStyle w:val="Style13"/>
                              <w:keepNext w:val="0"/>
                              <w:keepLines w:val="0"/>
                              <w:widowControl w:val="0"/>
                              <w:shd w:val="clear" w:color="auto" w:fill="auto"/>
                              <w:bidi w:val="0"/>
                              <w:spacing w:before="0" w:after="0" w:line="276" w:lineRule="auto"/>
                              <w:ind w:left="0" w:right="0" w:firstLine="0"/>
                              <w:jc w:val="right"/>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adotou o modelo de</w:t>
                            </w:r>
                          </w:p>
                        </w:txbxContent>
                      </wps:txbx>
                      <wps:bodyPr lIns="0" tIns="0" rIns="0" bIns="0">
                        <a:noAutoFit/>
                      </wps:bodyPr>
                    </wps:wsp>
                  </a:graphicData>
                </a:graphic>
              </wp:anchor>
            </w:drawing>
          </mc:Choice>
          <mc:Fallback>
            <w:pict>
              <v:shape id="_x0000_s1089" type="#_x0000_t202" style="position:absolute;margin-left:228.pt;margin-top:90.349999999999994pt;width:287.64999999999998pt;height:25.550000000000001pt;z-index:-125829339;mso-wrap-distance-left:200.90000000000001pt;mso-wrap-distance-right:9.3499999999999996pt;mso-wrap-distance-bottom:129.25pt;mso-position-horizontal-relative:page;mso-position-vertical-relative:margin" filled="f" stroked="f">
                <v:textbox inset="0,0,0,0">
                  <w:txbxContent>
                    <w:p>
                      <w:pPr>
                        <w:pStyle w:val="Style13"/>
                        <w:keepNext w:val="0"/>
                        <w:keepLines w:val="0"/>
                        <w:widowControl w:val="0"/>
                        <w:shd w:val="clear" w:color="auto" w:fill="auto"/>
                        <w:bidi w:val="0"/>
                        <w:spacing w:before="0" w:after="0" w:line="276" w:lineRule="auto"/>
                        <w:ind w:left="0" w:right="0" w:firstLine="0"/>
                        <w:jc w:val="right"/>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adotou o modelo de</w:t>
                      </w:r>
                    </w:p>
                  </w:txbxContent>
                </v:textbox>
                <w10:wrap type="topAndBottom" anchorx="page" anchory="margin"/>
              </v:shape>
            </w:pict>
          </mc:Fallback>
        </mc:AlternateContent>
      </w:r>
      <w:r>
        <mc:AlternateContent>
          <mc:Choice Requires="wps">
            <w:drawing>
              <wp:anchor distT="328930" distB="1262380" distL="114300" distR="3950335" simplePos="0" relativeHeight="125829416" behindDoc="0" locked="0" layoutInCell="1" allowOverlap="1">
                <wp:simplePos x="0" y="0"/>
                <wp:positionH relativeFrom="page">
                  <wp:posOffset>458470</wp:posOffset>
                </wp:positionH>
                <wp:positionV relativeFrom="margin">
                  <wp:posOffset>1476375</wp:posOffset>
                </wp:positionV>
                <wp:extent cx="2258695" cy="374650"/>
                <wp:wrapTopAndBottom/>
                <wp:docPr id="65" name="Shape 65"/>
                <a:graphic xmlns:a="http://schemas.openxmlformats.org/drawingml/2006/main">
                  <a:graphicData uri="http://schemas.microsoft.com/office/word/2010/wordprocessingShape">
                    <wps:wsp>
                      <wps:cNvSpPr txBox="1"/>
                      <wps:spPr>
                        <a:xfrm>
                          <a:ext cx="2258695" cy="374650"/>
                        </a:xfrm>
                        <a:prstGeom prst="rect"/>
                        <a:noFill/>
                      </wps:spPr>
                      <wps:txbx>
                        <w:txbxContent>
                          <w:p>
                            <w:pPr>
                              <w:pStyle w:val="Style13"/>
                              <w:keepNext w:val="0"/>
                              <w:keepLines w:val="0"/>
                              <w:widowControl w:val="0"/>
                              <w:shd w:val="clear" w:color="auto" w:fill="auto"/>
                              <w:bidi w:val="0"/>
                              <w:spacing w:before="0" w:after="0" w:line="331" w:lineRule="auto"/>
                              <w:ind w:left="0" w:right="0" w:firstLine="0"/>
                              <w:jc w:val="both"/>
                            </w:pPr>
                            <w:r>
                              <w:rPr>
                                <w:color w:val="8A9AB2"/>
                                <w:spacing w:val="0"/>
                                <w:w w:val="100"/>
                                <w:position w:val="0"/>
                                <w:shd w:val="clear" w:color="auto" w:fill="auto"/>
                                <w:lang w:val="pt-PT" w:eastAsia="pt-PT" w:bidi="pt-PT"/>
                              </w:rPr>
                              <w:t xml:space="preserve">^ETALHAPOS, </w:t>
                            </w:r>
                            <w:r>
                              <w:rPr>
                                <w:i/>
                                <w:iCs/>
                                <w:color w:val="8A9AB2"/>
                                <w:spacing w:val="0"/>
                                <w:w w:val="100"/>
                                <w:position w:val="0"/>
                                <w:sz w:val="16"/>
                                <w:szCs w:val="16"/>
                                <w:shd w:val="clear" w:color="auto" w:fill="auto"/>
                                <w:lang w:val="pt-PT" w:eastAsia="pt-PT" w:bidi="pt-PT"/>
                              </w:rPr>
                              <w:t>v\,o</w:t>
                            </w:r>
                            <w:r>
                              <w:rPr>
                                <w:color w:val="8A9AB2"/>
                                <w:spacing w:val="0"/>
                                <w:w w:val="100"/>
                                <w:position w:val="0"/>
                                <w:shd w:val="clear" w:color="auto" w:fill="auto"/>
                                <w:lang w:val="pt-PT" w:eastAsia="pt-PT" w:bidi="pt-PT"/>
                              </w:rPr>
                              <w:t xml:space="preserve"> </w:t>
                            </w:r>
                            <w:r>
                              <w:rPr>
                                <w:color w:val="8A9AB2"/>
                                <w:spacing w:val="0"/>
                                <w:w w:val="100"/>
                                <w:position w:val="0"/>
                                <w:shd w:val="clear" w:color="auto" w:fill="auto"/>
                                <w:lang w:val="pt-BR" w:eastAsia="pt-BR" w:bidi="pt-BR"/>
                              </w:rPr>
                              <w:t xml:space="preserve">mL/vímo, </w:t>
                            </w:r>
                            <w:r>
                              <w:rPr>
                                <w:color w:val="8A9AB2"/>
                                <w:spacing w:val="0"/>
                                <w:w w:val="100"/>
                                <w:position w:val="0"/>
                                <w:shd w:val="clear" w:color="auto" w:fill="auto"/>
                                <w:lang w:val="pt-PT" w:eastAsia="pt-PT" w:bidi="pt-PT"/>
                              </w:rPr>
                              <w:t>TRI MESTRA LM ENTE, Sobre OS</w:t>
                            </w:r>
                          </w:p>
                        </w:txbxContent>
                      </wps:txbx>
                      <wps:bodyPr lIns="0" tIns="0" rIns="0" bIns="0">
                        <a:noAutoFit/>
                      </wps:bodyPr>
                    </wps:wsp>
                  </a:graphicData>
                </a:graphic>
              </wp:anchor>
            </w:drawing>
          </mc:Choice>
          <mc:Fallback>
            <w:pict>
              <v:shape id="_x0000_s1091" type="#_x0000_t202" style="position:absolute;margin-left:36.100000000000001pt;margin-top:116.25pt;width:177.84999999999999pt;height:29.5pt;z-index:-125829337;mso-wrap-distance-left:9.pt;mso-wrap-distance-top:25.899999999999999pt;mso-wrap-distance-right:311.05000000000001pt;mso-wrap-distance-bottom:99.400000000000006pt;mso-position-horizontal-relative:page;mso-position-vertical-relative:margin" filled="f" stroked="f">
                <v:textbox inset="0,0,0,0">
                  <w:txbxContent>
                    <w:p>
                      <w:pPr>
                        <w:pStyle w:val="Style13"/>
                        <w:keepNext w:val="0"/>
                        <w:keepLines w:val="0"/>
                        <w:widowControl w:val="0"/>
                        <w:shd w:val="clear" w:color="auto" w:fill="auto"/>
                        <w:bidi w:val="0"/>
                        <w:spacing w:before="0" w:after="0" w:line="331" w:lineRule="auto"/>
                        <w:ind w:left="0" w:right="0" w:firstLine="0"/>
                        <w:jc w:val="both"/>
                      </w:pPr>
                      <w:r>
                        <w:rPr>
                          <w:color w:val="8A9AB2"/>
                          <w:spacing w:val="0"/>
                          <w:w w:val="100"/>
                          <w:position w:val="0"/>
                          <w:shd w:val="clear" w:color="auto" w:fill="auto"/>
                          <w:lang w:val="pt-PT" w:eastAsia="pt-PT" w:bidi="pt-PT"/>
                        </w:rPr>
                        <w:t xml:space="preserve">^ETALHAPOS, </w:t>
                      </w:r>
                      <w:r>
                        <w:rPr>
                          <w:i/>
                          <w:iCs/>
                          <w:color w:val="8A9AB2"/>
                          <w:spacing w:val="0"/>
                          <w:w w:val="100"/>
                          <w:position w:val="0"/>
                          <w:sz w:val="16"/>
                          <w:szCs w:val="16"/>
                          <w:shd w:val="clear" w:color="auto" w:fill="auto"/>
                          <w:lang w:val="pt-PT" w:eastAsia="pt-PT" w:bidi="pt-PT"/>
                        </w:rPr>
                        <w:t>v\,o</w:t>
                      </w:r>
                      <w:r>
                        <w:rPr>
                          <w:color w:val="8A9AB2"/>
                          <w:spacing w:val="0"/>
                          <w:w w:val="100"/>
                          <w:position w:val="0"/>
                          <w:shd w:val="clear" w:color="auto" w:fill="auto"/>
                          <w:lang w:val="pt-PT" w:eastAsia="pt-PT" w:bidi="pt-PT"/>
                        </w:rPr>
                        <w:t xml:space="preserve"> </w:t>
                      </w:r>
                      <w:r>
                        <w:rPr>
                          <w:color w:val="8A9AB2"/>
                          <w:spacing w:val="0"/>
                          <w:w w:val="100"/>
                          <w:position w:val="0"/>
                          <w:shd w:val="clear" w:color="auto" w:fill="auto"/>
                          <w:lang w:val="pt-BR" w:eastAsia="pt-BR" w:bidi="pt-BR"/>
                        </w:rPr>
                        <w:t xml:space="preserve">mL/vímo, </w:t>
                      </w:r>
                      <w:r>
                        <w:rPr>
                          <w:color w:val="8A9AB2"/>
                          <w:spacing w:val="0"/>
                          <w:w w:val="100"/>
                          <w:position w:val="0"/>
                          <w:shd w:val="clear" w:color="auto" w:fill="auto"/>
                          <w:lang w:val="pt-PT" w:eastAsia="pt-PT" w:bidi="pt-PT"/>
                        </w:rPr>
                        <w:t>TRI MESTRA LM ENTE, Sobre OS</w:t>
                      </w:r>
                    </w:p>
                  </w:txbxContent>
                </v:textbox>
                <w10:wrap type="topAndBottom" anchorx="page" anchory="margin"/>
              </v:shape>
            </w:pict>
          </mc:Fallback>
        </mc:AlternateContent>
      </w:r>
      <w:r>
        <mc:AlternateContent>
          <mc:Choice Requires="wps">
            <w:drawing>
              <wp:anchor distT="708660" distB="1074420" distL="114300" distR="3954780" simplePos="0" relativeHeight="125829418" behindDoc="0" locked="0" layoutInCell="1" allowOverlap="1">
                <wp:simplePos x="0" y="0"/>
                <wp:positionH relativeFrom="page">
                  <wp:posOffset>458470</wp:posOffset>
                </wp:positionH>
                <wp:positionV relativeFrom="margin">
                  <wp:posOffset>1856105</wp:posOffset>
                </wp:positionV>
                <wp:extent cx="2254250" cy="182880"/>
                <wp:wrapTopAndBottom/>
                <wp:docPr id="67" name="Shape 67"/>
                <a:graphic xmlns:a="http://schemas.openxmlformats.org/drawingml/2006/main">
                  <a:graphicData uri="http://schemas.microsoft.com/office/word/2010/wordprocessingShape">
                    <wps:wsp>
                      <wps:cNvSpPr txBox="1"/>
                      <wps:spPr>
                        <a:xfrm>
                          <a:ext cx="2254250" cy="1828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 xml:space="preserve">riscos, </w:t>
                            </w:r>
                            <w:r>
                              <w:rPr>
                                <w:color w:val="8A9AB2"/>
                                <w:spacing w:val="0"/>
                                <w:w w:val="100"/>
                                <w:position w:val="0"/>
                                <w:shd w:val="clear" w:color="auto" w:fill="auto"/>
                                <w:lang w:val="pt-BR" w:eastAsia="pt-BR" w:bidi="pt-BR"/>
                              </w:rPr>
                              <w:t xml:space="preserve">couvfomte </w:t>
                            </w:r>
                            <w:r>
                              <w:rPr>
                                <w:color w:val="8A9AB2"/>
                                <w:spacing w:val="0"/>
                                <w:w w:val="100"/>
                                <w:position w:val="0"/>
                                <w:shd w:val="clear" w:color="auto" w:fill="auto"/>
                                <w:lang w:val="pt-PT" w:eastAsia="pt-PT" w:bidi="pt-PT"/>
                              </w:rPr>
                              <w:t>art. 136</w:t>
                            </w:r>
                            <w:r>
                              <w:rPr>
                                <w:color w:val="8A9AB2"/>
                                <w:spacing w:val="0"/>
                                <w:w w:val="100"/>
                                <w:position w:val="0"/>
                                <w:shd w:val="clear" w:color="auto" w:fill="auto"/>
                                <w:vertAlign w:val="superscript"/>
                                <w:lang w:val="pt-PT" w:eastAsia="pt-PT" w:bidi="pt-PT"/>
                              </w:rPr>
                              <w:t>£</w:t>
                            </w:r>
                            <w:r>
                              <w:rPr>
                                <w:color w:val="8A9AB2"/>
                                <w:spacing w:val="0"/>
                                <w:w w:val="100"/>
                                <w:position w:val="0"/>
                                <w:shd w:val="clear" w:color="auto" w:fill="auto"/>
                                <w:lang w:val="pt-PT" w:eastAsia="pt-PT" w:bidi="pt-PT"/>
                              </w:rPr>
                              <w:t xml:space="preserve"> rfo</w:t>
                            </w:r>
                          </w:p>
                        </w:txbxContent>
                      </wps:txbx>
                      <wps:bodyPr wrap="none" lIns="0" tIns="0" rIns="0" bIns="0">
                        <a:noAutoFit/>
                      </wps:bodyPr>
                    </wps:wsp>
                  </a:graphicData>
                </a:graphic>
              </wp:anchor>
            </w:drawing>
          </mc:Choice>
          <mc:Fallback>
            <w:pict>
              <v:shape id="_x0000_s1093" type="#_x0000_t202" style="position:absolute;margin-left:36.100000000000001pt;margin-top:146.15000000000001pt;width:177.5pt;height:14.4pt;z-index:-125829335;mso-wrap-distance-left:9.pt;mso-wrap-distance-top:55.799999999999997pt;mso-wrap-distance-right:311.39999999999998pt;mso-wrap-distance-bottom:84.599999999999994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 xml:space="preserve">riscos, </w:t>
                      </w:r>
                      <w:r>
                        <w:rPr>
                          <w:color w:val="8A9AB2"/>
                          <w:spacing w:val="0"/>
                          <w:w w:val="100"/>
                          <w:position w:val="0"/>
                          <w:shd w:val="clear" w:color="auto" w:fill="auto"/>
                          <w:lang w:val="pt-BR" w:eastAsia="pt-BR" w:bidi="pt-BR"/>
                        </w:rPr>
                        <w:t xml:space="preserve">couvfomte </w:t>
                      </w:r>
                      <w:r>
                        <w:rPr>
                          <w:color w:val="8A9AB2"/>
                          <w:spacing w:val="0"/>
                          <w:w w:val="100"/>
                          <w:position w:val="0"/>
                          <w:shd w:val="clear" w:color="auto" w:fill="auto"/>
                          <w:lang w:val="pt-PT" w:eastAsia="pt-PT" w:bidi="pt-PT"/>
                        </w:rPr>
                        <w:t>art. 136</w:t>
                      </w:r>
                      <w:r>
                        <w:rPr>
                          <w:color w:val="8A9AB2"/>
                          <w:spacing w:val="0"/>
                          <w:w w:val="100"/>
                          <w:position w:val="0"/>
                          <w:shd w:val="clear" w:color="auto" w:fill="auto"/>
                          <w:vertAlign w:val="superscript"/>
                          <w:lang w:val="pt-PT" w:eastAsia="pt-PT" w:bidi="pt-PT"/>
                        </w:rPr>
                        <w:t>£</w:t>
                      </w:r>
                      <w:r>
                        <w:rPr>
                          <w:color w:val="8A9AB2"/>
                          <w:spacing w:val="0"/>
                          <w:w w:val="100"/>
                          <w:position w:val="0"/>
                          <w:shd w:val="clear" w:color="auto" w:fill="auto"/>
                          <w:lang w:val="pt-PT" w:eastAsia="pt-PT" w:bidi="pt-PT"/>
                        </w:rPr>
                        <w:t xml:space="preserve"> rfo</w:t>
                      </w:r>
                    </w:p>
                  </w:txbxContent>
                </v:textbox>
                <w10:wrap type="topAndBottom" anchorx="page" anchory="margin"/>
              </v:shape>
            </w:pict>
          </mc:Fallback>
        </mc:AlternateContent>
      </w:r>
      <w:r>
        <mc:AlternateContent>
          <mc:Choice Requires="wps">
            <w:drawing>
              <wp:anchor distT="311150" distB="1151890" distL="2546350" distR="119380" simplePos="0" relativeHeight="125829420" behindDoc="0" locked="0" layoutInCell="1" allowOverlap="1">
                <wp:simplePos x="0" y="0"/>
                <wp:positionH relativeFrom="page">
                  <wp:posOffset>2890520</wp:posOffset>
                </wp:positionH>
                <wp:positionV relativeFrom="margin">
                  <wp:posOffset>1458595</wp:posOffset>
                </wp:positionV>
                <wp:extent cx="3657600" cy="502920"/>
                <wp:wrapTopAndBottom/>
                <wp:docPr id="69" name="Shape 69"/>
                <a:graphic xmlns:a="http://schemas.openxmlformats.org/drawingml/2006/main">
                  <a:graphicData uri="http://schemas.microsoft.com/office/word/2010/wordprocessingShape">
                    <wps:wsp>
                      <wps:cNvSpPr txBox="1"/>
                      <wps:spPr>
                        <a:xfrm>
                          <a:ext cx="3657600" cy="502920"/>
                        </a:xfrm>
                        <a:prstGeom prst="rect"/>
                        <a:noFill/>
                      </wps:spPr>
                      <wps:txbx>
                        <w:txbxContent>
                          <w:p>
                            <w:pPr>
                              <w:pStyle w:val="Style13"/>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pt-PT" w:eastAsia="pt-PT" w:bidi="pt-PT"/>
                              </w:rPr>
                              <w:t>GESTÃO PRÓPRIA, ou seja, aquele em que as aplicações são realizadas diretamente pelo órgão ou entidade gestora do Regime Próprio de Previdência Social.</w:t>
                            </w:r>
                          </w:p>
                        </w:txbxContent>
                      </wps:txbx>
                      <wps:bodyPr lIns="0" tIns="0" rIns="0" bIns="0">
                        <a:noAutoFit/>
                      </wps:bodyPr>
                    </wps:wsp>
                  </a:graphicData>
                </a:graphic>
              </wp:anchor>
            </w:drawing>
          </mc:Choice>
          <mc:Fallback>
            <w:pict>
              <v:shape id="_x0000_s1095" type="#_x0000_t202" style="position:absolute;margin-left:227.59999999999999pt;margin-top:114.84999999999999pt;width:288.pt;height:39.600000000000001pt;z-index:-125829333;mso-wrap-distance-left:200.5pt;mso-wrap-distance-top:24.5pt;mso-wrap-distance-right:9.4000000000000004pt;mso-wrap-distance-bottom:90.700000000000003pt;mso-position-horizontal-relative:page;mso-position-vertical-relative:margin" filled="f" stroked="f">
                <v:textbox inset="0,0,0,0">
                  <w:txbxContent>
                    <w:p>
                      <w:pPr>
                        <w:pStyle w:val="Style13"/>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pt-PT" w:eastAsia="pt-PT" w:bidi="pt-PT"/>
                        </w:rPr>
                        <w:t>GESTÃO PRÓPRIA, ou seja, aquele em que as aplicações são realizadas diretamente pelo órgão ou entidade gestora do Regime Próprio de Previdência Social.</w:t>
                      </w:r>
                    </w:p>
                  </w:txbxContent>
                </v:textbox>
                <w10:wrap type="topAndBottom" anchorx="page" anchory="margin"/>
              </v:shape>
            </w:pict>
          </mc:Fallback>
        </mc:AlternateContent>
      </w:r>
      <w:r>
        <mc:AlternateContent>
          <mc:Choice Requires="wps">
            <w:drawing>
              <wp:anchor distT="895985" distB="891540" distL="114300" distR="4211320" simplePos="0" relativeHeight="125829422" behindDoc="0" locked="0" layoutInCell="1" allowOverlap="1">
                <wp:simplePos x="0" y="0"/>
                <wp:positionH relativeFrom="page">
                  <wp:posOffset>458470</wp:posOffset>
                </wp:positionH>
                <wp:positionV relativeFrom="margin">
                  <wp:posOffset>2043430</wp:posOffset>
                </wp:positionV>
                <wp:extent cx="1997710" cy="178435"/>
                <wp:wrapTopAndBottom/>
                <wp:docPr id="71" name="Shape 71"/>
                <a:graphic xmlns:a="http://schemas.openxmlformats.org/drawingml/2006/main">
                  <a:graphicData uri="http://schemas.microsoft.com/office/word/2010/wordprocessingShape">
                    <wps:wsp>
                      <wps:cNvSpPr txBox="1"/>
                      <wps:spPr>
                        <a:xfrm>
                          <a:ext cx="1997710" cy="1784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Portaria MTP 1.467/2622...</w:t>
                            </w:r>
                          </w:p>
                        </w:txbxContent>
                      </wps:txbx>
                      <wps:bodyPr wrap="none" lIns="0" tIns="0" rIns="0" bIns="0">
                        <a:noAutoFit/>
                      </wps:bodyPr>
                    </wps:wsp>
                  </a:graphicData>
                </a:graphic>
              </wp:anchor>
            </w:drawing>
          </mc:Choice>
          <mc:Fallback>
            <w:pict>
              <v:shape id="_x0000_s1097" type="#_x0000_t202" style="position:absolute;margin-left:36.100000000000001pt;margin-top:160.90000000000001pt;width:157.30000000000001pt;height:14.050000000000001pt;z-index:-125829331;mso-wrap-distance-left:9.pt;mso-wrap-distance-top:70.549999999999997pt;mso-wrap-distance-right:331.60000000000002pt;mso-wrap-distance-bottom:70.200000000000003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Portaria MTP 1.467/2622...</w:t>
                      </w:r>
                    </w:p>
                  </w:txbxContent>
                </v:textbox>
                <w10:wrap type="topAndBottom" anchorx="page" anchory="margin"/>
              </v:shape>
            </w:pict>
          </mc:Fallback>
        </mc:AlternateContent>
      </w:r>
      <w:r>
        <mc:AlternateContent>
          <mc:Choice Requires="wps">
            <w:drawing>
              <wp:anchor distT="1787525" distB="0" distL="699770" distR="2446020" simplePos="0" relativeHeight="125829424" behindDoc="0" locked="0" layoutInCell="1" allowOverlap="1">
                <wp:simplePos x="0" y="0"/>
                <wp:positionH relativeFrom="page">
                  <wp:posOffset>1043940</wp:posOffset>
                </wp:positionH>
                <wp:positionV relativeFrom="margin">
                  <wp:posOffset>2934970</wp:posOffset>
                </wp:positionV>
                <wp:extent cx="3177540" cy="178435"/>
                <wp:wrapTopAndBottom/>
                <wp:docPr id="73" name="Shape 73"/>
                <a:graphic xmlns:a="http://schemas.openxmlformats.org/drawingml/2006/main">
                  <a:graphicData uri="http://schemas.microsoft.com/office/word/2010/wordprocessingShape">
                    <wps:wsp>
                      <wps:cNvSpPr txBox="1"/>
                      <wps:spPr>
                        <a:xfrm>
                          <a:ext cx="3177540" cy="17843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a transparência, a liquidez e a rentabilidade.</w:t>
                            </w:r>
                          </w:p>
                        </w:txbxContent>
                      </wps:txbx>
                      <wps:bodyPr wrap="none" lIns="0" tIns="0" rIns="0" bIns="0">
                        <a:noAutoFit/>
                      </wps:bodyPr>
                    </wps:wsp>
                  </a:graphicData>
                </a:graphic>
              </wp:anchor>
            </w:drawing>
          </mc:Choice>
          <mc:Fallback>
            <w:pict>
              <v:shape id="_x0000_s1099" type="#_x0000_t202" style="position:absolute;margin-left:82.200000000000003pt;margin-top:231.09999999999999pt;width:250.19999999999999pt;height:14.050000000000001pt;z-index:-125829329;mso-wrap-distance-left:55.100000000000001pt;mso-wrap-distance-top:140.75pt;mso-wrap-distance-right:192.59999999999999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a transparência, a liquidez e a rentabilidade.</w:t>
                      </w:r>
                    </w:p>
                  </w:txbxContent>
                </v:textbox>
                <w10:wrap type="topAndBottom" anchorx="page" anchory="margin"/>
              </v:shape>
            </w:pict>
          </mc:Fallback>
        </mc:AlternateContent>
      </w:r>
      <w:r>
        <mc:AlternateContent>
          <mc:Choice Requires="wps">
            <w:drawing>
              <wp:anchor distT="859790" distB="150495" distL="2327275" distR="114300" simplePos="0" relativeHeight="125829426" behindDoc="0" locked="0" layoutInCell="1" allowOverlap="1">
                <wp:simplePos x="0" y="0"/>
                <wp:positionH relativeFrom="page">
                  <wp:posOffset>2671445</wp:posOffset>
                </wp:positionH>
                <wp:positionV relativeFrom="margin">
                  <wp:posOffset>2007235</wp:posOffset>
                </wp:positionV>
                <wp:extent cx="3881755" cy="955675"/>
                <wp:wrapTopAndBottom/>
                <wp:docPr id="75" name="Shape 75"/>
                <a:graphic xmlns:a="http://schemas.openxmlformats.org/drawingml/2006/main">
                  <a:graphicData uri="http://schemas.microsoft.com/office/word/2010/wordprocessingShape">
                    <wps:wsp>
                      <wps:cNvSpPr txBox="1"/>
                      <wps:spPr>
                        <a:xfrm>
                          <a:ext cx="3881755" cy="955675"/>
                        </a:xfrm>
                        <a:prstGeom prst="rect"/>
                        <a:noFill/>
                      </wps:spPr>
                      <wps:txbx>
                        <w:txbxContent>
                          <w:p>
                            <w:pPr>
                              <w:pStyle w:val="Style13"/>
                              <w:keepNext w:val="0"/>
                              <w:keepLines w:val="0"/>
                              <w:widowControl w:val="0"/>
                              <w:shd w:val="clear" w:color="auto" w:fill="auto"/>
                              <w:bidi w:val="0"/>
                              <w:spacing w:before="0" w:after="0" w:line="266" w:lineRule="auto"/>
                              <w:ind w:left="0" w:right="0" w:firstLine="0"/>
                              <w:jc w:val="right"/>
                              <w:rPr>
                                <w:sz w:val="18"/>
                                <w:szCs w:val="18"/>
                              </w:rPr>
                            </w:pPr>
                            <w:r>
                              <w:rPr>
                                <w:color w:val="000000"/>
                                <w:spacing w:val="0"/>
                                <w:w w:val="100"/>
                                <w:position w:val="0"/>
                                <w:sz w:val="19"/>
                                <w:szCs w:val="19"/>
                                <w:shd w:val="clear" w:color="auto" w:fill="auto"/>
                                <w:lang w:val="pt-PT" w:eastAsia="pt-PT" w:bidi="pt-PT"/>
                              </w:rPr>
                              <w:t xml:space="preserve">No processo de gestão, </w:t>
                            </w:r>
                            <w:r>
                              <w:rPr>
                                <w:color w:val="000000"/>
                                <w:spacing w:val="0"/>
                                <w:w w:val="100"/>
                                <w:position w:val="0"/>
                                <w:sz w:val="19"/>
                                <w:szCs w:val="19"/>
                                <w:shd w:val="clear" w:color="auto" w:fill="auto"/>
                                <w:lang w:val="pt-BR" w:eastAsia="pt-BR" w:bidi="pt-BR"/>
                              </w:rPr>
                              <w:t xml:space="preserve">destacam-se </w:t>
                            </w:r>
                            <w:r>
                              <w:rPr>
                                <w:color w:val="000000"/>
                                <w:spacing w:val="0"/>
                                <w:w w:val="100"/>
                                <w:position w:val="0"/>
                                <w:sz w:val="19"/>
                                <w:szCs w:val="19"/>
                                <w:shd w:val="clear" w:color="auto" w:fill="auto"/>
                                <w:lang w:val="pt-PT" w:eastAsia="pt-PT" w:bidi="pt-PT"/>
                              </w:rPr>
                              <w:t xml:space="preserve">alguns cuidados importantes. Na aplicação dos recursos o </w:t>
                            </w:r>
                            <w:r>
                              <w:rPr>
                                <w:b/>
                                <w:bCs/>
                                <w:color w:val="000000"/>
                                <w:spacing w:val="0"/>
                                <w:w w:val="100"/>
                                <w:position w:val="0"/>
                                <w:sz w:val="18"/>
                                <w:szCs w:val="18"/>
                                <w:shd w:val="clear" w:color="auto" w:fill="auto"/>
                                <w:lang w:val="pt-PT" w:eastAsia="pt-PT" w:bidi="pt-PT"/>
                              </w:rPr>
                              <w:t>MUNICÍPIO DE</w:t>
                            </w:r>
                          </w:p>
                          <w:p>
                            <w:pPr>
                              <w:pStyle w:val="Style13"/>
                              <w:keepNext w:val="0"/>
                              <w:keepLines w:val="0"/>
                              <w:widowControl w:val="0"/>
                              <w:shd w:val="clear" w:color="auto" w:fill="auto"/>
                              <w:bidi w:val="0"/>
                              <w:spacing w:before="0" w:after="0"/>
                              <w:ind w:left="0" w:right="0" w:firstLine="140"/>
                              <w:jc w:val="both"/>
                            </w:pPr>
                            <w:r>
                              <w:rPr>
                                <w:b/>
                                <w:bCs/>
                                <w:color w:val="4E6896"/>
                                <w:spacing w:val="0"/>
                                <w:w w:val="100"/>
                                <w:position w:val="0"/>
                                <w:sz w:val="18"/>
                                <w:szCs w:val="18"/>
                                <w:shd w:val="clear" w:color="auto" w:fill="auto"/>
                                <w:lang w:val="pt-PT" w:eastAsia="pt-PT" w:bidi="pt-PT"/>
                              </w:rPr>
                              <w:t xml:space="preserve">4 </w:t>
                            </w:r>
                            <w:r>
                              <w:rPr>
                                <w:b/>
                                <w:bCs/>
                                <w:color w:val="000000"/>
                                <w:spacing w:val="0"/>
                                <w:w w:val="100"/>
                                <w:position w:val="0"/>
                                <w:sz w:val="18"/>
                                <w:szCs w:val="18"/>
                                <w:shd w:val="clear" w:color="auto" w:fill="auto"/>
                                <w:lang w:val="pt-PT" w:eastAsia="pt-PT" w:bidi="pt-PT"/>
                              </w:rPr>
                              <w:t xml:space="preserve">ENVIRA </w:t>
                            </w:r>
                            <w:r>
                              <w:rPr>
                                <w:color w:val="000000"/>
                                <w:spacing w:val="0"/>
                                <w:w w:val="100"/>
                                <w:position w:val="0"/>
                                <w:shd w:val="clear" w:color="auto" w:fill="auto"/>
                                <w:lang w:val="pt-PT" w:eastAsia="pt-PT" w:bidi="pt-PT"/>
                              </w:rPr>
                              <w:t xml:space="preserve">somente fará </w:t>
                            </w:r>
                            <w:r>
                              <w:rPr>
                                <w:color w:val="4E6896"/>
                                <w:spacing w:val="0"/>
                                <w:w w:val="100"/>
                                <w:position w:val="0"/>
                                <w:shd w:val="clear" w:color="auto" w:fill="auto"/>
                                <w:lang w:val="pt-PT" w:eastAsia="pt-PT" w:bidi="pt-PT"/>
                              </w:rPr>
                              <w:t xml:space="preserve">aplicações </w:t>
                            </w:r>
                            <w:r>
                              <w:rPr>
                                <w:color w:val="000000"/>
                                <w:spacing w:val="0"/>
                                <w:w w:val="100"/>
                                <w:position w:val="0"/>
                                <w:shd w:val="clear" w:color="auto" w:fill="auto"/>
                                <w:lang w:val="pt-PT" w:eastAsia="pt-PT" w:bidi="pt-PT"/>
                              </w:rPr>
                              <w:t>em instituições que demonstrem ter segurança e atendam à lista exaustiva do Ministério da Previdência Social (MPS) e em produtos que busquem a rentabilidade necessária, visando, em primeiro lugar, a proteção do</w:t>
                            </w:r>
                          </w:p>
                        </w:txbxContent>
                      </wps:txbx>
                      <wps:bodyPr lIns="0" tIns="0" rIns="0" bIns="0">
                        <a:noAutoFit/>
                      </wps:bodyPr>
                    </wps:wsp>
                  </a:graphicData>
                </a:graphic>
              </wp:anchor>
            </w:drawing>
          </mc:Choice>
          <mc:Fallback>
            <w:pict>
              <v:shape id="_x0000_s1101" type="#_x0000_t202" style="position:absolute;margin-left:210.34999999999999pt;margin-top:158.05000000000001pt;width:305.64999999999998pt;height:75.25pt;z-index:-125829327;mso-wrap-distance-left:183.25pt;mso-wrap-distance-top:67.700000000000003pt;mso-wrap-distance-right:9.pt;mso-wrap-distance-bottom:11.85pt;mso-position-horizontal-relative:page;mso-position-vertical-relative:margin" filled="f" stroked="f">
                <v:textbox inset="0,0,0,0">
                  <w:txbxContent>
                    <w:p>
                      <w:pPr>
                        <w:pStyle w:val="Style13"/>
                        <w:keepNext w:val="0"/>
                        <w:keepLines w:val="0"/>
                        <w:widowControl w:val="0"/>
                        <w:shd w:val="clear" w:color="auto" w:fill="auto"/>
                        <w:bidi w:val="0"/>
                        <w:spacing w:before="0" w:after="0" w:line="266" w:lineRule="auto"/>
                        <w:ind w:left="0" w:right="0" w:firstLine="0"/>
                        <w:jc w:val="right"/>
                        <w:rPr>
                          <w:sz w:val="18"/>
                          <w:szCs w:val="18"/>
                        </w:rPr>
                      </w:pPr>
                      <w:r>
                        <w:rPr>
                          <w:color w:val="000000"/>
                          <w:spacing w:val="0"/>
                          <w:w w:val="100"/>
                          <w:position w:val="0"/>
                          <w:sz w:val="19"/>
                          <w:szCs w:val="19"/>
                          <w:shd w:val="clear" w:color="auto" w:fill="auto"/>
                          <w:lang w:val="pt-PT" w:eastAsia="pt-PT" w:bidi="pt-PT"/>
                        </w:rPr>
                        <w:t xml:space="preserve">No processo de gestão, </w:t>
                      </w:r>
                      <w:r>
                        <w:rPr>
                          <w:color w:val="000000"/>
                          <w:spacing w:val="0"/>
                          <w:w w:val="100"/>
                          <w:position w:val="0"/>
                          <w:sz w:val="19"/>
                          <w:szCs w:val="19"/>
                          <w:shd w:val="clear" w:color="auto" w:fill="auto"/>
                          <w:lang w:val="pt-BR" w:eastAsia="pt-BR" w:bidi="pt-BR"/>
                        </w:rPr>
                        <w:t xml:space="preserve">destacam-se </w:t>
                      </w:r>
                      <w:r>
                        <w:rPr>
                          <w:color w:val="000000"/>
                          <w:spacing w:val="0"/>
                          <w:w w:val="100"/>
                          <w:position w:val="0"/>
                          <w:sz w:val="19"/>
                          <w:szCs w:val="19"/>
                          <w:shd w:val="clear" w:color="auto" w:fill="auto"/>
                          <w:lang w:val="pt-PT" w:eastAsia="pt-PT" w:bidi="pt-PT"/>
                        </w:rPr>
                        <w:t xml:space="preserve">alguns cuidados importantes. Na aplicação dos recursos o </w:t>
                      </w:r>
                      <w:r>
                        <w:rPr>
                          <w:b/>
                          <w:bCs/>
                          <w:color w:val="000000"/>
                          <w:spacing w:val="0"/>
                          <w:w w:val="100"/>
                          <w:position w:val="0"/>
                          <w:sz w:val="18"/>
                          <w:szCs w:val="18"/>
                          <w:shd w:val="clear" w:color="auto" w:fill="auto"/>
                          <w:lang w:val="pt-PT" w:eastAsia="pt-PT" w:bidi="pt-PT"/>
                        </w:rPr>
                        <w:t>MUNICÍPIO DE</w:t>
                      </w:r>
                    </w:p>
                    <w:p>
                      <w:pPr>
                        <w:pStyle w:val="Style13"/>
                        <w:keepNext w:val="0"/>
                        <w:keepLines w:val="0"/>
                        <w:widowControl w:val="0"/>
                        <w:shd w:val="clear" w:color="auto" w:fill="auto"/>
                        <w:bidi w:val="0"/>
                        <w:spacing w:before="0" w:after="0"/>
                        <w:ind w:left="0" w:right="0" w:firstLine="140"/>
                        <w:jc w:val="both"/>
                      </w:pPr>
                      <w:r>
                        <w:rPr>
                          <w:b/>
                          <w:bCs/>
                          <w:color w:val="4E6896"/>
                          <w:spacing w:val="0"/>
                          <w:w w:val="100"/>
                          <w:position w:val="0"/>
                          <w:sz w:val="18"/>
                          <w:szCs w:val="18"/>
                          <w:shd w:val="clear" w:color="auto" w:fill="auto"/>
                          <w:lang w:val="pt-PT" w:eastAsia="pt-PT" w:bidi="pt-PT"/>
                        </w:rPr>
                        <w:t xml:space="preserve">4 </w:t>
                      </w:r>
                      <w:r>
                        <w:rPr>
                          <w:b/>
                          <w:bCs/>
                          <w:color w:val="000000"/>
                          <w:spacing w:val="0"/>
                          <w:w w:val="100"/>
                          <w:position w:val="0"/>
                          <w:sz w:val="18"/>
                          <w:szCs w:val="18"/>
                          <w:shd w:val="clear" w:color="auto" w:fill="auto"/>
                          <w:lang w:val="pt-PT" w:eastAsia="pt-PT" w:bidi="pt-PT"/>
                        </w:rPr>
                        <w:t xml:space="preserve">ENVIRA </w:t>
                      </w:r>
                      <w:r>
                        <w:rPr>
                          <w:color w:val="000000"/>
                          <w:spacing w:val="0"/>
                          <w:w w:val="100"/>
                          <w:position w:val="0"/>
                          <w:shd w:val="clear" w:color="auto" w:fill="auto"/>
                          <w:lang w:val="pt-PT" w:eastAsia="pt-PT" w:bidi="pt-PT"/>
                        </w:rPr>
                        <w:t xml:space="preserve">somente fará </w:t>
                      </w:r>
                      <w:r>
                        <w:rPr>
                          <w:color w:val="4E6896"/>
                          <w:spacing w:val="0"/>
                          <w:w w:val="100"/>
                          <w:position w:val="0"/>
                          <w:shd w:val="clear" w:color="auto" w:fill="auto"/>
                          <w:lang w:val="pt-PT" w:eastAsia="pt-PT" w:bidi="pt-PT"/>
                        </w:rPr>
                        <w:t xml:space="preserve">aplicações </w:t>
                      </w:r>
                      <w:r>
                        <w:rPr>
                          <w:color w:val="000000"/>
                          <w:spacing w:val="0"/>
                          <w:w w:val="100"/>
                          <w:position w:val="0"/>
                          <w:shd w:val="clear" w:color="auto" w:fill="auto"/>
                          <w:lang w:val="pt-PT" w:eastAsia="pt-PT" w:bidi="pt-PT"/>
                        </w:rPr>
                        <w:t>em instituições que demonstrem ter segurança e atendam à lista exaustiva do Ministério da Previdência Social (MPS) e em produtos que busquem a rentabilidade necessária, visando, em primeiro lugar, a proteção do</w:t>
                      </w:r>
                    </w:p>
                  </w:txbxContent>
                </v:textbox>
                <w10:wrap type="topAndBottom" anchorx="page" anchory="margin"/>
              </v:shape>
            </w:pict>
          </mc:Fallback>
        </mc:AlternateContent>
      </w:r>
      <w:r>
        <w:rPr>
          <w:color w:val="000000"/>
          <w:spacing w:val="0"/>
          <w:w w:val="100"/>
          <w:position w:val="0"/>
          <w:shd w:val="clear" w:color="auto" w:fill="auto"/>
          <w:lang w:val="pt-PT" w:eastAsia="pt-PT" w:bidi="pt-PT"/>
        </w:rPr>
        <w:t xml:space="preserve">O modelo de gestão dos recursos do regime próprio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hd w:val="clear" w:color="auto" w:fill="auto"/>
          <w:lang w:val="pt-PT" w:eastAsia="pt-PT" w:bidi="pt-PT"/>
        </w:rPr>
        <w:t>é uma opção estratégica dos seus gestores.</w:t>
      </w:r>
    </w:p>
    <w:p>
      <w:pPr>
        <w:pStyle w:val="Style13"/>
        <w:keepNext w:val="0"/>
        <w:keepLines w:val="0"/>
        <w:widowControl w:val="0"/>
        <w:shd w:val="clear" w:color="auto" w:fill="auto"/>
        <w:bidi w:val="0"/>
        <w:spacing w:before="0"/>
        <w:ind w:left="0" w:right="0" w:firstLine="740"/>
        <w:jc w:val="both"/>
      </w:pPr>
      <w:r>
        <mc:AlternateContent>
          <mc:Choice Requires="wps">
            <w:drawing>
              <wp:anchor distT="165100" distB="165100" distL="165100" distR="165100" simplePos="0" relativeHeight="125829428" behindDoc="0" locked="0" layoutInCell="1" allowOverlap="1">
                <wp:simplePos x="0" y="0"/>
                <wp:positionH relativeFrom="page">
                  <wp:posOffset>4171315</wp:posOffset>
                </wp:positionH>
                <wp:positionV relativeFrom="paragraph">
                  <wp:posOffset>165100</wp:posOffset>
                </wp:positionV>
                <wp:extent cx="2299970" cy="987425"/>
                <wp:wrapSquare wrapText="left"/>
                <wp:docPr id="77" name="Shape 77"/>
                <a:graphic xmlns:a="http://schemas.openxmlformats.org/drawingml/2006/main">
                  <a:graphicData uri="http://schemas.microsoft.com/office/word/2010/wordprocessingShape">
                    <wps:wsp>
                      <wps:cNvSpPr txBox="1"/>
                      <wps:spPr>
                        <a:xfrm>
                          <a:ext cx="2299970" cy="987425"/>
                        </a:xfrm>
                        <a:prstGeom prst="rect"/>
                        <a:noFill/>
                      </wps:spPr>
                      <wps:txbx>
                        <w:txbxContent>
                          <w:p>
                            <w:pPr>
                              <w:pStyle w:val="Style13"/>
                              <w:keepNext w:val="0"/>
                              <w:keepLines w:val="0"/>
                              <w:widowControl w:val="0"/>
                              <w:shd w:val="clear" w:color="auto" w:fill="auto"/>
                              <w:bidi w:val="0"/>
                              <w:spacing w:before="0" w:after="0" w:line="329" w:lineRule="auto"/>
                              <w:ind w:left="0" w:right="0" w:firstLine="0"/>
                              <w:jc w:val="both"/>
                            </w:pPr>
                            <w:r>
                              <w:rPr>
                                <w:color w:val="4E6896"/>
                                <w:spacing w:val="0"/>
                                <w:w w:val="100"/>
                                <w:position w:val="0"/>
                                <w:shd w:val="clear" w:color="auto" w:fill="auto"/>
                                <w:lang w:val="pt-PT" w:eastAsia="pt-PT" w:bidi="pt-PT"/>
                              </w:rPr>
                              <w:t>ELABORAR</w:t>
                            </w:r>
                          </w:p>
                          <w:p>
                            <w:pPr>
                              <w:pStyle w:val="Style13"/>
                              <w:keepNext w:val="0"/>
                              <w:keepLines w:val="0"/>
                              <w:widowControl w:val="0"/>
                              <w:shd w:val="clear" w:color="auto" w:fill="auto"/>
                              <w:bidi w:val="0"/>
                              <w:spacing w:before="0" w:after="0" w:line="329" w:lineRule="auto"/>
                              <w:ind w:left="0" w:right="0" w:firstLine="0"/>
                              <w:jc w:val="both"/>
                            </w:pPr>
                            <w:r>
                              <w:rPr>
                                <w:color w:val="8A9AB2"/>
                                <w:spacing w:val="0"/>
                                <w:w w:val="100"/>
                                <w:position w:val="0"/>
                                <w:shd w:val="clear" w:color="auto" w:fill="auto"/>
                                <w:lang w:val="pt-PT" w:eastAsia="pt-PT" w:bidi="pt-PT"/>
                              </w:rPr>
                              <w:t xml:space="preserve">Relatórios semestrais </w:t>
                            </w:r>
                            <w:r>
                              <w:rPr>
                                <w:i/>
                                <w:iCs/>
                                <w:color w:val="8A9AB2"/>
                                <w:spacing w:val="0"/>
                                <w:w w:val="100"/>
                                <w:position w:val="0"/>
                                <w:sz w:val="16"/>
                                <w:szCs w:val="16"/>
                                <w:shd w:val="clear" w:color="auto" w:fill="auto"/>
                                <w:lang w:val="pt-PT" w:eastAsia="pt-PT" w:bidi="pt-PT"/>
                              </w:rPr>
                              <w:t xml:space="preserve">dt wv&amp;voU de </w:t>
                            </w:r>
                            <w:r>
                              <w:rPr>
                                <w:color w:val="8A9AB2"/>
                                <w:spacing w:val="0"/>
                                <w:w w:val="100"/>
                                <w:position w:val="0"/>
                                <w:shd w:val="clear" w:color="auto" w:fill="auto"/>
                                <w:lang w:val="pt-PT" w:eastAsia="pt-PT" w:bidi="pt-PT"/>
                              </w:rPr>
                              <w:t xml:space="preserve">gestão de recursos </w:t>
                            </w:r>
                            <w:r>
                              <w:rPr>
                                <w:color w:val="8A9AB2"/>
                                <w:spacing w:val="0"/>
                                <w:w w:val="100"/>
                                <w:position w:val="0"/>
                                <w:shd w:val="clear" w:color="auto" w:fill="auto"/>
                                <w:lang w:val="pt-BR" w:eastAsia="pt-BR" w:bidi="pt-BR"/>
                              </w:rPr>
                              <w:t xml:space="preserve">versus </w:t>
                            </w:r>
                            <w:r>
                              <w:rPr>
                                <w:color w:val="8A9AB2"/>
                                <w:spacing w:val="0"/>
                                <w:w w:val="100"/>
                                <w:position w:val="0"/>
                                <w:shd w:val="clear" w:color="auto" w:fill="auto"/>
                                <w:lang w:val="pt-PT" w:eastAsia="pt-PT" w:bidi="pt-PT"/>
                              </w:rPr>
                              <w:t>i Pi, corvforme art. 127 da Portaria MTp</w:t>
                            </w:r>
                          </w:p>
                          <w:p>
                            <w:pPr>
                              <w:pStyle w:val="Style13"/>
                              <w:keepNext w:val="0"/>
                              <w:keepLines w:val="0"/>
                              <w:widowControl w:val="0"/>
                              <w:shd w:val="clear" w:color="auto" w:fill="auto"/>
                              <w:tabs>
                                <w:tab w:pos="3138" w:val="left"/>
                              </w:tabs>
                              <w:bidi w:val="0"/>
                              <w:spacing w:before="0" w:after="0" w:line="329" w:lineRule="auto"/>
                              <w:ind w:left="280" w:right="0" w:firstLine="0"/>
                              <w:jc w:val="both"/>
                            </w:pPr>
                            <w:r>
                              <w:rPr>
                                <w:color w:val="8A9AB2"/>
                                <w:spacing w:val="0"/>
                                <w:w w:val="100"/>
                                <w:position w:val="0"/>
                                <w:shd w:val="clear" w:color="auto" w:fill="auto"/>
                                <w:lang w:val="pt-PT" w:eastAsia="pt-PT" w:bidi="pt-PT"/>
                              </w:rPr>
                              <w:t>1.467/2622...</w:t>
                              <w:tab/>
                            </w:r>
                            <w:r>
                              <w:rPr>
                                <w:color w:val="4E6896"/>
                                <w:spacing w:val="0"/>
                                <w:w w:val="100"/>
                                <w:position w:val="0"/>
                                <w:shd w:val="clear" w:color="auto" w:fill="auto"/>
                                <w:lang w:val="pt-PT" w:eastAsia="pt-PT" w:bidi="pt-PT"/>
                              </w:rPr>
                              <w:t>▼</w:t>
                            </w:r>
                          </w:p>
                        </w:txbxContent>
                      </wps:txbx>
                      <wps:bodyPr lIns="0" tIns="0" rIns="0" bIns="0">
                        <a:noAutoFit/>
                      </wps:bodyPr>
                    </wps:wsp>
                  </a:graphicData>
                </a:graphic>
              </wp:anchor>
            </w:drawing>
          </mc:Choice>
          <mc:Fallback>
            <w:pict>
              <v:shape id="_x0000_s1103" type="#_x0000_t202" style="position:absolute;margin-left:328.44999999999999pt;margin-top:13.pt;width:181.09999999999999pt;height:77.75pt;z-index:-125829325;mso-wrap-distance-left:13.pt;mso-wrap-distance-top:13.pt;mso-wrap-distance-right:13.pt;mso-wrap-distance-bottom:13.pt;mso-position-horizontal-relative:page" filled="f" stroked="f">
                <v:textbox inset="0,0,0,0">
                  <w:txbxContent>
                    <w:p>
                      <w:pPr>
                        <w:pStyle w:val="Style13"/>
                        <w:keepNext w:val="0"/>
                        <w:keepLines w:val="0"/>
                        <w:widowControl w:val="0"/>
                        <w:shd w:val="clear" w:color="auto" w:fill="auto"/>
                        <w:bidi w:val="0"/>
                        <w:spacing w:before="0" w:after="0" w:line="329" w:lineRule="auto"/>
                        <w:ind w:left="0" w:right="0" w:firstLine="0"/>
                        <w:jc w:val="both"/>
                      </w:pPr>
                      <w:r>
                        <w:rPr>
                          <w:color w:val="4E6896"/>
                          <w:spacing w:val="0"/>
                          <w:w w:val="100"/>
                          <w:position w:val="0"/>
                          <w:shd w:val="clear" w:color="auto" w:fill="auto"/>
                          <w:lang w:val="pt-PT" w:eastAsia="pt-PT" w:bidi="pt-PT"/>
                        </w:rPr>
                        <w:t>ELABORAR</w:t>
                      </w:r>
                    </w:p>
                    <w:p>
                      <w:pPr>
                        <w:pStyle w:val="Style13"/>
                        <w:keepNext w:val="0"/>
                        <w:keepLines w:val="0"/>
                        <w:widowControl w:val="0"/>
                        <w:shd w:val="clear" w:color="auto" w:fill="auto"/>
                        <w:bidi w:val="0"/>
                        <w:spacing w:before="0" w:after="0" w:line="329" w:lineRule="auto"/>
                        <w:ind w:left="0" w:right="0" w:firstLine="0"/>
                        <w:jc w:val="both"/>
                      </w:pPr>
                      <w:r>
                        <w:rPr>
                          <w:color w:val="8A9AB2"/>
                          <w:spacing w:val="0"/>
                          <w:w w:val="100"/>
                          <w:position w:val="0"/>
                          <w:shd w:val="clear" w:color="auto" w:fill="auto"/>
                          <w:lang w:val="pt-PT" w:eastAsia="pt-PT" w:bidi="pt-PT"/>
                        </w:rPr>
                        <w:t xml:space="preserve">Relatórios semestrais </w:t>
                      </w:r>
                      <w:r>
                        <w:rPr>
                          <w:i/>
                          <w:iCs/>
                          <w:color w:val="8A9AB2"/>
                          <w:spacing w:val="0"/>
                          <w:w w:val="100"/>
                          <w:position w:val="0"/>
                          <w:sz w:val="16"/>
                          <w:szCs w:val="16"/>
                          <w:shd w:val="clear" w:color="auto" w:fill="auto"/>
                          <w:lang w:val="pt-PT" w:eastAsia="pt-PT" w:bidi="pt-PT"/>
                        </w:rPr>
                        <w:t xml:space="preserve">dt wv&amp;voU de </w:t>
                      </w:r>
                      <w:r>
                        <w:rPr>
                          <w:color w:val="8A9AB2"/>
                          <w:spacing w:val="0"/>
                          <w:w w:val="100"/>
                          <w:position w:val="0"/>
                          <w:shd w:val="clear" w:color="auto" w:fill="auto"/>
                          <w:lang w:val="pt-PT" w:eastAsia="pt-PT" w:bidi="pt-PT"/>
                        </w:rPr>
                        <w:t xml:space="preserve">gestão de recursos </w:t>
                      </w:r>
                      <w:r>
                        <w:rPr>
                          <w:color w:val="8A9AB2"/>
                          <w:spacing w:val="0"/>
                          <w:w w:val="100"/>
                          <w:position w:val="0"/>
                          <w:shd w:val="clear" w:color="auto" w:fill="auto"/>
                          <w:lang w:val="pt-BR" w:eastAsia="pt-BR" w:bidi="pt-BR"/>
                        </w:rPr>
                        <w:t xml:space="preserve">versus </w:t>
                      </w:r>
                      <w:r>
                        <w:rPr>
                          <w:color w:val="8A9AB2"/>
                          <w:spacing w:val="0"/>
                          <w:w w:val="100"/>
                          <w:position w:val="0"/>
                          <w:shd w:val="clear" w:color="auto" w:fill="auto"/>
                          <w:lang w:val="pt-PT" w:eastAsia="pt-PT" w:bidi="pt-PT"/>
                        </w:rPr>
                        <w:t>i Pi, corvforme art. 127 da Portaria MTp</w:t>
                      </w:r>
                    </w:p>
                    <w:p>
                      <w:pPr>
                        <w:pStyle w:val="Style13"/>
                        <w:keepNext w:val="0"/>
                        <w:keepLines w:val="0"/>
                        <w:widowControl w:val="0"/>
                        <w:shd w:val="clear" w:color="auto" w:fill="auto"/>
                        <w:tabs>
                          <w:tab w:pos="3138" w:val="left"/>
                        </w:tabs>
                        <w:bidi w:val="0"/>
                        <w:spacing w:before="0" w:after="0" w:line="329" w:lineRule="auto"/>
                        <w:ind w:left="280" w:right="0" w:firstLine="0"/>
                        <w:jc w:val="both"/>
                      </w:pPr>
                      <w:r>
                        <w:rPr>
                          <w:color w:val="8A9AB2"/>
                          <w:spacing w:val="0"/>
                          <w:w w:val="100"/>
                          <w:position w:val="0"/>
                          <w:shd w:val="clear" w:color="auto" w:fill="auto"/>
                          <w:lang w:val="pt-PT" w:eastAsia="pt-PT" w:bidi="pt-PT"/>
                        </w:rPr>
                        <w:t>1.467/2622...</w:t>
                        <w:tab/>
                      </w:r>
                      <w:r>
                        <w:rPr>
                          <w:color w:val="4E6896"/>
                          <w:spacing w:val="0"/>
                          <w:w w:val="100"/>
                          <w:position w:val="0"/>
                          <w:shd w:val="clear" w:color="auto" w:fill="auto"/>
                          <w:lang w:val="pt-PT" w:eastAsia="pt-PT" w:bidi="pt-PT"/>
                        </w:rPr>
                        <w:t>▼</w:t>
                      </w:r>
                    </w:p>
                  </w:txbxContent>
                </v:textbox>
                <w10:wrap type="square" side="left" anchorx="page"/>
              </v:shape>
            </w:pict>
          </mc:Fallback>
        </mc:AlternateContent>
      </w: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 xml:space="preserve">deverá observar as obrigatoriedades da Portaria MTP N° 1.467/2022 na gestão dos recursos, destacando a OBRIGAÇÃO de realizar AVALIAÇÃO DO DESEMPENHO DAS APLICAÇÕES. Devendo também, ser observados os prazos estipulados pela norma, que dispõe sobre DAIR, DPIN,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DRAA e DIPR.</w:t>
      </w:r>
    </w:p>
    <w:p>
      <w:pPr>
        <w:pStyle w:val="Style13"/>
        <w:keepNext w:val="0"/>
        <w:keepLines w:val="0"/>
        <w:widowControl w:val="0"/>
        <w:shd w:val="clear" w:color="auto" w:fill="auto"/>
        <w:bidi w:val="0"/>
        <w:spacing w:before="0" w:after="18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Dos Serviços Especializados</w:t>
      </w:r>
    </w:p>
    <w:p>
      <w:pPr>
        <w:pStyle w:val="Style13"/>
        <w:keepNext w:val="0"/>
        <w:keepLines w:val="0"/>
        <w:widowControl w:val="0"/>
        <w:shd w:val="clear" w:color="auto" w:fill="auto"/>
        <w:bidi w:val="0"/>
        <w:spacing w:before="0" w:line="264" w:lineRule="auto"/>
        <w:ind w:left="0" w:right="0" w:firstLine="740"/>
        <w:jc w:val="both"/>
      </w:pPr>
      <w:r>
        <w:rPr>
          <w:color w:val="000000"/>
          <w:spacing w:val="0"/>
          <w:w w:val="100"/>
          <w:position w:val="0"/>
          <w:shd w:val="clear" w:color="auto" w:fill="auto"/>
          <w:lang w:val="pt-PT" w:eastAsia="pt-PT" w:bidi="pt-PT"/>
        </w:rPr>
        <w:t xml:space="preserve">A contratação dos serviços de consultoria de valores mobiliários deverá levar em consideração critérios pré-definidos. </w:t>
      </w:r>
      <w:r>
        <w:rPr>
          <w:color w:val="000000"/>
          <w:spacing w:val="0"/>
          <w:w w:val="100"/>
          <w:position w:val="0"/>
          <w:shd w:val="clear" w:color="auto" w:fill="auto"/>
          <w:lang w:val="pt-BR" w:eastAsia="pt-BR" w:bidi="pt-BR"/>
        </w:rPr>
        <w:t xml:space="preserve">Destacam-se </w:t>
      </w:r>
      <w:r>
        <w:rPr>
          <w:color w:val="000000"/>
          <w:spacing w:val="0"/>
          <w:w w:val="100"/>
          <w:position w:val="0"/>
          <w:shd w:val="clear" w:color="auto" w:fill="auto"/>
          <w:lang w:val="pt-PT" w:eastAsia="pt-PT" w:bidi="pt-PT"/>
        </w:rPr>
        <w:t xml:space="preserve">aspectos como: experiência, especialização e idoneidade da empresa, bem como, o custo e a qualidade da prestação de serviços. Além disso, de acordo com a Resolução CMN n° 5.272/2025, estar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habilitada na Comissão de Valores Mobiliários (CVM) como Consultora de Valores Mobiliários.</w:t>
      </w:r>
    </w:p>
    <w:p>
      <w:pPr>
        <w:pStyle w:val="Style13"/>
        <w:keepNext w:val="0"/>
        <w:keepLines w:val="0"/>
        <w:widowControl w:val="0"/>
        <w:shd w:val="clear" w:color="auto" w:fill="auto"/>
        <w:bidi w:val="0"/>
        <w:spacing w:before="0" w:after="140" w:line="269" w:lineRule="auto"/>
        <w:ind w:left="0" w:right="0" w:firstLine="740"/>
        <w:jc w:val="both"/>
      </w:pPr>
      <w:r>
        <w:rPr>
          <w:color w:val="000000"/>
          <w:spacing w:val="0"/>
          <w:w w:val="100"/>
          <w:position w:val="0"/>
          <w:shd w:val="clear" w:color="auto" w:fill="auto"/>
          <w:lang w:val="pt-PT" w:eastAsia="pt-PT" w:bidi="pt-PT"/>
        </w:rPr>
        <w:t xml:space="preserve">É de fundamental importância que a empresa habilitada na CVM como Consultora de Valores Mobiliários não seja, ao mesmo tempo, cadastrada na CVM como Prestadora de Serviços de Administração de Carteiras e não possua ligação com empresa de Agente </w:t>
      </w:r>
      <w:r>
        <w:rPr>
          <w:color w:val="000000"/>
          <w:spacing w:val="0"/>
          <w:w w:val="100"/>
          <w:position w:val="0"/>
          <w:shd w:val="clear" w:color="auto" w:fill="auto"/>
          <w:lang w:val="pt-BR" w:eastAsia="pt-BR" w:bidi="pt-BR"/>
        </w:rPr>
        <w:t xml:space="preserve">Autônomo </w:t>
      </w:r>
      <w:r>
        <w:rPr>
          <w:color w:val="000000"/>
          <w:spacing w:val="0"/>
          <w:w w:val="100"/>
          <w:position w:val="0"/>
          <w:shd w:val="clear" w:color="auto" w:fill="auto"/>
          <w:lang w:val="pt-PT" w:eastAsia="pt-PT" w:bidi="pt-PT"/>
        </w:rPr>
        <w:t>- Pessoa Jurídica.</w:t>
      </w:r>
      <w:r>
        <w:br w:type="page"/>
      </w:r>
    </w:p>
    <w:p>
      <w:pPr>
        <w:pStyle w:val="Style16"/>
        <w:keepNext/>
        <w:keepLines/>
        <w:widowControl w:val="0"/>
        <w:shd w:val="clear" w:color="auto" w:fill="auto"/>
        <w:bidi w:val="0"/>
        <w:spacing w:before="0" w:after="480" w:line="240" w:lineRule="auto"/>
        <w:ind w:left="0" w:right="0" w:firstLine="0"/>
        <w:jc w:val="left"/>
      </w:pPr>
      <w:bookmarkStart w:id="9" w:name="bookmark9"/>
      <w:r>
        <w:rPr>
          <w:color w:val="4E6896"/>
          <w:spacing w:val="0"/>
          <w:w w:val="100"/>
          <w:position w:val="0"/>
          <w:shd w:val="clear" w:color="auto" w:fill="auto"/>
          <w:lang w:val="pt-PT" w:eastAsia="pt-PT" w:bidi="pt-PT"/>
        </w:rPr>
        <w:t>►ASPECTOS LEGAIS DA RESOLUÇÃO CMN N° 5.272/2025</w:t>
      </w:r>
      <w:bookmarkEnd w:id="9"/>
    </w:p>
    <w:p>
      <w:pPr>
        <w:pStyle w:val="Style13"/>
        <w:keepNext w:val="0"/>
        <w:keepLines w:val="0"/>
        <w:widowControl w:val="0"/>
        <w:shd w:val="clear" w:color="auto" w:fill="auto"/>
        <w:bidi w:val="0"/>
        <w:spacing w:before="0" w:after="120" w:line="269" w:lineRule="auto"/>
        <w:ind w:left="0" w:right="0" w:firstLine="740"/>
        <w:jc w:val="both"/>
        <w:rPr>
          <w:sz w:val="18"/>
          <w:szCs w:val="18"/>
        </w:rPr>
      </w:pPr>
      <w:r>
        <w:drawing>
          <wp:anchor distT="0" distB="0" distL="12700" distR="12700" simplePos="0" relativeHeight="125829430" behindDoc="0" locked="0" layoutInCell="1" allowOverlap="1">
            <wp:simplePos x="0" y="0"/>
            <wp:positionH relativeFrom="page">
              <wp:posOffset>4910455</wp:posOffset>
            </wp:positionH>
            <wp:positionV relativeFrom="margin">
              <wp:posOffset>278765</wp:posOffset>
            </wp:positionV>
            <wp:extent cx="250190" cy="237490"/>
            <wp:wrapSquare wrapText="left"/>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29"/>
                    <a:stretch/>
                  </pic:blipFill>
                  <pic:spPr>
                    <a:xfrm>
                      <a:ext cx="250190" cy="237490"/>
                    </a:xfrm>
                    <a:prstGeom prst="rect"/>
                  </pic:spPr>
                </pic:pic>
              </a:graphicData>
            </a:graphic>
          </wp:anchor>
        </w:drawing>
      </w:r>
      <w:r>
        <w:rPr>
          <w:color w:val="000000"/>
          <w:spacing w:val="0"/>
          <w:w w:val="100"/>
          <w:position w:val="0"/>
          <w:sz w:val="19"/>
          <w:szCs w:val="19"/>
          <w:shd w:val="clear" w:color="auto" w:fill="auto"/>
          <w:lang w:val="pt-PT" w:eastAsia="pt-PT" w:bidi="pt-PT"/>
        </w:rPr>
        <w:t xml:space="preserve">A Resolução CMN n° 5.272/2025 estabelece as novas diretrizes para aplicação dos recursos dos Regimes Próprios de Previdência Social (RPPS), substituindo a Resolução n° 4.963/2021, com vigência a partir de </w:t>
      </w:r>
      <w:r>
        <w:rPr>
          <w:b/>
          <w:bCs/>
          <w:color w:val="000000"/>
          <w:spacing w:val="0"/>
          <w:w w:val="100"/>
          <w:position w:val="0"/>
          <w:sz w:val="18"/>
          <w:szCs w:val="18"/>
          <w:shd w:val="clear" w:color="auto" w:fill="auto"/>
          <w:lang w:val="pt-PT" w:eastAsia="pt-PT" w:bidi="pt-PT"/>
        </w:rPr>
        <w:t>02 de fevereiro de 2026.</w:t>
      </w:r>
    </w:p>
    <w:p>
      <w:pPr>
        <w:pStyle w:val="Style16"/>
        <w:keepNext/>
        <w:keepLines/>
        <w:widowControl w:val="0"/>
        <w:numPr>
          <w:ilvl w:val="0"/>
          <w:numId w:val="1"/>
        </w:numPr>
        <w:shd w:val="clear" w:color="auto" w:fill="auto"/>
        <w:tabs>
          <w:tab w:pos="1098" w:val="left"/>
        </w:tabs>
        <w:bidi w:val="0"/>
        <w:spacing w:before="0" w:after="80" w:line="295" w:lineRule="auto"/>
        <w:ind w:left="0" w:right="0" w:firstLine="740"/>
        <w:jc w:val="both"/>
      </w:pPr>
      <w:bookmarkStart w:id="10" w:name="bookmark10"/>
      <w:r>
        <w:rPr>
          <w:color w:val="000000"/>
          <w:spacing w:val="0"/>
          <w:w w:val="100"/>
          <w:position w:val="0"/>
          <w:shd w:val="clear" w:color="auto" w:fill="auto"/>
          <w:lang w:val="pt-PT" w:eastAsia="pt-PT" w:bidi="pt-PT"/>
        </w:rPr>
        <w:t>Novo modelo baseado em governança</w:t>
      </w:r>
      <w:bookmarkEnd w:id="10"/>
    </w:p>
    <w:p>
      <w:pPr>
        <w:pStyle w:val="Style13"/>
        <w:keepNext w:val="0"/>
        <w:keepLines w:val="0"/>
        <w:widowControl w:val="0"/>
        <w:shd w:val="clear" w:color="auto" w:fill="auto"/>
        <w:bidi w:val="0"/>
        <w:spacing w:before="0" w:after="80" w:line="276" w:lineRule="auto"/>
        <w:ind w:left="0" w:right="0" w:firstLine="740"/>
        <w:jc w:val="both"/>
        <w:rPr>
          <w:sz w:val="18"/>
          <w:szCs w:val="18"/>
        </w:rPr>
      </w:pPr>
      <w:r>
        <w:rPr>
          <w:color w:val="000000"/>
          <w:spacing w:val="0"/>
          <w:w w:val="100"/>
          <w:position w:val="0"/>
          <w:sz w:val="19"/>
          <w:szCs w:val="19"/>
          <w:shd w:val="clear" w:color="auto" w:fill="auto"/>
          <w:lang w:val="pt-PT" w:eastAsia="pt-PT" w:bidi="pt-PT"/>
        </w:rPr>
        <w:t xml:space="preserve">A principal mudança é a transição de um modelo focado apenas em limites de aplicação para um modelo que </w:t>
      </w:r>
      <w:r>
        <w:rPr>
          <w:color w:val="000000"/>
          <w:spacing w:val="0"/>
          <w:w w:val="100"/>
          <w:position w:val="0"/>
          <w:sz w:val="19"/>
          <w:szCs w:val="19"/>
          <w:shd w:val="clear" w:color="auto" w:fill="auto"/>
          <w:lang w:val="pt-BR" w:eastAsia="pt-BR" w:bidi="pt-BR"/>
        </w:rPr>
        <w:t xml:space="preserve">prioriza </w:t>
      </w:r>
      <w:r>
        <w:rPr>
          <w:color w:val="000000"/>
          <w:spacing w:val="0"/>
          <w:w w:val="100"/>
          <w:position w:val="0"/>
          <w:sz w:val="19"/>
          <w:szCs w:val="19"/>
          <w:shd w:val="clear" w:color="auto" w:fill="auto"/>
          <w:lang w:val="pt-PT" w:eastAsia="pt-PT" w:bidi="pt-PT"/>
        </w:rPr>
        <w:t xml:space="preserve">a </w:t>
      </w:r>
      <w:r>
        <w:rPr>
          <w:b/>
          <w:bCs/>
          <w:color w:val="000000"/>
          <w:spacing w:val="0"/>
          <w:w w:val="100"/>
          <w:position w:val="0"/>
          <w:sz w:val="18"/>
          <w:szCs w:val="18"/>
          <w:shd w:val="clear" w:color="auto" w:fill="auto"/>
          <w:lang w:val="pt-PT" w:eastAsia="pt-PT" w:bidi="pt-PT"/>
        </w:rPr>
        <w:t>governança, gestão de riscos e capacidade institucional do RPPS.</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Ênfase em prudência, diligência e transparência</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Registro e rastreabilidade das decisões de investimento</w:t>
      </w:r>
    </w:p>
    <w:p>
      <w:pPr>
        <w:pStyle w:val="Style13"/>
        <w:keepNext w:val="0"/>
        <w:keepLines w:val="0"/>
        <w:widowControl w:val="0"/>
        <w:numPr>
          <w:ilvl w:val="0"/>
          <w:numId w:val="3"/>
        </w:numPr>
        <w:shd w:val="clear" w:color="auto" w:fill="auto"/>
        <w:tabs>
          <w:tab w:pos="760" w:val="left"/>
        </w:tabs>
        <w:bidi w:val="0"/>
        <w:spacing w:before="0" w:after="160" w:line="276" w:lineRule="auto"/>
        <w:ind w:left="720" w:right="0" w:hanging="320"/>
        <w:jc w:val="left"/>
      </w:pPr>
      <w:r>
        <w:rPr>
          <w:color w:val="000000"/>
          <w:spacing w:val="0"/>
          <w:w w:val="100"/>
          <w:position w:val="0"/>
          <w:shd w:val="clear" w:color="auto" w:fill="auto"/>
          <w:lang w:val="pt-PT" w:eastAsia="pt-PT" w:bidi="pt-PT"/>
        </w:rPr>
        <w:t>Fortalecimento do controle interno e da responsabilidade dos gestores</w:t>
      </w:r>
    </w:p>
    <w:p>
      <w:pPr>
        <w:pStyle w:val="Style16"/>
        <w:keepNext/>
        <w:keepLines/>
        <w:widowControl w:val="0"/>
        <w:numPr>
          <w:ilvl w:val="0"/>
          <w:numId w:val="1"/>
        </w:numPr>
        <w:shd w:val="clear" w:color="auto" w:fill="auto"/>
        <w:tabs>
          <w:tab w:pos="1098" w:val="left"/>
        </w:tabs>
        <w:bidi w:val="0"/>
        <w:spacing w:before="0" w:after="80" w:line="295" w:lineRule="auto"/>
        <w:ind w:left="0" w:right="0" w:firstLine="740"/>
        <w:jc w:val="both"/>
      </w:pPr>
      <w:bookmarkStart w:id="11" w:name="bookmark11"/>
      <w:r>
        <w:rPr>
          <w:color w:val="000000"/>
          <w:spacing w:val="0"/>
          <w:w w:val="100"/>
          <w:position w:val="0"/>
          <w:shd w:val="clear" w:color="auto" w:fill="auto"/>
          <w:lang w:val="pt-PT" w:eastAsia="pt-PT" w:bidi="pt-PT"/>
        </w:rPr>
        <w:t>Níveis de certificação (Pró-Gestão)</w:t>
      </w:r>
      <w:bookmarkEnd w:id="11"/>
    </w:p>
    <w:p>
      <w:pPr>
        <w:pStyle w:val="Style13"/>
        <w:keepNext w:val="0"/>
        <w:keepLines w:val="0"/>
        <w:widowControl w:val="0"/>
        <w:shd w:val="clear" w:color="auto" w:fill="auto"/>
        <w:bidi w:val="0"/>
        <w:spacing w:before="0" w:after="80" w:line="286" w:lineRule="auto"/>
        <w:ind w:left="0" w:right="0" w:firstLine="740"/>
        <w:jc w:val="both"/>
      </w:pPr>
      <w:r>
        <w:rPr>
          <w:color w:val="000000"/>
          <w:spacing w:val="0"/>
          <w:w w:val="100"/>
          <w:position w:val="0"/>
          <w:shd w:val="clear" w:color="auto" w:fill="auto"/>
          <w:lang w:val="pt-PT" w:eastAsia="pt-PT" w:bidi="pt-PT"/>
        </w:rPr>
        <w:t xml:space="preserve">Os RPPS passam a ser classificados em </w:t>
      </w:r>
      <w:r>
        <w:rPr>
          <w:b/>
          <w:bCs/>
          <w:color w:val="000000"/>
          <w:spacing w:val="0"/>
          <w:w w:val="100"/>
          <w:position w:val="0"/>
          <w:sz w:val="18"/>
          <w:szCs w:val="18"/>
          <w:shd w:val="clear" w:color="auto" w:fill="auto"/>
          <w:lang w:val="pt-PT" w:eastAsia="pt-PT" w:bidi="pt-PT"/>
        </w:rPr>
        <w:t xml:space="preserve">níveis (I a IV) </w:t>
      </w:r>
      <w:r>
        <w:rPr>
          <w:color w:val="000000"/>
          <w:spacing w:val="0"/>
          <w:w w:val="100"/>
          <w:position w:val="0"/>
          <w:shd w:val="clear" w:color="auto" w:fill="auto"/>
          <w:lang w:val="pt-PT" w:eastAsia="pt-PT" w:bidi="pt-PT"/>
        </w:rPr>
        <w:t>conforme sua maturidade institucional.</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 xml:space="preserve">Os </w:t>
      </w:r>
      <w:r>
        <w:rPr>
          <w:b/>
          <w:bCs/>
          <w:color w:val="000000"/>
          <w:spacing w:val="0"/>
          <w:w w:val="100"/>
          <w:position w:val="0"/>
          <w:sz w:val="18"/>
          <w:szCs w:val="18"/>
          <w:shd w:val="clear" w:color="auto" w:fill="auto"/>
          <w:lang w:val="pt-PT" w:eastAsia="pt-PT" w:bidi="pt-PT"/>
        </w:rPr>
        <w:t xml:space="preserve">limites e tipos de investimento </w:t>
      </w:r>
      <w:r>
        <w:rPr>
          <w:color w:val="000000"/>
          <w:spacing w:val="0"/>
          <w:w w:val="100"/>
          <w:position w:val="0"/>
          <w:shd w:val="clear" w:color="auto" w:fill="auto"/>
          <w:lang w:val="pt-PT" w:eastAsia="pt-PT" w:bidi="pt-PT"/>
        </w:rPr>
        <w:t>passam a depender do nível de certificação</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 xml:space="preserve">RPPS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estruturados têm acesso a ativos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sofisticados</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 xml:space="preserve">RPPS menos estruturados ficam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restritos à renda fixa</w:t>
      </w:r>
    </w:p>
    <w:p>
      <w:pPr>
        <w:pStyle w:val="Style13"/>
        <w:keepNext w:val="0"/>
        <w:keepLines w:val="0"/>
        <w:widowControl w:val="0"/>
        <w:shd w:val="clear" w:color="auto" w:fill="auto"/>
        <w:bidi w:val="0"/>
        <w:spacing w:before="0" w:after="120" w:line="276" w:lineRule="auto"/>
        <w:ind w:left="0" w:right="0" w:firstLine="0"/>
        <w:jc w:val="left"/>
        <w:rPr>
          <w:sz w:val="18"/>
          <w:szCs w:val="18"/>
        </w:rPr>
      </w:pPr>
      <w:r>
        <w:rPr>
          <w:color w:val="000000"/>
          <w:spacing w:val="0"/>
          <w:w w:val="100"/>
          <w:position w:val="0"/>
          <w:sz w:val="19"/>
          <w:szCs w:val="19"/>
          <w:shd w:val="clear" w:color="auto" w:fill="auto"/>
          <w:lang w:val="pt-PT" w:eastAsia="pt-PT" w:bidi="pt-PT"/>
        </w:rPr>
        <w:t xml:space="preserve">A certificação deixa de ser diferencial e passa a ser </w:t>
      </w:r>
      <w:r>
        <w:rPr>
          <w:b/>
          <w:bCs/>
          <w:color w:val="000000"/>
          <w:spacing w:val="0"/>
          <w:w w:val="100"/>
          <w:position w:val="0"/>
          <w:sz w:val="18"/>
          <w:szCs w:val="18"/>
          <w:shd w:val="clear" w:color="auto" w:fill="auto"/>
          <w:lang w:val="pt-PT" w:eastAsia="pt-PT" w:bidi="pt-PT"/>
        </w:rPr>
        <w:t>critério de acesso a investimentos.</w:t>
      </w:r>
    </w:p>
    <w:p>
      <w:pPr>
        <w:pStyle w:val="Style16"/>
        <w:keepNext/>
        <w:keepLines/>
        <w:widowControl w:val="0"/>
        <w:numPr>
          <w:ilvl w:val="0"/>
          <w:numId w:val="1"/>
        </w:numPr>
        <w:shd w:val="clear" w:color="auto" w:fill="auto"/>
        <w:tabs>
          <w:tab w:pos="1106" w:val="left"/>
        </w:tabs>
        <w:bidi w:val="0"/>
        <w:spacing w:before="0" w:after="80" w:line="295" w:lineRule="auto"/>
        <w:ind w:left="0" w:right="0" w:firstLine="740"/>
        <w:jc w:val="both"/>
      </w:pPr>
      <w:bookmarkStart w:id="12" w:name="bookmark12"/>
      <w:r>
        <w:rPr>
          <w:color w:val="000000"/>
          <w:spacing w:val="0"/>
          <w:w w:val="100"/>
          <w:position w:val="0"/>
          <w:shd w:val="clear" w:color="auto" w:fill="auto"/>
          <w:lang w:val="pt-BR" w:eastAsia="pt-BR" w:bidi="pt-BR"/>
        </w:rPr>
        <w:t xml:space="preserve">Reestruturação </w:t>
      </w:r>
      <w:r>
        <w:rPr>
          <w:color w:val="000000"/>
          <w:spacing w:val="0"/>
          <w:w w:val="100"/>
          <w:position w:val="0"/>
          <w:shd w:val="clear" w:color="auto" w:fill="auto"/>
          <w:lang w:val="pt-PT" w:eastAsia="pt-PT" w:bidi="pt-PT"/>
        </w:rPr>
        <w:t>dos limites de aplicação</w:t>
      </w:r>
      <w:bookmarkEnd w:id="12"/>
    </w:p>
    <w:p>
      <w:pPr>
        <w:pStyle w:val="Style13"/>
        <w:keepNext w:val="0"/>
        <w:keepLines w:val="0"/>
        <w:widowControl w:val="0"/>
        <w:shd w:val="clear" w:color="auto" w:fill="auto"/>
        <w:bidi w:val="0"/>
        <w:spacing w:before="0" w:after="80" w:line="286" w:lineRule="auto"/>
        <w:ind w:left="0" w:right="0" w:firstLine="740"/>
        <w:jc w:val="both"/>
      </w:pPr>
      <w:r>
        <w:rPr>
          <w:color w:val="000000"/>
          <w:spacing w:val="0"/>
          <w:w w:val="100"/>
          <w:position w:val="0"/>
          <w:shd w:val="clear" w:color="auto" w:fill="auto"/>
          <w:lang w:val="pt-PT" w:eastAsia="pt-PT" w:bidi="pt-PT"/>
        </w:rPr>
        <w:t xml:space="preserve">Os limites deixam de ser uniformes e passam a ser </w:t>
      </w:r>
      <w:r>
        <w:rPr>
          <w:b/>
          <w:bCs/>
          <w:color w:val="000000"/>
          <w:spacing w:val="0"/>
          <w:w w:val="100"/>
          <w:position w:val="0"/>
          <w:sz w:val="18"/>
          <w:szCs w:val="18"/>
          <w:shd w:val="clear" w:color="auto" w:fill="auto"/>
          <w:lang w:val="pt-PT" w:eastAsia="pt-PT" w:bidi="pt-PT"/>
        </w:rPr>
        <w:t xml:space="preserve">progressivos, </w:t>
      </w:r>
      <w:r>
        <w:rPr>
          <w:color w:val="000000"/>
          <w:spacing w:val="0"/>
          <w:w w:val="100"/>
          <w:position w:val="0"/>
          <w:shd w:val="clear" w:color="auto" w:fill="auto"/>
          <w:lang w:val="pt-PT" w:eastAsia="pt-PT" w:bidi="pt-PT"/>
        </w:rPr>
        <w:t>conforme o nível do RPPS.</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Ampliação da diversificação (renda variável, estruturados, exterior)</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rPr>
          <w:sz w:val="18"/>
          <w:szCs w:val="18"/>
        </w:rPr>
      </w:pPr>
      <w:r>
        <w:rPr>
          <w:color w:val="000000"/>
          <w:spacing w:val="0"/>
          <w:w w:val="100"/>
          <w:position w:val="0"/>
          <w:sz w:val="19"/>
          <w:szCs w:val="19"/>
          <w:shd w:val="clear" w:color="auto" w:fill="auto"/>
          <w:lang w:val="pt-PT" w:eastAsia="pt-PT" w:bidi="pt-PT"/>
        </w:rPr>
        <w:t xml:space="preserve">Inclusão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 xml:space="preserve">clara de ativos como </w:t>
      </w:r>
      <w:r>
        <w:rPr>
          <w:b/>
          <w:bCs/>
          <w:color w:val="000000"/>
          <w:spacing w:val="0"/>
          <w:w w:val="100"/>
          <w:position w:val="0"/>
          <w:sz w:val="18"/>
          <w:szCs w:val="18"/>
          <w:shd w:val="clear" w:color="auto" w:fill="auto"/>
          <w:lang w:val="pt-PT" w:eastAsia="pt-PT" w:bidi="pt-PT"/>
        </w:rPr>
        <w:t>FIAGRO, FIP e fundos de infraestrutura</w:t>
      </w:r>
    </w:p>
    <w:p>
      <w:pPr>
        <w:pStyle w:val="Style13"/>
        <w:keepNext w:val="0"/>
        <w:keepLines w:val="0"/>
        <w:widowControl w:val="0"/>
        <w:numPr>
          <w:ilvl w:val="0"/>
          <w:numId w:val="3"/>
        </w:numPr>
        <w:shd w:val="clear" w:color="auto" w:fill="auto"/>
        <w:tabs>
          <w:tab w:pos="760" w:val="left"/>
        </w:tabs>
        <w:bidi w:val="0"/>
        <w:spacing w:before="0" w:after="160" w:line="276" w:lineRule="auto"/>
        <w:ind w:left="720" w:right="0" w:hanging="320"/>
        <w:jc w:val="left"/>
      </w:pPr>
      <w:r>
        <w:rPr>
          <w:color w:val="000000"/>
          <w:spacing w:val="0"/>
          <w:w w:val="100"/>
          <w:position w:val="0"/>
          <w:shd w:val="clear" w:color="auto" w:fill="auto"/>
          <w:lang w:val="pt-PT" w:eastAsia="pt-PT" w:bidi="pt-PT"/>
        </w:rPr>
        <w:t>Maior controle de concentração por fundo e por ativo</w:t>
      </w:r>
    </w:p>
    <w:p>
      <w:pPr>
        <w:pStyle w:val="Style16"/>
        <w:keepNext/>
        <w:keepLines/>
        <w:widowControl w:val="0"/>
        <w:numPr>
          <w:ilvl w:val="0"/>
          <w:numId w:val="1"/>
        </w:numPr>
        <w:shd w:val="clear" w:color="auto" w:fill="auto"/>
        <w:tabs>
          <w:tab w:pos="1113" w:val="left"/>
        </w:tabs>
        <w:bidi w:val="0"/>
        <w:spacing w:before="0" w:after="80" w:line="295" w:lineRule="auto"/>
        <w:ind w:left="0" w:right="0" w:firstLine="740"/>
        <w:jc w:val="both"/>
      </w:pPr>
      <w:bookmarkStart w:id="13" w:name="bookmark13"/>
      <w:r>
        <w:rPr>
          <w:color w:val="000000"/>
          <w:spacing w:val="0"/>
          <w:w w:val="100"/>
          <w:position w:val="0"/>
          <w:shd w:val="clear" w:color="auto" w:fill="auto"/>
          <w:lang w:val="pt-PT" w:eastAsia="pt-PT" w:bidi="pt-PT"/>
        </w:rPr>
        <w:t>Fortalecimento da governança</w:t>
      </w:r>
      <w:bookmarkEnd w:id="13"/>
    </w:p>
    <w:p>
      <w:pPr>
        <w:pStyle w:val="Style13"/>
        <w:keepNext w:val="0"/>
        <w:keepLines w:val="0"/>
        <w:widowControl w:val="0"/>
        <w:shd w:val="clear" w:color="auto" w:fill="auto"/>
        <w:bidi w:val="0"/>
        <w:spacing w:before="0" w:after="80" w:line="276" w:lineRule="auto"/>
        <w:ind w:left="0" w:right="0" w:firstLine="740"/>
        <w:jc w:val="both"/>
      </w:pPr>
      <w:r>
        <w:rPr>
          <w:color w:val="000000"/>
          <w:spacing w:val="0"/>
          <w:w w:val="100"/>
          <w:position w:val="0"/>
          <w:shd w:val="clear" w:color="auto" w:fill="auto"/>
          <w:lang w:val="pt-PT" w:eastAsia="pt-PT" w:bidi="pt-PT"/>
        </w:rPr>
        <w:t>A norma reforça a estrutura de gestão:</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 xml:space="preserve">Definição clara das atribuições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conselho, etc.)</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Exigência de responsável técnico qualificado</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obrigatório de gestores, administradores e distribuidores</w:t>
      </w:r>
    </w:p>
    <w:p>
      <w:pPr>
        <w:pStyle w:val="Style16"/>
        <w:keepNext/>
        <w:keepLines/>
        <w:widowControl w:val="0"/>
        <w:numPr>
          <w:ilvl w:val="0"/>
          <w:numId w:val="1"/>
        </w:numPr>
        <w:shd w:val="clear" w:color="auto" w:fill="auto"/>
        <w:tabs>
          <w:tab w:pos="1113" w:val="left"/>
        </w:tabs>
        <w:bidi w:val="0"/>
        <w:spacing w:before="0" w:after="80" w:line="295" w:lineRule="auto"/>
        <w:ind w:left="0" w:right="0" w:firstLine="740"/>
        <w:jc w:val="both"/>
      </w:pPr>
      <w:bookmarkStart w:id="14" w:name="bookmark14"/>
      <w:r>
        <w:rPr>
          <w:color w:val="000000"/>
          <w:spacing w:val="0"/>
          <w:w w:val="100"/>
          <w:position w:val="0"/>
          <w:shd w:val="clear" w:color="auto" w:fill="auto"/>
          <w:lang w:val="pt-PT" w:eastAsia="pt-PT" w:bidi="pt-PT"/>
        </w:rPr>
        <w:t xml:space="preserve">Regras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rígidas para prestadores de serviços</w:t>
      </w:r>
      <w:bookmarkEnd w:id="14"/>
    </w:p>
    <w:p>
      <w:pPr>
        <w:pStyle w:val="Style13"/>
        <w:keepNext w:val="0"/>
        <w:keepLines w:val="0"/>
        <w:widowControl w:val="0"/>
        <w:numPr>
          <w:ilvl w:val="0"/>
          <w:numId w:val="3"/>
        </w:numPr>
        <w:shd w:val="clear" w:color="auto" w:fill="auto"/>
        <w:tabs>
          <w:tab w:pos="760" w:val="left"/>
        </w:tabs>
        <w:bidi w:val="0"/>
        <w:spacing w:before="0" w:after="80" w:line="317" w:lineRule="auto"/>
        <w:ind w:left="720" w:right="0" w:hanging="320"/>
        <w:jc w:val="left"/>
      </w:pPr>
      <w:r>
        <w:rPr>
          <w:color w:val="000000"/>
          <w:spacing w:val="0"/>
          <w:w w:val="100"/>
          <w:position w:val="0"/>
          <w:shd w:val="clear" w:color="auto" w:fill="auto"/>
          <w:lang w:val="pt-PT" w:eastAsia="pt-PT" w:bidi="pt-PT"/>
        </w:rPr>
        <w:t xml:space="preserve">Fundos devem ter gestor ou administrador enquadrado como instituição </w:t>
      </w:r>
      <w:r>
        <w:rPr>
          <w:b/>
          <w:bCs/>
          <w:color w:val="000000"/>
          <w:spacing w:val="0"/>
          <w:w w:val="100"/>
          <w:position w:val="0"/>
          <w:sz w:val="18"/>
          <w:szCs w:val="18"/>
          <w:shd w:val="clear" w:color="auto" w:fill="auto"/>
          <w:lang w:val="pt-PT" w:eastAsia="pt-PT" w:bidi="pt-PT"/>
        </w:rPr>
        <w:t xml:space="preserve">SI ou S2 </w:t>
      </w:r>
      <w:r>
        <w:rPr>
          <w:color w:val="000000"/>
          <w:spacing w:val="0"/>
          <w:w w:val="100"/>
          <w:position w:val="0"/>
          <w:shd w:val="clear" w:color="auto" w:fill="auto"/>
          <w:lang w:val="pt-PT" w:eastAsia="pt-PT" w:bidi="pt-PT"/>
        </w:rPr>
        <w:t>(Banco Central)</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Operações devem ocorrer por instituições autorizadas</w:t>
      </w:r>
    </w:p>
    <w:p>
      <w:pPr>
        <w:pStyle w:val="Style13"/>
        <w:keepNext w:val="0"/>
        <w:keepLines w:val="0"/>
        <w:widowControl w:val="0"/>
        <w:numPr>
          <w:ilvl w:val="0"/>
          <w:numId w:val="3"/>
        </w:numPr>
        <w:shd w:val="clear" w:color="auto" w:fill="auto"/>
        <w:tabs>
          <w:tab w:pos="760" w:val="left"/>
        </w:tabs>
        <w:bidi w:val="0"/>
        <w:spacing w:before="0" w:after="140" w:line="276" w:lineRule="auto"/>
        <w:ind w:left="720" w:right="0" w:hanging="320"/>
        <w:jc w:val="left"/>
      </w:pPr>
      <w:r>
        <w:rPr>
          <w:color w:val="000000"/>
          <w:spacing w:val="0"/>
          <w:w w:val="100"/>
          <w:position w:val="0"/>
          <w:shd w:val="clear" w:color="auto" w:fill="auto"/>
          <w:lang w:val="pt-PT" w:eastAsia="pt-PT" w:bidi="pt-PT"/>
        </w:rPr>
        <w:t>Avaliação contínua dos prestadores de serviço</w:t>
      </w:r>
    </w:p>
    <w:p>
      <w:pPr>
        <w:pStyle w:val="Style16"/>
        <w:keepNext/>
        <w:keepLines/>
        <w:widowControl w:val="0"/>
        <w:numPr>
          <w:ilvl w:val="0"/>
          <w:numId w:val="1"/>
        </w:numPr>
        <w:shd w:val="clear" w:color="auto" w:fill="auto"/>
        <w:tabs>
          <w:tab w:pos="1086" w:val="left"/>
        </w:tabs>
        <w:bidi w:val="0"/>
        <w:spacing w:before="0" w:after="160" w:line="240" w:lineRule="auto"/>
        <w:ind w:left="0" w:right="0" w:firstLine="720"/>
        <w:jc w:val="both"/>
      </w:pPr>
      <w:bookmarkStart w:id="15" w:name="bookmark15"/>
      <w:r>
        <w:rPr>
          <w:color w:val="000000"/>
          <w:spacing w:val="0"/>
          <w:w w:val="100"/>
          <w:position w:val="0"/>
          <w:shd w:val="clear" w:color="auto" w:fill="auto"/>
          <w:lang w:val="pt-PT" w:eastAsia="pt-PT" w:bidi="pt-PT"/>
        </w:rPr>
        <w:t>Gestão de riscos e transparência</w:t>
      </w:r>
      <w:bookmarkEnd w:id="15"/>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Reforço na gestão de riscos (inclusive ESG)</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Maior transparência sobre custos, remuneração e operações</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Proibição de práticas consideradas inadequadas (ex: certas garantias em fundos)</w:t>
      </w:r>
    </w:p>
    <w:p>
      <w:pPr>
        <w:pStyle w:val="Style16"/>
        <w:keepNext/>
        <w:keepLines/>
        <w:widowControl w:val="0"/>
        <w:numPr>
          <w:ilvl w:val="0"/>
          <w:numId w:val="1"/>
        </w:numPr>
        <w:shd w:val="clear" w:color="auto" w:fill="auto"/>
        <w:tabs>
          <w:tab w:pos="1086" w:val="left"/>
        </w:tabs>
        <w:bidi w:val="0"/>
        <w:spacing w:before="0" w:after="160" w:line="240" w:lineRule="auto"/>
        <w:ind w:left="720" w:right="0" w:firstLine="0"/>
        <w:jc w:val="left"/>
      </w:pPr>
      <w:bookmarkStart w:id="16" w:name="bookmark16"/>
      <w:r>
        <w:rPr>
          <w:color w:val="000000"/>
          <w:spacing w:val="0"/>
          <w:w w:val="100"/>
          <w:position w:val="0"/>
          <w:shd w:val="clear" w:color="auto" w:fill="auto"/>
          <w:lang w:val="pt-PT" w:eastAsia="pt-PT" w:bidi="pt-PT"/>
        </w:rPr>
        <w:t>Regra de transição e desenquadramento</w:t>
      </w:r>
      <w:bookmarkEnd w:id="16"/>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Ativos em desacordo podem ser mantidos temporariamente</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rPr>
          <w:sz w:val="18"/>
          <w:szCs w:val="18"/>
        </w:rPr>
      </w:pPr>
      <w:r>
        <w:rPr>
          <w:color w:val="000000"/>
          <w:spacing w:val="0"/>
          <w:w w:val="100"/>
          <w:position w:val="0"/>
          <w:sz w:val="19"/>
          <w:szCs w:val="19"/>
          <w:shd w:val="clear" w:color="auto" w:fill="auto"/>
          <w:lang w:val="pt-PT" w:eastAsia="pt-PT" w:bidi="pt-PT"/>
        </w:rPr>
        <w:t xml:space="preserve">Prazo geral de </w:t>
      </w:r>
      <w:r>
        <w:rPr>
          <w:b/>
          <w:bCs/>
          <w:color w:val="000000"/>
          <w:spacing w:val="0"/>
          <w:w w:val="100"/>
          <w:position w:val="0"/>
          <w:sz w:val="18"/>
          <w:szCs w:val="18"/>
          <w:shd w:val="clear" w:color="auto" w:fill="auto"/>
          <w:lang w:val="pt-PT" w:eastAsia="pt-PT" w:bidi="pt-PT"/>
        </w:rPr>
        <w:t>até 2 anos para reenquadramento</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Vedada a realização de novos aportes em ativos irregulares</w:t>
      </w:r>
    </w:p>
    <w:p>
      <w:pPr>
        <w:pStyle w:val="Style16"/>
        <w:keepNext/>
        <w:keepLines/>
        <w:widowControl w:val="0"/>
        <w:numPr>
          <w:ilvl w:val="0"/>
          <w:numId w:val="1"/>
        </w:numPr>
        <w:shd w:val="clear" w:color="auto" w:fill="auto"/>
        <w:tabs>
          <w:tab w:pos="1086" w:val="left"/>
        </w:tabs>
        <w:bidi w:val="0"/>
        <w:spacing w:before="0" w:after="160" w:line="240" w:lineRule="auto"/>
        <w:ind w:left="0" w:right="0" w:firstLine="720"/>
        <w:jc w:val="both"/>
      </w:pPr>
      <w:bookmarkStart w:id="17" w:name="bookmark17"/>
      <w:r>
        <w:rPr>
          <w:color w:val="000000"/>
          <w:spacing w:val="0"/>
          <w:w w:val="100"/>
          <w:position w:val="0"/>
          <w:shd w:val="clear" w:color="auto" w:fill="auto"/>
          <w:lang w:val="pt-PT" w:eastAsia="pt-PT" w:bidi="pt-PT"/>
        </w:rPr>
        <w:t>Impactos práticos para os RPPS</w:t>
      </w:r>
      <w:bookmarkEnd w:id="17"/>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rPr>
          <w:sz w:val="18"/>
          <w:szCs w:val="18"/>
        </w:rPr>
      </w:pPr>
      <w:r>
        <w:rPr>
          <w:color w:val="000000"/>
          <w:spacing w:val="0"/>
          <w:w w:val="100"/>
          <w:position w:val="0"/>
          <w:sz w:val="19"/>
          <w:szCs w:val="19"/>
          <w:shd w:val="clear" w:color="auto" w:fill="auto"/>
          <w:lang w:val="pt-PT" w:eastAsia="pt-PT" w:bidi="pt-PT"/>
        </w:rPr>
        <w:t xml:space="preserve">Necessidade de revisão da </w:t>
      </w:r>
      <w:r>
        <w:rPr>
          <w:b/>
          <w:bCs/>
          <w:color w:val="000000"/>
          <w:spacing w:val="0"/>
          <w:w w:val="100"/>
          <w:position w:val="0"/>
          <w:sz w:val="18"/>
          <w:szCs w:val="18"/>
          <w:shd w:val="clear" w:color="auto" w:fill="auto"/>
          <w:lang w:val="pt-PT" w:eastAsia="pt-PT" w:bidi="pt-PT"/>
        </w:rPr>
        <w:t>Política de Investimentos</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pPr>
      <w:r>
        <w:rPr>
          <w:color w:val="000000"/>
          <w:spacing w:val="0"/>
          <w:w w:val="100"/>
          <w:position w:val="0"/>
          <w:shd w:val="clear" w:color="auto" w:fill="auto"/>
          <w:lang w:val="pt-PT" w:eastAsia="pt-PT" w:bidi="pt-PT"/>
        </w:rPr>
        <w:t>Adequação dos processos internos e governança</w:t>
      </w:r>
    </w:p>
    <w:p>
      <w:pPr>
        <w:pStyle w:val="Style13"/>
        <w:keepNext w:val="0"/>
        <w:keepLines w:val="0"/>
        <w:widowControl w:val="0"/>
        <w:numPr>
          <w:ilvl w:val="0"/>
          <w:numId w:val="3"/>
        </w:numPr>
        <w:shd w:val="clear" w:color="auto" w:fill="auto"/>
        <w:tabs>
          <w:tab w:pos="740" w:val="left"/>
        </w:tabs>
        <w:bidi w:val="0"/>
        <w:spacing w:before="0" w:after="160" w:line="240" w:lineRule="auto"/>
        <w:ind w:left="360" w:right="0" w:firstLine="20"/>
        <w:jc w:val="left"/>
        <w:rPr>
          <w:sz w:val="18"/>
          <w:szCs w:val="18"/>
        </w:rPr>
      </w:pPr>
      <w:r>
        <w:rPr>
          <w:color w:val="000000"/>
          <w:spacing w:val="0"/>
          <w:w w:val="100"/>
          <w:position w:val="0"/>
          <w:sz w:val="19"/>
          <w:szCs w:val="19"/>
          <w:shd w:val="clear" w:color="auto" w:fill="auto"/>
          <w:lang w:val="pt-PT" w:eastAsia="pt-PT" w:bidi="pt-PT"/>
        </w:rPr>
        <w:t xml:space="preserve">Incentivo à adesão ao </w:t>
      </w:r>
      <w:r>
        <w:rPr>
          <w:b/>
          <w:bCs/>
          <w:color w:val="000000"/>
          <w:spacing w:val="0"/>
          <w:w w:val="100"/>
          <w:position w:val="0"/>
          <w:sz w:val="18"/>
          <w:szCs w:val="18"/>
          <w:shd w:val="clear" w:color="auto" w:fill="auto"/>
          <w:lang w:val="pt-PT" w:eastAsia="pt-PT" w:bidi="pt-PT"/>
        </w:rPr>
        <w:t>Pró-Gestão</w:t>
      </w:r>
    </w:p>
    <w:p>
      <w:pPr>
        <w:pStyle w:val="Style13"/>
        <w:keepNext w:val="0"/>
        <w:keepLines w:val="0"/>
        <w:widowControl w:val="0"/>
        <w:numPr>
          <w:ilvl w:val="0"/>
          <w:numId w:val="3"/>
        </w:numPr>
        <w:shd w:val="clear" w:color="auto" w:fill="auto"/>
        <w:tabs>
          <w:tab w:pos="740" w:val="left"/>
        </w:tabs>
        <w:bidi w:val="0"/>
        <w:spacing w:before="0" w:after="520" w:line="240" w:lineRule="auto"/>
        <w:ind w:left="360" w:right="0" w:firstLine="20"/>
        <w:jc w:val="left"/>
      </w:pPr>
      <w:r>
        <w:rPr>
          <w:color w:val="000000"/>
          <w:spacing w:val="0"/>
          <w:w w:val="100"/>
          <w:position w:val="0"/>
          <w:shd w:val="clear" w:color="auto" w:fill="auto"/>
          <w:lang w:val="pt-PT" w:eastAsia="pt-PT" w:bidi="pt-PT"/>
        </w:rPr>
        <w:t>Maior profissionalização da gestão</w:t>
      </w:r>
    </w:p>
    <w:p>
      <w:pPr>
        <w:pStyle w:val="Style13"/>
        <w:keepNext w:val="0"/>
        <w:keepLines w:val="0"/>
        <w:widowControl w:val="0"/>
        <w:shd w:val="clear" w:color="auto" w:fill="auto"/>
        <w:bidi w:val="0"/>
        <w:spacing w:before="0" w:after="500" w:line="240" w:lineRule="auto"/>
        <w:ind w:left="0" w:right="0" w:firstLine="0"/>
        <w:jc w:val="both"/>
      </w:pPr>
      <w:r>
        <w:rPr>
          <w:color w:val="000000"/>
          <w:spacing w:val="0"/>
          <w:w w:val="100"/>
          <w:position w:val="0"/>
          <w:shd w:val="clear" w:color="auto" w:fill="auto"/>
          <w:lang w:val="pt-PT" w:eastAsia="pt-PT" w:bidi="pt-PT"/>
        </w:rPr>
        <w:t>Limites percentuais para as aplicações dos RPPS por segmento:</w:t>
      </w:r>
    </w:p>
    <w:p>
      <w:pPr>
        <w:pStyle w:val="Style13"/>
        <w:keepNext w:val="0"/>
        <w:keepLines w:val="0"/>
        <w:widowControl w:val="0"/>
        <w:shd w:val="clear" w:color="auto" w:fill="auto"/>
        <w:bidi w:val="0"/>
        <w:spacing w:before="0" w:after="480" w:line="305" w:lineRule="auto"/>
        <w:ind w:left="1100" w:right="4120" w:firstLine="0"/>
        <w:jc w:val="left"/>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Renda Fixa - Art. 7</w:t>
      </w:r>
      <w:r>
        <w:rPr>
          <w:color w:val="000000"/>
          <w:spacing w:val="0"/>
          <w:w w:val="100"/>
          <w:position w:val="0"/>
          <w:shd w:val="clear" w:color="auto" w:fill="auto"/>
          <w:vertAlign w:val="superscript"/>
          <w:lang w:val="pt-PT" w:eastAsia="pt-PT" w:bidi="pt-PT"/>
        </w:rPr>
        <w:t xml:space="preserve">o </w:t>
      </w:r>
      <w:r>
        <w:rPr>
          <w:color w:val="000000"/>
          <w:spacing w:val="0"/>
          <w:w w:val="100"/>
          <w:position w:val="0"/>
          <w:shd w:val="clear" w:color="auto" w:fill="auto"/>
          <w:lang w:val="pt-PT" w:eastAsia="pt-PT" w:bidi="pt-PT"/>
        </w:rPr>
        <w:t>✓ Renda Variável - Art. 8</w:t>
      </w:r>
      <w:r>
        <w:rPr>
          <w:color w:val="000000"/>
          <w:spacing w:val="0"/>
          <w:w w:val="100"/>
          <w:position w:val="0"/>
          <w:shd w:val="clear" w:color="auto" w:fill="auto"/>
          <w:vertAlign w:val="superscript"/>
          <w:lang w:val="pt-PT" w:eastAsia="pt-PT" w:bidi="pt-PT"/>
        </w:rPr>
        <w:t xml:space="preserve">o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Investimento no Exterior - Art. 9</w:t>
      </w:r>
      <w:r>
        <w:rPr>
          <w:color w:val="000000"/>
          <w:spacing w:val="0"/>
          <w:w w:val="100"/>
          <w:position w:val="0"/>
          <w:shd w:val="clear" w:color="auto" w:fill="auto"/>
          <w:vertAlign w:val="superscript"/>
          <w:lang w:val="pt-PT" w:eastAsia="pt-PT" w:bidi="pt-PT"/>
        </w:rPr>
        <w:t xml:space="preserve">o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Fundos Estruturados - Art. 10°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Fundos Imobiliários - Art. 11°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Empréstimos Consignados Art. 12°</w:t>
      </w:r>
    </w:p>
    <w:p>
      <w:pPr>
        <w:pStyle w:val="Style13"/>
        <w:keepNext w:val="0"/>
        <w:keepLines w:val="0"/>
        <w:widowControl w:val="0"/>
        <w:shd w:val="clear" w:color="auto" w:fill="auto"/>
        <w:bidi w:val="0"/>
        <w:spacing w:before="0" w:after="420" w:line="264" w:lineRule="auto"/>
        <w:ind w:left="0" w:right="0"/>
        <w:jc w:val="both"/>
      </w:pPr>
      <w:r>
        <w:rPr>
          <w:color w:val="000000"/>
          <w:spacing w:val="0"/>
          <w:w w:val="100"/>
          <w:position w:val="0"/>
          <w:shd w:val="clear" w:color="auto" w:fill="auto"/>
          <w:lang w:val="pt-PT" w:eastAsia="pt-PT" w:bidi="pt-PT"/>
        </w:rPr>
        <w:t xml:space="preserve">A Política de Investimentos do RPPS obedece ao que determina a legislação vigente, especialmente, a Resolução do Conselho Monetário Nacional n° 5.272/2025 e, da mesma forma, atende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obrigações estabelecidas na Portaria MTP n° 1.467/2022.</w:t>
      </w:r>
    </w:p>
    <w:p>
      <w:pPr>
        <w:pStyle w:val="Style10"/>
        <w:keepNext w:val="0"/>
        <w:keepLines w:val="0"/>
        <w:widowControl w:val="0"/>
        <w:shd w:val="clear" w:color="auto" w:fill="auto"/>
        <w:bidi w:val="0"/>
        <w:spacing w:before="0" w:after="160" w:line="276" w:lineRule="auto"/>
        <w:ind w:left="0" w:right="0" w:firstLine="0"/>
        <w:jc w:val="both"/>
        <w:rPr>
          <w:sz w:val="15"/>
          <w:szCs w:val="15"/>
        </w:rPr>
      </w:pPr>
      <w:r>
        <w:rPr>
          <w:i/>
          <w:iCs/>
          <w:color w:val="000000"/>
          <w:spacing w:val="0"/>
          <w:w w:val="100"/>
          <w:position w:val="0"/>
          <w:sz w:val="15"/>
          <w:szCs w:val="15"/>
          <w:shd w:val="clear" w:color="auto" w:fill="auto"/>
          <w:lang w:val="pt-PT" w:eastAsia="pt-PT" w:bidi="pt-PT"/>
        </w:rPr>
        <w:t xml:space="preserve">O </w:t>
      </w:r>
      <w:r>
        <w:rPr>
          <w:i/>
          <w:iCs/>
          <w:color w:val="000000"/>
          <w:spacing w:val="0"/>
          <w:w w:val="100"/>
          <w:position w:val="0"/>
          <w:sz w:val="15"/>
          <w:szCs w:val="15"/>
          <w:shd w:val="clear" w:color="auto" w:fill="auto"/>
          <w:lang w:val="pt-BR" w:eastAsia="pt-BR" w:bidi="pt-BR"/>
        </w:rPr>
        <w:t xml:space="preserve">bs.: </w:t>
      </w:r>
      <w:r>
        <w:rPr>
          <w:i/>
          <w:iCs/>
          <w:color w:val="000000"/>
          <w:spacing w:val="0"/>
          <w:w w:val="100"/>
          <w:position w:val="0"/>
          <w:sz w:val="15"/>
          <w:szCs w:val="15"/>
          <w:shd w:val="clear" w:color="auto" w:fill="auto"/>
          <w:lang w:val="pt-PT" w:eastAsia="pt-PT" w:bidi="pt-PT"/>
        </w:rPr>
        <w:t xml:space="preserve">Para informações </w:t>
      </w:r>
      <w:r>
        <w:rPr>
          <w:i/>
          <w:iCs/>
          <w:color w:val="000000"/>
          <w:spacing w:val="0"/>
          <w:w w:val="100"/>
          <w:position w:val="0"/>
          <w:sz w:val="15"/>
          <w:szCs w:val="15"/>
          <w:shd w:val="clear" w:color="auto" w:fill="auto"/>
          <w:lang w:val="pt-BR" w:eastAsia="pt-BR" w:bidi="pt-BR"/>
        </w:rPr>
        <w:t xml:space="preserve">mais </w:t>
      </w:r>
      <w:r>
        <w:rPr>
          <w:i/>
          <w:iCs/>
          <w:color w:val="000000"/>
          <w:spacing w:val="0"/>
          <w:w w:val="100"/>
          <w:position w:val="0"/>
          <w:sz w:val="15"/>
          <w:szCs w:val="15"/>
          <w:shd w:val="clear" w:color="auto" w:fill="auto"/>
          <w:lang w:val="pt-PT" w:eastAsia="pt-PT" w:bidi="pt-PT"/>
        </w:rPr>
        <w:t xml:space="preserve">detalhadas sobre a Resolução CMN n° 5.272/2025 pode ser vista no endereço </w:t>
      </w:r>
      <w:r>
        <w:rPr>
          <w:i/>
          <w:iCs/>
          <w:color w:val="000000"/>
          <w:spacing w:val="0"/>
          <w:w w:val="100"/>
          <w:position w:val="0"/>
          <w:sz w:val="15"/>
          <w:szCs w:val="15"/>
          <w:shd w:val="clear" w:color="auto" w:fill="auto"/>
          <w:lang w:val="pt-BR" w:eastAsia="pt-BR" w:bidi="pt-BR"/>
        </w:rPr>
        <w:t xml:space="preserve">eletrônico </w:t>
      </w:r>
      <w:r>
        <w:rPr>
          <w:i/>
          <w:iCs/>
          <w:color w:val="000000"/>
          <w:spacing w:val="0"/>
          <w:w w:val="100"/>
          <w:position w:val="0"/>
          <w:sz w:val="15"/>
          <w:szCs w:val="15"/>
          <w:shd w:val="clear" w:color="auto" w:fill="auto"/>
          <w:lang w:val="pt-PT" w:eastAsia="pt-PT" w:bidi="pt-PT"/>
        </w:rPr>
        <w:t>abaixo:</w:t>
      </w:r>
    </w:p>
    <w:p>
      <w:pPr>
        <w:pStyle w:val="Style10"/>
        <w:keepNext w:val="0"/>
        <w:keepLines w:val="0"/>
        <w:widowControl w:val="0"/>
        <w:shd w:val="clear" w:color="auto" w:fill="auto"/>
        <w:bidi w:val="0"/>
        <w:spacing w:before="0" w:after="2000" w:line="276" w:lineRule="auto"/>
        <w:ind w:left="0" w:right="0" w:firstLine="0"/>
        <w:jc w:val="both"/>
        <w:rPr>
          <w:sz w:val="15"/>
          <w:szCs w:val="15"/>
        </w:rPr>
      </w:pPr>
      <w:r>
        <w:fldChar w:fldCharType="begin"/>
      </w:r>
      <w:r>
        <w:rPr/>
        <w:instrText> HYPERLINK "https://referencia.poa.br/legislacao/" </w:instrText>
      </w:r>
      <w:r>
        <w:fldChar w:fldCharType="separate"/>
      </w:r>
      <w:r>
        <w:rPr>
          <w:i/>
          <w:iCs/>
          <w:color w:val="8A9AB2"/>
          <w:spacing w:val="0"/>
          <w:w w:val="100"/>
          <w:position w:val="0"/>
          <w:sz w:val="15"/>
          <w:szCs w:val="15"/>
          <w:shd w:val="clear" w:color="auto" w:fill="auto"/>
          <w:lang w:val="en-US" w:eastAsia="en-US" w:bidi="en-US"/>
        </w:rPr>
        <w:t>https://referencia.poa.br/legislacao/</w:t>
      </w:r>
      <w:r>
        <w:fldChar w:fldCharType="end"/>
      </w:r>
    </w:p>
    <w:p>
      <w:pPr>
        <w:widowControl w:val="0"/>
        <w:jc w:val="right"/>
        <w:rPr>
          <w:sz w:val="2"/>
          <w:szCs w:val="2"/>
        </w:rPr>
        <w:sectPr>
          <w:footnotePr>
            <w:pos w:val="pageBottom"/>
            <w:numFmt w:val="decimal"/>
            <w:numRestart w:val="continuous"/>
          </w:footnotePr>
          <w:type w:val="continuous"/>
          <w:pgSz w:w="11900" w:h="16840"/>
          <w:pgMar w:top="2017" w:left="1585" w:right="1589" w:bottom="322" w:header="0" w:footer="3" w:gutter="0"/>
          <w:cols w:space="720"/>
          <w:noEndnote/>
          <w:rtlGutter w:val="0"/>
          <w:docGrid w:linePitch="360"/>
        </w:sectPr>
      </w:pPr>
      <w:r>
        <w:drawing>
          <wp:inline>
            <wp:extent cx="567055" cy="25019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31"/>
                    <a:stretch/>
                  </pic:blipFill>
                  <pic:spPr>
                    <a:xfrm>
                      <a:ext cx="567055" cy="250190"/>
                    </a:xfrm>
                    <a:prstGeom prst="rect"/>
                  </pic:spPr>
                </pic:pic>
              </a:graphicData>
            </a:graphic>
          </wp:inline>
        </w:drawing>
      </w:r>
    </w:p>
    <w:p>
      <w:pPr>
        <w:pStyle w:val="Style10"/>
        <w:keepNext w:val="0"/>
        <w:keepLines w:val="0"/>
        <w:widowControl w:val="0"/>
        <w:shd w:val="clear" w:color="auto" w:fill="auto"/>
        <w:bidi w:val="0"/>
        <w:spacing w:before="0" w:after="0" w:line="307" w:lineRule="auto"/>
        <w:ind w:left="0" w:right="0" w:firstLine="0"/>
        <w:jc w:val="left"/>
        <w:rPr>
          <w:sz w:val="15"/>
          <w:szCs w:val="15"/>
        </w:rPr>
      </w:pPr>
      <w:r>
        <w:drawing>
          <wp:anchor distT="0" distB="0" distL="25400" distR="25400" simplePos="0" relativeHeight="125829431" behindDoc="0" locked="0" layoutInCell="1" allowOverlap="1">
            <wp:simplePos x="0" y="0"/>
            <wp:positionH relativeFrom="page">
              <wp:posOffset>4192905</wp:posOffset>
            </wp:positionH>
            <wp:positionV relativeFrom="margin">
              <wp:posOffset>151130</wp:posOffset>
            </wp:positionV>
            <wp:extent cx="262255" cy="286385"/>
            <wp:wrapSquare wrapText="left"/>
            <wp:docPr id="82" name="Shape 82"/>
            <a:graphic xmlns:a="http://schemas.openxmlformats.org/drawingml/2006/main">
              <a:graphicData uri="http://schemas.openxmlformats.org/drawingml/2006/picture">
                <pic:pic xmlns:pic="http://schemas.openxmlformats.org/drawingml/2006/picture">
                  <pic:nvPicPr>
                    <pic:cNvPr id="83" name="Picture box 83"/>
                    <pic:cNvPicPr/>
                  </pic:nvPicPr>
                  <pic:blipFill>
                    <a:blip r:embed="rId33"/>
                    <a:stretch/>
                  </pic:blipFill>
                  <pic:spPr>
                    <a:xfrm>
                      <a:ext cx="262255" cy="286385"/>
                    </a:xfrm>
                    <a:prstGeom prst="rect"/>
                  </pic:spPr>
                </pic:pic>
              </a:graphicData>
            </a:graphic>
          </wp:anchor>
        </w:drawing>
      </w:r>
      <w:r>
        <w:rPr>
          <w:b/>
          <w:bCs/>
          <w:color w:val="4E6896"/>
          <w:spacing w:val="0"/>
          <w:w w:val="100"/>
          <w:position w:val="0"/>
          <w:sz w:val="15"/>
          <w:szCs w:val="15"/>
          <w:shd w:val="clear" w:color="auto" w:fill="auto"/>
          <w:lang w:val="pt-PT" w:eastAsia="pt-PT" w:bidi="pt-PT"/>
        </w:rPr>
        <w:t xml:space="preserve">^CONJUNTURA </w:t>
      </w:r>
      <w:r>
        <w:rPr>
          <w:b/>
          <w:bCs/>
          <w:color w:val="4E6896"/>
          <w:spacing w:val="0"/>
          <w:w w:val="100"/>
          <w:position w:val="0"/>
          <w:sz w:val="15"/>
          <w:szCs w:val="15"/>
          <w:shd w:val="clear" w:color="auto" w:fill="auto"/>
          <w:lang w:val="pt-BR" w:eastAsia="pt-BR" w:bidi="pt-BR"/>
        </w:rPr>
        <w:t xml:space="preserve">ECONÔMICA </w:t>
      </w:r>
      <w:r>
        <w:rPr>
          <w:b/>
          <w:bCs/>
          <w:color w:val="4E6896"/>
          <w:spacing w:val="0"/>
          <w:w w:val="100"/>
          <w:position w:val="0"/>
          <w:sz w:val="15"/>
          <w:szCs w:val="15"/>
          <w:shd w:val="clear" w:color="auto" w:fill="auto"/>
          <w:lang w:val="pt-PT" w:eastAsia="pt-PT" w:bidi="pt-PT"/>
        </w:rPr>
        <w:t>E ANÁLISE DE MERCADO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 conjuntura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representa a configuração circunstancial da economia global e doméstica, traduzindo o comportamento dos principais indicadores e suas inter-relações. Esta seção tem por objetivo apresentar uma leitura analítica da realidade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recente e das </w:t>
      </w:r>
      <w:r>
        <w:rPr>
          <w:color w:val="000000"/>
          <w:spacing w:val="0"/>
          <w:w w:val="100"/>
          <w:position w:val="0"/>
          <w:shd w:val="clear" w:color="auto" w:fill="auto"/>
          <w:lang w:val="pt-BR" w:eastAsia="pt-BR" w:bidi="pt-BR"/>
        </w:rPr>
        <w:t xml:space="preserve">perspectivas </w:t>
      </w:r>
      <w:r>
        <w:rPr>
          <w:color w:val="000000"/>
          <w:spacing w:val="0"/>
          <w:w w:val="100"/>
          <w:position w:val="0"/>
          <w:shd w:val="clear" w:color="auto" w:fill="auto"/>
          <w:lang w:val="pt-PT" w:eastAsia="pt-PT" w:bidi="pt-PT"/>
        </w:rPr>
        <w:t xml:space="preserve">que deverão pautar a política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ao longo de 2026. O foco recai sobre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de mercado, que constituem o principal instrumento de sinalização para decisões de investimento e formulação de políticas. A partir da análise dos indicadores selecionados, são identificadas as tendências e desafios que deverão orientar a condução da política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nacional e internacional no decorrer do próximo exercício. Análise e Projeções 2025/2026</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O cenário global de 2025 se </w:t>
      </w:r>
      <w:r>
        <w:rPr>
          <w:color w:val="000000"/>
          <w:spacing w:val="0"/>
          <w:w w:val="100"/>
          <w:position w:val="0"/>
          <w:shd w:val="clear" w:color="auto" w:fill="auto"/>
          <w:lang w:val="pt-BR" w:eastAsia="pt-BR" w:bidi="pt-BR"/>
        </w:rPr>
        <w:t xml:space="preserve">caracteriza </w:t>
      </w:r>
      <w:r>
        <w:rPr>
          <w:color w:val="000000"/>
          <w:spacing w:val="0"/>
          <w:w w:val="100"/>
          <w:position w:val="0"/>
          <w:shd w:val="clear" w:color="auto" w:fill="auto"/>
          <w:lang w:val="pt-PT" w:eastAsia="pt-PT" w:bidi="pt-PT"/>
        </w:rPr>
        <w:t xml:space="preserve">por um ambiente de estabilização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com inflação em trajetória de queda e políticas monetárias gradualmente menos restritivas, embora haja persistência dos riscos fiscais, sobretudo nas economias emergentes. As projeções de instituições como a Organização para Cooperação e Desenvolvimento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 xml:space="preserve">(OCDE) e o Fundo Monetário Internacional (FMI) fornecem uma visão abrangente das tendências </w:t>
      </w:r>
      <w:r>
        <w:rPr>
          <w:color w:val="000000"/>
          <w:spacing w:val="0"/>
          <w:w w:val="100"/>
          <w:position w:val="0"/>
          <w:shd w:val="clear" w:color="auto" w:fill="auto"/>
          <w:lang w:val="pt-BR" w:eastAsia="pt-BR" w:bidi="pt-BR"/>
        </w:rPr>
        <w:t xml:space="preserve">econômicas </w:t>
      </w:r>
      <w:r>
        <w:rPr>
          <w:color w:val="000000"/>
          <w:spacing w:val="0"/>
          <w:w w:val="100"/>
          <w:position w:val="0"/>
          <w:shd w:val="clear" w:color="auto" w:fill="auto"/>
          <w:lang w:val="pt-PT" w:eastAsia="pt-PT" w:bidi="pt-PT"/>
        </w:rPr>
        <w:t>esperadas para o encerramento de 2025 e para o decorrer de 2026.</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 OCDE projeta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do crescimento global para o presente </w:t>
      </w:r>
      <w:r>
        <w:rPr>
          <w:color w:val="000000"/>
          <w:spacing w:val="0"/>
          <w:w w:val="100"/>
          <w:position w:val="0"/>
          <w:shd w:val="clear" w:color="auto" w:fill="auto"/>
          <w:lang w:val="pt-BR" w:eastAsia="pt-BR" w:bidi="pt-BR"/>
        </w:rPr>
        <w:t xml:space="preserve">biênio, </w:t>
      </w:r>
      <w:r>
        <w:rPr>
          <w:color w:val="000000"/>
          <w:spacing w:val="0"/>
          <w:w w:val="100"/>
          <w:position w:val="0"/>
          <w:shd w:val="clear" w:color="auto" w:fill="auto"/>
          <w:lang w:val="pt-PT" w:eastAsia="pt-PT" w:bidi="pt-PT"/>
        </w:rPr>
        <w:t xml:space="preserve">com taxas de 3,2% em 2025 e de 2,9% em 2026, ou seja, levemente abaixo dos 3,3% registrados em 2024. Essa moderação é atribuída à redução da demanda interna em várias economias, ao impacto das políticas monetárias restritivas e à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do comércio internacional. Contudo, cabe destacar que as últimas projeções divulgadas em setembro melhoraram frente à publicação imediatamente anterior, realizada na metade de 2025. Isto porque, o diagnóstico é de uma maior resiliência da economia global frente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tarifas comercias impostas pelo governo </w:t>
      </w:r>
      <w:r>
        <w:rPr>
          <w:color w:val="000000"/>
          <w:spacing w:val="0"/>
          <w:w w:val="100"/>
          <w:position w:val="0"/>
          <w:shd w:val="clear" w:color="auto" w:fill="auto"/>
          <w:lang w:val="pt-BR" w:eastAsia="pt-BR" w:bidi="pt-BR"/>
        </w:rPr>
        <w:t xml:space="preserve">norte-americano, </w:t>
      </w:r>
      <w:r>
        <w:rPr>
          <w:color w:val="000000"/>
          <w:spacing w:val="0"/>
          <w:w w:val="100"/>
          <w:position w:val="0"/>
          <w:shd w:val="clear" w:color="auto" w:fill="auto"/>
          <w:lang w:val="pt-PT" w:eastAsia="pt-PT" w:bidi="pt-PT"/>
        </w:rPr>
        <w:t>cujos efeitos negativos acabaram ficando aquém do inicialmente previsto.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 xml:space="preserve">Somam-se </w:t>
      </w:r>
      <w:r>
        <w:rPr>
          <w:color w:val="000000"/>
          <w:spacing w:val="0"/>
          <w:w w:val="100"/>
          <w:position w:val="0"/>
          <w:shd w:val="clear" w:color="auto" w:fill="auto"/>
          <w:lang w:val="pt-PT" w:eastAsia="pt-PT" w:bidi="pt-PT"/>
        </w:rPr>
        <w:t xml:space="preserve">a isso os fortes investimentos relativos à Inteligência Artificial nos EUA e o aumento dos incentivos fiscais na China, que corroboraram a melhora nas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do mercado.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linha com a OCDE, o FMI também revisou para cima suas projeções de crescimento global, estimando expansões de 3,3% em 2025 e de 3,3% em 2026. Além dos fatores já citados pela OCDE, o FMI também destaca a continuidade das tensões geopolíticas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incertezas advindas da política comercial, variáveis que teriam seus impactos sopesados por melhores condições financeiras e fiscais em algumas economias do mundo.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 xml:space="preserve">Especificamente </w:t>
      </w:r>
      <w:r>
        <w:rPr>
          <w:color w:val="000000"/>
          <w:spacing w:val="0"/>
          <w:w w:val="100"/>
          <w:position w:val="0"/>
          <w:shd w:val="clear" w:color="auto" w:fill="auto"/>
          <w:lang w:val="pt-PT" w:eastAsia="pt-PT" w:bidi="pt-PT"/>
        </w:rPr>
        <w:t xml:space="preserve">no que se refere aos Estados Unidos, o FMI projeta um crescimento de 2,2% em 2025, acelerando levemente para 2,4% em 2026. Tais projeções são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otimistas na comparação com o último relatório divulgado pela OCDE, que estima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 xml:space="preserve">expansões da 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norte americana de 2,0% para 2025 e de 1,7% para 2026. Além das incertezas comerciais, a política de imigração do país com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 xml:space="preserve">reflexos sobre a força de trabalho também pesou negativamente nas projeções de crescimento </w:t>
      </w:r>
      <w:r>
        <w:rPr>
          <w:color w:val="000000"/>
          <w:spacing w:val="0"/>
          <w:w w:val="100"/>
          <w:position w:val="0"/>
          <w:shd w:val="clear" w:color="auto" w:fill="auto"/>
          <w:lang w:val="pt-BR" w:eastAsia="pt-BR" w:bidi="pt-BR"/>
        </w:rPr>
        <w:t>econômico.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Já a economia chinesa continua com sua trajetória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O FMI projeta um crescimento de 4,8% em 2025, caindo para 4,5% em 2026. Essa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é influenciada pela demanda doméstica moderada, ajustes no mercado imobiliário e desafios estruturais, com o recuo sendo menos acentuado em</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2025 em vista dos já referidos incentivos fiscais lançados este ano. Não obstante, a OCDE prevê crescimentos de 4,7% em 2025 e de 4,4% para 2026, estimativas pouco superiores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divulgadas em outubro pelo FMI.</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que tange ao Brasil, as projeções de crescimento indicam um cenário desafiador. Enquanto o FMI projeta crescimentos de 2,4% em 2025 e de 1,6% em 2026, a OCDE sinalizas taxas ainda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pessimistas, estimando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 xml:space="preserve">expansões de 2,4% em 2025 e de 1,7% em 2026. Em suma, ambas as previsões projetam crescimento moderado para 2025 acompanhado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gradual para 2026, refletindo uma combinação de fatores internos e externos que influenciam a economia brasileira, incluindo as questões de ordem monetária e fiscal, reformas estruturantes e as incertezas advindas da política comercial norte americana.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Sob o ponto de vista fiscal, o Brasil continua enfrentando desafios significativos em relação ao equilíbrio das contas públicas. Após registrar um déficit primário de R$ 43 bilhões em 2024, o governo central manteve o compromisso com a meta fiscal estabelecida na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 xml:space="preserve">(LDO), que visava um resultado primário zero, considerando as deduções legais. No entanto, a projeção para 2025 indica um déficit primário de R$ 68,2 bilhões, ligeiramente abaixo da previsão anterior de R$ 69,9 bilhões, </w:t>
      </w:r>
      <w:r>
        <w:rPr>
          <w:color w:val="000000"/>
          <w:spacing w:val="0"/>
          <w:w w:val="100"/>
          <w:position w:val="0"/>
          <w:shd w:val="clear" w:color="auto" w:fill="auto"/>
          <w:lang w:val="pt-BR" w:eastAsia="pt-BR" w:bidi="pt-BR"/>
        </w:rPr>
        <w:t xml:space="preserve">destacando- se </w:t>
      </w:r>
      <w:r>
        <w:rPr>
          <w:color w:val="000000"/>
          <w:spacing w:val="0"/>
          <w:w w:val="100"/>
          <w:position w:val="0"/>
          <w:shd w:val="clear" w:color="auto" w:fill="auto"/>
          <w:lang w:val="pt-PT" w:eastAsia="pt-PT" w:bidi="pt-PT"/>
        </w:rPr>
        <w:t xml:space="preserve">que no acumulado entre os meses de janeiro a agosto o déficit primário já alcança a marca de 0,74% do </w:t>
      </w:r>
      <w:r>
        <w:rPr>
          <w:color w:val="000000"/>
          <w:spacing w:val="0"/>
          <w:w w:val="100"/>
          <w:position w:val="0"/>
          <w:shd w:val="clear" w:color="auto" w:fill="auto"/>
          <w:lang w:val="pt-BR" w:eastAsia="pt-BR" w:bidi="pt-BR"/>
        </w:rPr>
        <w:t>PIB.</w:t>
      </w:r>
    </w:p>
    <w:p>
      <w:pPr>
        <w:pStyle w:val="Style10"/>
        <w:keepNext w:val="0"/>
        <w:keepLines w:val="0"/>
        <w:widowControl w:val="0"/>
        <w:shd w:val="clear" w:color="auto" w:fill="auto"/>
        <w:bidi w:val="0"/>
        <w:spacing w:before="0" w:after="0"/>
        <w:ind w:left="0" w:right="0" w:firstLine="0"/>
        <w:jc w:val="left"/>
      </w:pPr>
      <w:r>
        <w:drawing>
          <wp:anchor distT="0" distB="0" distL="114300" distR="114300" simplePos="0" relativeHeight="125829432" behindDoc="0" locked="0" layoutInCell="1" allowOverlap="1">
            <wp:simplePos x="0" y="0"/>
            <wp:positionH relativeFrom="page">
              <wp:posOffset>6122035</wp:posOffset>
            </wp:positionH>
            <wp:positionV relativeFrom="margin">
              <wp:posOffset>8462645</wp:posOffset>
            </wp:positionV>
            <wp:extent cx="1109345" cy="487680"/>
            <wp:wrapSquare wrapText="bothSides"/>
            <wp:docPr id="84" name="Shape 84"/>
            <a:graphic xmlns:a="http://schemas.openxmlformats.org/drawingml/2006/main">
              <a:graphicData uri="http://schemas.openxmlformats.org/drawingml/2006/picture">
                <pic:pic xmlns:pic="http://schemas.openxmlformats.org/drawingml/2006/picture">
                  <pic:nvPicPr>
                    <pic:cNvPr id="85" name="Picture box 85"/>
                    <pic:cNvPicPr/>
                  </pic:nvPicPr>
                  <pic:blipFill>
                    <a:blip r:embed="rId35"/>
                    <a:stretch/>
                  </pic:blipFill>
                  <pic:spPr>
                    <a:xfrm>
                      <a:ext cx="1109345" cy="487680"/>
                    </a:xfrm>
                    <a:prstGeom prst="rect"/>
                  </pic:spPr>
                </pic:pic>
              </a:graphicData>
            </a:graphic>
          </wp:anchor>
        </w:drawing>
      </w: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de queda do déficit primário no intervalo das duas últimas projeções reflete tendência de aumento na arrecadação, que deve alcançar R$ 2,32 trilhões, e uma leve elevação nas despesas totais, estimadas em R$ 2,39 trilhões. Apesar desse ajuste, o déficit primário ainda ultrapassa o limite inferior da meta fiscal, que permite um desvio de até R$ 31 bilhões.</w:t>
      </w:r>
    </w:p>
    <w:p>
      <w:pPr>
        <w:widowControl w:val="0"/>
        <w:jc w:val="left"/>
        <w:rPr>
          <w:sz w:val="2"/>
          <w:szCs w:val="2"/>
        </w:rPr>
      </w:pPr>
      <w:r>
        <w:drawing>
          <wp:inline>
            <wp:extent cx="4340225" cy="1286510"/>
            <wp:docPr id="86" name="Picutre 86"/>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37"/>
                    <a:stretch/>
                  </pic:blipFill>
                  <pic:spPr>
                    <a:xfrm>
                      <a:ext cx="4340225" cy="1286510"/>
                    </a:xfrm>
                    <a:prstGeom prst="rect"/>
                  </pic:spPr>
                </pic:pic>
              </a:graphicData>
            </a:graphic>
          </wp:inline>
        </w:drawing>
      </w:r>
    </w:p>
    <w:p>
      <w:pPr>
        <w:pStyle w:val="Style25"/>
        <w:keepNext w:val="0"/>
        <w:keepLines w:val="0"/>
        <w:widowControl w:val="0"/>
        <w:shd w:val="clear" w:color="auto" w:fill="auto"/>
        <w:bidi w:val="0"/>
        <w:spacing w:before="0" w:after="0" w:line="240" w:lineRule="auto"/>
        <w:ind w:left="281"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2003 2004 2005 2006 2007 2008 2009 2010 2011 2012 2013 2014 2015 2016 2017 2018 2019 2020 2021 2022 2023 2024 2025’</w:t>
      </w:r>
    </w:p>
    <w:p>
      <w:pPr>
        <w:widowControl w:val="0"/>
        <w:spacing w:after="359" w:line="1" w:lineRule="exact"/>
      </w:pPr>
    </w:p>
    <w:p>
      <w:pPr>
        <w:pStyle w:val="Style42"/>
        <w:keepNext w:val="0"/>
        <w:keepLines w:val="0"/>
        <w:widowControl w:val="0"/>
        <w:shd w:val="clear" w:color="auto" w:fill="auto"/>
        <w:bidi w:val="0"/>
        <w:spacing w:before="0" w:after="180" w:line="240" w:lineRule="auto"/>
        <w:ind w:left="2860" w:right="0" w:firstLine="0"/>
        <w:jc w:val="left"/>
      </w:pPr>
      <w:r>
        <w:rPr>
          <w:color w:val="000000"/>
          <w:spacing w:val="0"/>
          <w:w w:val="100"/>
          <w:position w:val="0"/>
          <w:shd w:val="clear" w:color="auto" w:fill="auto"/>
          <w:lang w:val="pt-PT" w:eastAsia="pt-PT" w:bidi="pt-PT"/>
        </w:rPr>
        <w:t>■ Juros Nominais —■ i I Resultado Pr.máno</w:t>
      </w:r>
    </w:p>
    <w:p>
      <w:pPr>
        <w:pStyle w:val="Style10"/>
        <w:keepNext w:val="0"/>
        <w:keepLines w:val="0"/>
        <w:widowControl w:val="0"/>
        <w:shd w:val="clear" w:color="auto" w:fill="auto"/>
        <w:bidi w:val="0"/>
        <w:spacing w:before="0" w:after="0" w:line="290" w:lineRule="auto"/>
        <w:ind w:left="0" w:right="1740" w:firstLine="0"/>
        <w:jc w:val="left"/>
      </w:pPr>
      <w:r>
        <w:rPr>
          <w:color w:val="000000"/>
          <w:spacing w:val="0"/>
          <w:w w:val="100"/>
          <w:position w:val="0"/>
          <w:shd w:val="clear" w:color="auto" w:fill="auto"/>
          <w:lang w:val="pt-PT" w:eastAsia="pt-PT" w:bidi="pt-PT"/>
        </w:rPr>
        <w:t xml:space="preserve">Gráfico 1 </w:t>
      </w:r>
      <w:r>
        <w:rPr>
          <w:color w:val="000000"/>
          <w:spacing w:val="0"/>
          <w:w w:val="100"/>
          <w:position w:val="0"/>
          <w:shd w:val="clear" w:color="auto" w:fill="auto"/>
          <w:lang w:val="pt-BR" w:eastAsia="pt-BR" w:bidi="pt-BR"/>
        </w:rPr>
        <w:t xml:space="preserve">SupcráviiüRfimáfiOiailuros </w:t>
      </w:r>
      <w:r>
        <w:rPr>
          <w:color w:val="000000"/>
          <w:spacing w:val="0"/>
          <w:w w:val="100"/>
          <w:position w:val="0"/>
          <w:shd w:val="clear" w:color="auto" w:fill="auto"/>
          <w:lang w:val="pt-PT" w:eastAsia="pt-PT" w:bidi="pt-PT"/>
        </w:rPr>
        <w:t>Nominais e Déficit Público Fonte: Secretaria do Tesouro Nacional</w:t>
      </w:r>
    </w:p>
    <w:p>
      <w:pPr>
        <w:pStyle w:val="Style10"/>
        <w:keepNext w:val="0"/>
        <w:keepLines w:val="0"/>
        <w:widowControl w:val="0"/>
        <w:shd w:val="clear" w:color="auto" w:fill="auto"/>
        <w:bidi w:val="0"/>
        <w:spacing w:before="0" w:after="180" w:line="290" w:lineRule="auto"/>
        <w:ind w:left="0" w:right="0" w:firstLine="0"/>
        <w:jc w:val="left"/>
      </w:pPr>
      <w:r>
        <w:rPr>
          <w:color w:val="000000"/>
          <w:spacing w:val="0"/>
          <w:w w:val="100"/>
          <w:position w:val="0"/>
          <w:shd w:val="clear" w:color="auto" w:fill="auto"/>
          <w:lang w:val="pt-PT" w:eastAsia="pt-PT" w:bidi="pt-PT"/>
        </w:rPr>
        <w:t xml:space="preserve">OBS: Os dados de 2025 </w:t>
      </w:r>
      <w:r>
        <w:rPr>
          <w:color w:val="000000"/>
          <w:spacing w:val="0"/>
          <w:w w:val="100"/>
          <w:position w:val="0"/>
          <w:shd w:val="clear" w:color="auto" w:fill="auto"/>
          <w:lang w:val="pt-BR" w:eastAsia="pt-BR" w:bidi="pt-BR"/>
        </w:rPr>
        <w:t xml:space="preserve">referem-se </w:t>
      </w:r>
      <w:r>
        <w:rPr>
          <w:color w:val="000000"/>
          <w:spacing w:val="0"/>
          <w:w w:val="100"/>
          <w:position w:val="0"/>
          <w:shd w:val="clear" w:color="auto" w:fill="auto"/>
          <w:lang w:val="pt-PT" w:eastAsia="pt-PT" w:bidi="pt-PT"/>
        </w:rPr>
        <w:t>ao acumulado entre os meses de janeiro a agosto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Para 2026, o governo projeta um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 xml:space="preserve">primário de R$ 38,2 bilhões (0,3%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conforme estabelecido na proposta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enviada ao Congresso em agosto de 2025. Contudo, essa estimativa exclui despesas de R$ 59 bilhões, principalmente relacionadas a precatórios, que não são contabilizadas para fins da meta fiscal. Se essas despesas forem consideradas, o resultado primário projetado seria um déficit de R$ 20,8 bilhões, ou 0,15%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Essa prática de exclusão tem gerado críticas, pois pode mascarar a verdadeira situação fiscal do país.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relação à dívida pública, a Dívida Bruta do Governo Geral (DBGG) apresentou trajetória ascendente nos últimos anos. Em 2024, a DBGG alcançou 78,5%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e as projeções indicam que esse indicador atingirá 77,8%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em 2025 e 80,3%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em 2026. Esse aumento é atribuído principalmente ao elevado custo da dívida, impulsionado pelas altas taxas de juros, que impactam diretamente o resultado nominal, indicando uma trajetória de endividamento crescente, o que pode comprometer a sustentabilidade fiscal do país no longo prazo.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resumo, o Brasil apresenta um complicado cenário fiscal, com déficits primários persistentes e uma trajetória de endividamento em ascensão. Embora haja esforços para alcançar o equilíbrio fiscal, as projeções indicam que o país ainda está distante de atingir uma situação sustentável, exigindo medidas adicionais para conter o crescimento da dívida e garantir a estabilidade </w:t>
      </w:r>
      <w:r>
        <w:rPr>
          <w:color w:val="000000"/>
          <w:spacing w:val="0"/>
          <w:w w:val="100"/>
          <w:position w:val="0"/>
          <w:shd w:val="clear" w:color="auto" w:fill="auto"/>
          <w:lang w:val="pt-BR" w:eastAsia="pt-BR" w:bidi="pt-BR"/>
        </w:rPr>
        <w:t>econômica.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 persistência de déficits primários e a trajetória de endividamento elevada tiveram impacto direto na condução da política monetária ao longo de 2025. A necessidade de conter pressões inflacionárias e manter a confiança do investidor levou o Banco Central a adotar uma postura cautelosa em relação à Selic, equilibrando pequenas elevações e manutenções da taxa ao longo do ano. Esse cenário de juros relativamente elevados e voláteis influenciou diretamente o desempenho dos títulos de renda fixa, favorecendo a rentabilidade dos subíndices IMA, especialmente daqueles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sensíveis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oscilações da taxa básica de juros.</w:t>
      </w:r>
    </w:p>
    <w:p>
      <w:pPr>
        <w:pStyle w:val="Style10"/>
        <w:keepNext w:val="0"/>
        <w:keepLines w:val="0"/>
        <w:widowControl w:val="0"/>
        <w:shd w:val="clear" w:color="auto" w:fill="auto"/>
        <w:bidi w:val="0"/>
        <w:spacing w:before="0" w:after="180"/>
        <w:ind w:left="0" w:right="0" w:firstLine="0"/>
        <w:jc w:val="left"/>
      </w:pPr>
      <w:r>
        <w:rPr>
          <w:color w:val="000000"/>
          <w:spacing w:val="0"/>
          <w:w w:val="100"/>
          <w:position w:val="0"/>
          <w:shd w:val="clear" w:color="auto" w:fill="auto"/>
          <w:lang w:val="pt-PT" w:eastAsia="pt-PT" w:bidi="pt-PT"/>
        </w:rPr>
        <w:t xml:space="preserve">Os dados da Anbima indicam que, entre janeiro e setembro de 2025, todos os subíndices do IMA apresentaram desempenho superior à meta atuarial (IPCA+6%), com destaque para o IRF-M (+18,22%) e o IRF-M1+ (+20,07%). O resultado reflete o aumento do apetite por papéis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longos e a valorização dos títulos prefixados em meio à oscilação dos juros. Esse movimento sugere melhora nas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de médio prazo e maior sensibilidade do mercado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sinalizações do Banco Central.</w:t>
      </w:r>
    </w:p>
    <w:tbl>
      <w:tblPr>
        <w:tblOverlap w:val="never"/>
        <w:jc w:val="center"/>
        <w:tblLayout w:type="fixed"/>
      </w:tblPr>
      <w:tblGrid>
        <w:gridCol w:w="1202"/>
        <w:gridCol w:w="1814"/>
        <w:gridCol w:w="2714"/>
      </w:tblGrid>
      <w:tr>
        <w:trPr>
          <w:trHeight w:val="2131" w:hRule="exact"/>
        </w:trPr>
        <w:tc>
          <w:tcPr>
            <w:tcBorders/>
            <w:shd w:val="clear" w:color="auto" w:fill="77B6F5"/>
            <w:vAlign w:val="center"/>
          </w:tcPr>
          <w:p>
            <w:pPr>
              <w:pStyle w:val="Style7"/>
              <w:keepNext w:val="0"/>
              <w:keepLines w:val="0"/>
              <w:widowControl w:val="0"/>
              <w:pBdr>
                <w:top w:val="single" w:sz="0" w:space="0" w:color="78B9F6"/>
                <w:left w:val="single" w:sz="0" w:space="0" w:color="78B9F6"/>
                <w:bottom w:val="single" w:sz="0" w:space="0" w:color="78B9F6"/>
                <w:right w:val="single" w:sz="0" w:space="0" w:color="78B9F6"/>
              </w:pBdr>
              <w:shd w:val="clear" w:color="auto" w:fill="78B9F6"/>
              <w:bidi w:val="0"/>
              <w:spacing w:before="0" w:after="0" w:line="240" w:lineRule="auto"/>
              <w:ind w:left="0" w:right="0" w:firstLine="0"/>
              <w:jc w:val="left"/>
              <w:rPr>
                <w:sz w:val="15"/>
                <w:szCs w:val="15"/>
              </w:rPr>
            </w:pPr>
            <w:r>
              <w:rPr>
                <w:b/>
                <w:bCs/>
                <w:color w:val="FFFFFF"/>
                <w:spacing w:val="0"/>
                <w:w w:val="100"/>
                <w:position w:val="0"/>
                <w:sz w:val="15"/>
                <w:szCs w:val="15"/>
                <w:shd w:val="clear" w:color="auto" w:fill="auto"/>
                <w:lang w:val="pt-PT" w:eastAsia="pt-PT" w:bidi="pt-PT"/>
              </w:rPr>
              <w:t>Indicador</w:t>
            </w:r>
          </w:p>
        </w:tc>
        <w:tc>
          <w:tcPr>
            <w:tcBorders/>
            <w:shd w:val="clear" w:color="auto" w:fill="77B6F5"/>
            <w:vAlign w:val="center"/>
          </w:tcPr>
          <w:p>
            <w:pPr>
              <w:pStyle w:val="Style7"/>
              <w:keepNext w:val="0"/>
              <w:keepLines w:val="0"/>
              <w:widowControl w:val="0"/>
              <w:pBdr>
                <w:top w:val="single" w:sz="0" w:space="0" w:color="76B8F5"/>
                <w:left w:val="single" w:sz="0" w:space="0" w:color="76B8F5"/>
                <w:bottom w:val="single" w:sz="0" w:space="0" w:color="76B8F5"/>
                <w:right w:val="single" w:sz="0" w:space="0" w:color="76B8F5"/>
              </w:pBdr>
              <w:shd w:val="clear" w:color="auto" w:fill="76B8F5"/>
              <w:bidi w:val="0"/>
              <w:spacing w:before="0" w:after="0" w:line="290" w:lineRule="auto"/>
              <w:ind w:left="180" w:right="0" w:firstLine="0"/>
              <w:jc w:val="both"/>
              <w:rPr>
                <w:sz w:val="15"/>
                <w:szCs w:val="15"/>
              </w:rPr>
            </w:pPr>
            <w:r>
              <w:rPr>
                <w:b/>
                <w:bCs/>
                <w:color w:val="FFFFFF"/>
                <w:spacing w:val="0"/>
                <w:w w:val="100"/>
                <w:position w:val="0"/>
                <w:sz w:val="15"/>
                <w:szCs w:val="15"/>
                <w:shd w:val="clear" w:color="auto" w:fill="auto"/>
                <w:lang w:val="pt-PT" w:eastAsia="pt-PT" w:bidi="pt-PT"/>
              </w:rPr>
              <w:t>Retorno no ano 01/01/2025 até</w:t>
            </w:r>
          </w:p>
          <w:p>
            <w:pPr>
              <w:pStyle w:val="Style7"/>
              <w:keepNext w:val="0"/>
              <w:keepLines w:val="0"/>
              <w:widowControl w:val="0"/>
              <w:pBdr>
                <w:top w:val="single" w:sz="0" w:space="0" w:color="76B8F5"/>
                <w:left w:val="single" w:sz="0" w:space="0" w:color="76B8F5"/>
                <w:bottom w:val="single" w:sz="0" w:space="0" w:color="76B8F5"/>
                <w:right w:val="single" w:sz="0" w:space="0" w:color="76B8F5"/>
              </w:pBdr>
              <w:shd w:val="clear" w:color="auto" w:fill="76B8F5"/>
              <w:bidi w:val="0"/>
              <w:spacing w:before="0" w:after="0" w:line="290" w:lineRule="auto"/>
              <w:ind w:left="180" w:right="0" w:firstLine="0"/>
              <w:jc w:val="both"/>
              <w:rPr>
                <w:sz w:val="15"/>
                <w:szCs w:val="15"/>
              </w:rPr>
            </w:pPr>
            <w:r>
              <w:rPr>
                <w:b/>
                <w:bCs/>
                <w:color w:val="FFFFFF"/>
                <w:spacing w:val="0"/>
                <w:w w:val="100"/>
                <w:position w:val="0"/>
                <w:sz w:val="15"/>
                <w:szCs w:val="15"/>
                <w:shd w:val="clear" w:color="auto" w:fill="auto"/>
                <w:lang w:val="pt-PT" w:eastAsia="pt-PT" w:bidi="pt-PT"/>
              </w:rPr>
              <w:t>31/12/2025</w:t>
            </w:r>
          </w:p>
        </w:tc>
        <w:tc>
          <w:tcPr>
            <w:tcBorders/>
            <w:shd w:val="clear" w:color="auto" w:fill="77B6F5"/>
            <w:vAlign w:val="center"/>
          </w:tcPr>
          <w:p>
            <w:pPr>
              <w:pStyle w:val="Style7"/>
              <w:keepNext w:val="0"/>
              <w:keepLines w:val="0"/>
              <w:widowControl w:val="0"/>
              <w:pBdr>
                <w:top w:val="single" w:sz="0" w:space="0" w:color="77B9F6"/>
                <w:left w:val="single" w:sz="0" w:space="0" w:color="77B9F6"/>
                <w:bottom w:val="single" w:sz="0" w:space="0" w:color="77B9F6"/>
                <w:right w:val="single" w:sz="0" w:space="0" w:color="77B9F6"/>
              </w:pBdr>
              <w:shd w:val="clear" w:color="auto" w:fill="77B9F6"/>
              <w:bidi w:val="0"/>
              <w:spacing w:before="0" w:after="0" w:line="300" w:lineRule="auto"/>
              <w:ind w:left="160" w:right="0" w:firstLine="0"/>
              <w:jc w:val="left"/>
              <w:rPr>
                <w:sz w:val="15"/>
                <w:szCs w:val="15"/>
              </w:rPr>
            </w:pPr>
            <w:r>
              <w:rPr>
                <w:b/>
                <w:bCs/>
                <w:color w:val="FFFFFF"/>
                <w:spacing w:val="0"/>
                <w:w w:val="100"/>
                <w:position w:val="0"/>
                <w:sz w:val="15"/>
                <w:szCs w:val="15"/>
                <w:shd w:val="clear" w:color="auto" w:fill="auto"/>
                <w:lang w:val="pt-PT" w:eastAsia="pt-PT" w:bidi="pt-PT"/>
              </w:rPr>
              <w:t>Meta de Política de Investimento - IPCA+6% 01/01/2025 até</w:t>
            </w:r>
          </w:p>
          <w:p>
            <w:pPr>
              <w:pStyle w:val="Style7"/>
              <w:keepNext w:val="0"/>
              <w:keepLines w:val="0"/>
              <w:widowControl w:val="0"/>
              <w:pBdr>
                <w:top w:val="single" w:sz="0" w:space="0" w:color="77B9F6"/>
                <w:left w:val="single" w:sz="0" w:space="0" w:color="77B9F6"/>
                <w:bottom w:val="single" w:sz="0" w:space="0" w:color="77B9F6"/>
                <w:right w:val="single" w:sz="0" w:space="0" w:color="77B9F6"/>
              </w:pBdr>
              <w:shd w:val="clear" w:color="auto" w:fill="77B9F6"/>
              <w:bidi w:val="0"/>
              <w:spacing w:before="0" w:after="0" w:line="300" w:lineRule="auto"/>
              <w:ind w:left="160" w:right="0" w:firstLine="0"/>
              <w:jc w:val="left"/>
              <w:rPr>
                <w:sz w:val="15"/>
                <w:szCs w:val="15"/>
              </w:rPr>
            </w:pPr>
            <w:r>
              <w:rPr>
                <w:b/>
                <w:bCs/>
                <w:color w:val="FFFFFF"/>
                <w:spacing w:val="0"/>
                <w:w w:val="100"/>
                <w:position w:val="0"/>
                <w:sz w:val="15"/>
                <w:szCs w:val="15"/>
                <w:shd w:val="clear" w:color="auto" w:fill="auto"/>
                <w:lang w:val="pt-PT" w:eastAsia="pt-PT" w:bidi="pt-PT"/>
              </w:rPr>
              <w:t>31/12/2025</w:t>
            </w:r>
          </w:p>
        </w:tc>
      </w:tr>
      <w:tr>
        <w:trPr>
          <w:trHeight w:val="338"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 Geral</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180" w:right="0" w:firstLine="0"/>
              <w:jc w:val="both"/>
            </w:pPr>
            <w:r>
              <w:rPr>
                <w:color w:val="000000"/>
                <w:spacing w:val="0"/>
                <w:w w:val="100"/>
                <w:position w:val="0"/>
                <w:shd w:val="clear" w:color="auto" w:fill="auto"/>
                <w:lang w:val="pt-PT" w:eastAsia="pt-PT" w:bidi="pt-PT"/>
              </w:rPr>
              <w:t>14,83%</w:t>
            </w:r>
          </w:p>
        </w:tc>
        <w:tc>
          <w:tcPr>
            <w:tcBorders/>
            <w:shd w:val="clear" w:color="auto" w:fill="FFFFFF"/>
            <w:vAlign w:val="top"/>
          </w:tcPr>
          <w:p>
            <w:pPr>
              <w:widowControl w:val="0"/>
              <w:rPr>
                <w:sz w:val="10"/>
                <w:szCs w:val="10"/>
              </w:rPr>
            </w:pPr>
          </w:p>
        </w:tc>
      </w:tr>
      <w:tr>
        <w:trPr>
          <w:trHeight w:val="317"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IMA-B</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180" w:right="0" w:firstLine="0"/>
              <w:jc w:val="both"/>
            </w:pPr>
            <w:r>
              <w:rPr>
                <w:color w:val="000000"/>
                <w:spacing w:val="0"/>
                <w:w w:val="100"/>
                <w:position w:val="0"/>
                <w:shd w:val="clear" w:color="auto" w:fill="auto"/>
                <w:lang w:val="pt-PT" w:eastAsia="pt-PT" w:bidi="pt-PT"/>
              </w:rPr>
              <w:t>13,17%</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PT" w:eastAsia="pt-PT" w:bidi="pt-PT"/>
              </w:rPr>
              <w:t>10,52%</w:t>
            </w:r>
          </w:p>
        </w:tc>
      </w:tr>
      <w:tr>
        <w:trPr>
          <w:trHeight w:val="353"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IMA-B5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180" w:right="0" w:firstLine="0"/>
              <w:jc w:val="both"/>
            </w:pPr>
            <w:r>
              <w:rPr>
                <w:color w:val="000000"/>
                <w:spacing w:val="0"/>
                <w:w w:val="100"/>
                <w:position w:val="0"/>
                <w:shd w:val="clear" w:color="auto" w:fill="auto"/>
                <w:lang w:val="pt-PT" w:eastAsia="pt-PT" w:bidi="pt-PT"/>
              </w:rPr>
              <w:t>11,65%</w:t>
            </w:r>
          </w:p>
        </w:tc>
        <w:tc>
          <w:tcPr>
            <w:tcBorders/>
            <w:shd w:val="clear" w:color="auto" w:fill="FFFFFF"/>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132715" distL="0" distR="0" simplePos="0" relativeHeight="125829433" behindDoc="0" locked="0" layoutInCell="1" allowOverlap="1">
                <wp:simplePos x="0" y="0"/>
                <wp:positionH relativeFrom="page">
                  <wp:posOffset>1957070</wp:posOffset>
                </wp:positionH>
                <wp:positionV relativeFrom="paragraph">
                  <wp:posOffset>0</wp:posOffset>
                </wp:positionV>
                <wp:extent cx="1974850" cy="1056005"/>
                <wp:wrapTopAndBottom/>
                <wp:docPr id="87" name="Shape 87"/>
                <a:graphic xmlns:a="http://schemas.openxmlformats.org/drawingml/2006/main">
                  <a:graphicData uri="http://schemas.microsoft.com/office/word/2010/wordprocessingShape">
                    <wps:wsp>
                      <wps:cNvSpPr txBox="1"/>
                      <wps:spPr>
                        <a:xfrm>
                          <a:ext cx="1974850" cy="1056005"/>
                        </a:xfrm>
                        <a:prstGeom prst="rect"/>
                        <a:noFill/>
                      </wps:spPr>
                      <wps:txbx>
                        <w:txbxContent>
                          <w:tbl>
                            <w:tblPr>
                              <w:tblOverlap w:val="never"/>
                              <w:jc w:val="left"/>
                              <w:tblLayout w:type="fixed"/>
                            </w:tblPr>
                            <w:tblGrid>
                              <w:gridCol w:w="1282"/>
                              <w:gridCol w:w="1829"/>
                            </w:tblGrid>
                            <w:tr>
                              <w:trPr>
                                <w:tblHeader/>
                                <w:trHeight w:val="346"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IMA-B5+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14,20%</w:t>
                                  </w:r>
                                </w:p>
                              </w:tc>
                            </w:tr>
                            <w:tr>
                              <w:trPr>
                                <w:trHeight w:val="324"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18,22%</w:t>
                                  </w:r>
                                </w:p>
                              </w:tc>
                            </w:tr>
                            <w:tr>
                              <w:trPr>
                                <w:trHeight w:val="324"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14,76%</w:t>
                                  </w:r>
                                </w:p>
                              </w:tc>
                            </w:tr>
                            <w:tr>
                              <w:trPr>
                                <w:trHeight w:val="317"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20,07%</w:t>
                                  </w:r>
                                </w:p>
                              </w:tc>
                            </w:tr>
                            <w:tr>
                              <w:trPr>
                                <w:trHeight w:val="353"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IMA-S</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14,55%</w:t>
                                  </w:r>
                                </w:p>
                              </w:tc>
                            </w:tr>
                          </w:tbl>
                          <w:p>
                            <w:pPr>
                              <w:widowControl w:val="0"/>
                              <w:spacing w:line="1" w:lineRule="exact"/>
                            </w:pPr>
                          </w:p>
                        </w:txbxContent>
                      </wps:txbx>
                      <wps:bodyPr lIns="0" tIns="0" rIns="0" bIns="0">
                        <a:noAutoFit/>
                      </wps:bodyPr>
                    </wps:wsp>
                  </a:graphicData>
                </a:graphic>
              </wp:anchor>
            </w:drawing>
          </mc:Choice>
          <mc:Fallback>
            <w:pict>
              <v:shape id="_x0000_s1113" type="#_x0000_t202" style="position:absolute;margin-left:154.09999999999999pt;margin-top:0;width:155.5pt;height:83.150000000000006pt;z-index:-125829320;mso-wrap-distance-left:0;mso-wrap-distance-right:0;mso-wrap-distance-bottom:10.449999999999999pt;mso-position-horizontal-relative:page" filled="f" stroked="f">
                <v:textbox inset="0,0,0,0">
                  <w:txbxContent>
                    <w:tbl>
                      <w:tblPr>
                        <w:tblOverlap w:val="never"/>
                        <w:jc w:val="left"/>
                        <w:tblLayout w:type="fixed"/>
                      </w:tblPr>
                      <w:tblGrid>
                        <w:gridCol w:w="1282"/>
                        <w:gridCol w:w="1829"/>
                      </w:tblGrid>
                      <w:tr>
                        <w:trPr>
                          <w:tblHeader/>
                          <w:trHeight w:val="346"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IMA-B5+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14,20%</w:t>
                            </w:r>
                          </w:p>
                        </w:tc>
                      </w:tr>
                      <w:tr>
                        <w:trPr>
                          <w:trHeight w:val="324"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18,22%</w:t>
                            </w:r>
                          </w:p>
                        </w:tc>
                      </w:tr>
                      <w:tr>
                        <w:trPr>
                          <w:trHeight w:val="324"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14,76%</w:t>
                            </w:r>
                          </w:p>
                        </w:tc>
                      </w:tr>
                      <w:tr>
                        <w:trPr>
                          <w:trHeight w:val="317"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IRF-M1+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20,07%</w:t>
                            </w:r>
                          </w:p>
                        </w:tc>
                      </w:tr>
                      <w:tr>
                        <w:trPr>
                          <w:trHeight w:val="353"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IMA-S</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14,55%</w:t>
                            </w:r>
                          </w:p>
                        </w:tc>
                      </w:tr>
                    </w:tbl>
                    <w:p>
                      <w:pPr>
                        <w:widowControl w:val="0"/>
                        <w:spacing w:line="1" w:lineRule="exact"/>
                      </w:pPr>
                    </w:p>
                  </w:txbxContent>
                </v:textbox>
                <w10:wrap type="topAndBottom" anchorx="page"/>
              </v:shape>
            </w:pict>
          </mc:Fallback>
        </mc:AlternateContent>
      </w:r>
      <w:r>
        <mc:AlternateContent>
          <mc:Choice Requires="wps">
            <w:drawing>
              <wp:anchor distT="1047115" distB="0" distL="0" distR="0" simplePos="0" relativeHeight="125829435" behindDoc="0" locked="0" layoutInCell="1" allowOverlap="1">
                <wp:simplePos x="0" y="0"/>
                <wp:positionH relativeFrom="page">
                  <wp:posOffset>1015365</wp:posOffset>
                </wp:positionH>
                <wp:positionV relativeFrom="paragraph">
                  <wp:posOffset>1047115</wp:posOffset>
                </wp:positionV>
                <wp:extent cx="2327275" cy="141605"/>
                <wp:wrapTopAndBottom/>
                <wp:docPr id="89" name="Shape 89"/>
                <a:graphic xmlns:a="http://schemas.openxmlformats.org/drawingml/2006/main">
                  <a:graphicData uri="http://schemas.microsoft.com/office/word/2010/wordprocessingShape">
                    <wps:wsp>
                      <wps:cNvSpPr txBox="1"/>
                      <wps:spPr>
                        <a:xfrm>
                          <a:ext cx="2327275" cy="1416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Tabela 1: Indicadores Anbima x Meta Atuarial</w:t>
                            </w:r>
                          </w:p>
                        </w:txbxContent>
                      </wps:txbx>
                      <wps:bodyPr wrap="none" lIns="0" tIns="0" rIns="0" bIns="0">
                        <a:noAutoFit/>
                      </wps:bodyPr>
                    </wps:wsp>
                  </a:graphicData>
                </a:graphic>
              </wp:anchor>
            </w:drawing>
          </mc:Choice>
          <mc:Fallback>
            <w:pict>
              <v:shape id="_x0000_s1115" type="#_x0000_t202" style="position:absolute;margin-left:79.950000000000003pt;margin-top:82.450000000000003pt;width:183.25pt;height:11.15pt;z-index:-125829318;mso-wrap-distance-left:0;mso-wrap-distance-top:82.450000000000003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Tabela 1: Indicadores Anbima x Meta Atuarial</w:t>
                      </w:r>
                    </w:p>
                  </w:txbxContent>
                </v:textbox>
                <w10:wrap type="topAndBottom"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Anbima</w:t>
      </w:r>
    </w:p>
    <w:p>
      <w:pPr>
        <w:pStyle w:val="Style10"/>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PT" w:eastAsia="pt-PT" w:bidi="pt-PT"/>
        </w:rPr>
        <w:t>Janeiro a Dezembro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linhas gerais, </w:t>
      </w:r>
      <w:r>
        <w:rPr>
          <w:color w:val="000000"/>
          <w:spacing w:val="0"/>
          <w:w w:val="100"/>
          <w:position w:val="0"/>
          <w:shd w:val="clear" w:color="auto" w:fill="auto"/>
          <w:lang w:val="pt-BR" w:eastAsia="pt-BR" w:bidi="pt-BR"/>
        </w:rPr>
        <w:t xml:space="preserve">conclui-se </w:t>
      </w:r>
      <w:r>
        <w:rPr>
          <w:color w:val="000000"/>
          <w:spacing w:val="0"/>
          <w:w w:val="100"/>
          <w:position w:val="0"/>
          <w:shd w:val="clear" w:color="auto" w:fill="auto"/>
          <w:lang w:val="pt-PT" w:eastAsia="pt-PT" w:bidi="pt-PT"/>
        </w:rPr>
        <w:t xml:space="preserve">que o principal desafio do Brasil para 2026 será novamente o ajuste das contas públicas. Será necessário conciliar políticas voltadas ao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com a disciplina fiscal, evitando que alívios na política monetária gerem pressões inflacionárias de médio prazo. A persistência dos déficits primários representa riscos significativos à redução do risco-país e à estabilização cambial. Assim, a consolidação de um novo ciclo de crescimento sustentável dependerá da capacidade do governo de equilibrar o orçamento e preservar um ambiente favorável ao investimento.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Os últimos relatórios elaborados pela OCDE e pelo FMI reforçam essa análise, apontando que o desempenho fiscal do Brasil continuará sendo determinante para as projeções de crescimento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em</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2026. Segundo essas instituições, a necessidade de manter o equilíbrio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 xml:space="preserve">combinada com reformas estruturais graduais, será um fator central para sustentar a expansão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que é projetada de forma moderada, entre 2,0% e 1,8%, dependendo da fonte. A avaliação conjunta indica que medidas fiscais consistentes são essenciais para reduzir incertezas, atrair investimentos e proporcionar maior </w:t>
      </w:r>
      <w:r>
        <w:rPr>
          <w:color w:val="000000"/>
          <w:spacing w:val="0"/>
          <w:w w:val="100"/>
          <w:position w:val="0"/>
          <w:shd w:val="clear" w:color="auto" w:fill="auto"/>
          <w:lang w:val="pt-BR" w:eastAsia="pt-BR" w:bidi="pt-BR"/>
        </w:rPr>
        <w:t xml:space="preserve">previsibilidade </w:t>
      </w:r>
      <w:r>
        <w:rPr>
          <w:color w:val="000000"/>
          <w:spacing w:val="0"/>
          <w:w w:val="100"/>
          <w:position w:val="0"/>
          <w:shd w:val="clear" w:color="auto" w:fill="auto"/>
          <w:lang w:val="pt-PT" w:eastAsia="pt-PT" w:bidi="pt-PT"/>
        </w:rPr>
        <w:t>ao mercado doméstico.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plano global, OCDE e FMI projetam que a elevação das taxas de juros e a manutenção de pressões inflacionárias em algumas economias avançadas devem persistir ao longo de 2026. Esse contexto internacional de juros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altos e inflação moderada reforça a necessidade de cautela na condução da política monetária no Brasil, uma vez que movimentos descoordenados poderiam amplificar volatilidade cambial e impactar negativamente o custo da dívida pública, refletindo diretamente nas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de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e estabilidade financeira do país.</w:t>
      </w:r>
    </w:p>
    <w:p>
      <w:pPr>
        <w:pStyle w:val="Style10"/>
        <w:keepNext w:val="0"/>
        <w:keepLines w:val="0"/>
        <w:widowControl w:val="0"/>
        <w:shd w:val="clear" w:color="auto" w:fill="auto"/>
        <w:bidi w:val="0"/>
        <w:spacing w:before="0" w:after="220"/>
        <w:ind w:left="0" w:right="0" w:firstLine="0"/>
        <w:jc w:val="left"/>
      </w:pPr>
      <w:r>
        <w:rPr>
          <w:color w:val="000000"/>
          <w:spacing w:val="0"/>
          <w:w w:val="100"/>
          <w:position w:val="0"/>
          <w:shd w:val="clear" w:color="auto" w:fill="auto"/>
          <w:lang w:val="pt-PT" w:eastAsia="pt-PT" w:bidi="pt-PT"/>
        </w:rPr>
        <w:t xml:space="preserve">Por fim, no que tange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projeções de inflação para 2026, tanto a OCDE quanto o FMI indicam uma trajetória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embora com nuances distintas. A OCDE prevê que a inflação das economias do G20 diminua de 3,3% em 2025 para 2,8% em 2026, impulsionada por políticas monetárias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flexíveis e pela queda nos preços de energia e alimentos. No entanto, destaca que pressões inflacionárias podem persistir em alguns setores, como serviços, devido a rigidez nos custos. Por outro lado, o FMI projeta uma redução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acentuada em 2025, com a inflação global fechando o corrente exercício em 3,3%, recuando para 3,0% no decorrer de 2026, impulsionada por uma combinação de políticas monetárias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flexíveis, queda nos preços de energia e alimentos, e uma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na demanda global. Essas projeções indicam uma tendência de estabilização nos preços, embora com variações regionais e setoriais que exigem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contínuo.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Economia Mundial e taxa de câmbio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linha com a OCDE, o Fundo Monetário Internacional (FMI), por intermédio do relatório </w:t>
      </w:r>
      <w:r>
        <w:rPr>
          <w:color w:val="000000"/>
          <w:spacing w:val="0"/>
          <w:w w:val="100"/>
          <w:position w:val="0"/>
          <w:shd w:val="clear" w:color="auto" w:fill="auto"/>
          <w:lang w:val="pt-BR" w:eastAsia="pt-BR" w:bidi="pt-BR"/>
        </w:rPr>
        <w:t xml:space="preserve">"Perspectivas Econômicas </w:t>
      </w:r>
      <w:r>
        <w:rPr>
          <w:color w:val="000000"/>
          <w:spacing w:val="0"/>
          <w:w w:val="100"/>
          <w:position w:val="0"/>
          <w:shd w:val="clear" w:color="auto" w:fill="auto"/>
          <w:lang w:val="pt-PT" w:eastAsia="pt-PT" w:bidi="pt-PT"/>
        </w:rPr>
        <w:t xml:space="preserve">Globais" divulgado em outubro, indica uma expansão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mundial de 3,3% para 2025. Já para 2026, a OCDE projeta uma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para 2,8%, enquanto o FMI estima um recuo para 3,0%. Na leitura de referidas instituições, a inflação em termos globais está em trajetória de queda, mas as políticas monetárias menos restritivas a médio/longo prazo permanecem condicionadas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incertezas comerciais e aos choques externos.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geral, o relatório do FMI aponta relativa estabilidade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até o final de 2026, sendo dado papel de destaque para a economia </w:t>
      </w:r>
      <w:r>
        <w:rPr>
          <w:color w:val="000000"/>
          <w:spacing w:val="0"/>
          <w:w w:val="100"/>
          <w:position w:val="0"/>
          <w:shd w:val="clear" w:color="auto" w:fill="auto"/>
          <w:lang w:val="pt-BR" w:eastAsia="pt-BR" w:bidi="pt-BR"/>
        </w:rPr>
        <w:t xml:space="preserve">norte-americana, </w:t>
      </w:r>
      <w:r>
        <w:rPr>
          <w:color w:val="000000"/>
          <w:spacing w:val="0"/>
          <w:w w:val="100"/>
          <w:position w:val="0"/>
          <w:shd w:val="clear" w:color="auto" w:fill="auto"/>
          <w:lang w:val="pt-PT" w:eastAsia="pt-PT" w:bidi="pt-PT"/>
        </w:rPr>
        <w:t xml:space="preserve">cuja resiliência do mercado de trabalho e do consumo das famílias </w:t>
      </w:r>
      <w:r>
        <w:rPr>
          <w:color w:val="000000"/>
          <w:spacing w:val="0"/>
          <w:w w:val="100"/>
          <w:position w:val="0"/>
          <w:shd w:val="clear" w:color="auto" w:fill="auto"/>
          <w:lang w:val="pt-BR" w:eastAsia="pt-BR" w:bidi="pt-BR"/>
        </w:rPr>
        <w:t xml:space="preserve">caracterizou </w:t>
      </w:r>
      <w:r>
        <w:rPr>
          <w:color w:val="000000"/>
          <w:spacing w:val="0"/>
          <w:w w:val="100"/>
          <w:position w:val="0"/>
          <w:shd w:val="clear" w:color="auto" w:fill="auto"/>
          <w:lang w:val="pt-PT" w:eastAsia="pt-PT" w:bidi="pt-PT"/>
        </w:rPr>
        <w:t>um chamado "pouso suave" da economia doméstica. De acordo com a OCDE, a projeção para os EUA aponta crescimento de 1,7% em 2025 e 1,6% em 2026. Em paralelo, o FMI estima para os EUA crescimento de 2,1 % em 2025 e de 2,0% em 2026. Assim, dado o ambiente de queda de juros nos EUA, a tendência de expansão da atividade permanece moderada.</w:t>
      </w:r>
    </w:p>
    <w:p>
      <w:pPr>
        <w:pStyle w:val="Style10"/>
        <w:keepNext w:val="0"/>
        <w:keepLines w:val="0"/>
        <w:widowControl w:val="0"/>
        <w:shd w:val="clear" w:color="auto" w:fill="auto"/>
        <w:bidi w:val="0"/>
        <w:spacing w:before="0" w:after="220"/>
        <w:ind w:left="0" w:right="0" w:firstLine="0"/>
        <w:jc w:val="left"/>
      </w:pPr>
      <w:r>
        <w:rPr>
          <w:color w:val="000000"/>
          <w:spacing w:val="0"/>
          <w:w w:val="100"/>
          <w:position w:val="0"/>
          <w:shd w:val="clear" w:color="auto" w:fill="auto"/>
          <w:lang w:val="pt-PT" w:eastAsia="pt-PT" w:bidi="pt-PT"/>
        </w:rPr>
        <w:t xml:space="preserve">Sobre a China, a </w:t>
      </w:r>
      <w:r>
        <w:rPr>
          <w:color w:val="000000"/>
          <w:spacing w:val="0"/>
          <w:w w:val="100"/>
          <w:position w:val="0"/>
          <w:shd w:val="clear" w:color="auto" w:fill="auto"/>
          <w:lang w:val="pt-BR" w:eastAsia="pt-BR" w:bidi="pt-BR"/>
        </w:rPr>
        <w:t xml:space="preserve">perspectiva </w:t>
      </w:r>
      <w:r>
        <w:rPr>
          <w:color w:val="000000"/>
          <w:spacing w:val="0"/>
          <w:w w:val="100"/>
          <w:position w:val="0"/>
          <w:shd w:val="clear" w:color="auto" w:fill="auto"/>
          <w:lang w:val="pt-PT" w:eastAsia="pt-PT" w:bidi="pt-PT"/>
        </w:rPr>
        <w:t xml:space="preserve">traçada pelos relatórios dialoga com a </w:t>
      </w:r>
      <w:r>
        <w:rPr>
          <w:color w:val="000000"/>
          <w:spacing w:val="0"/>
          <w:w w:val="100"/>
          <w:position w:val="0"/>
          <w:shd w:val="clear" w:color="auto" w:fill="auto"/>
          <w:lang w:val="pt-BR" w:eastAsia="pt-BR" w:bidi="pt-BR"/>
        </w:rPr>
        <w:t xml:space="preserve">característica </w:t>
      </w:r>
      <w:r>
        <w:rPr>
          <w:color w:val="000000"/>
          <w:spacing w:val="0"/>
          <w:w w:val="100"/>
          <w:position w:val="0"/>
          <w:shd w:val="clear" w:color="auto" w:fill="auto"/>
          <w:lang w:val="pt-PT" w:eastAsia="pt-PT" w:bidi="pt-PT"/>
        </w:rPr>
        <w:t xml:space="preserve">central de crescimentos díspares entre regiões, que ajudam a explicar porque as previsões globais não estão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otimistas. A OCDE projeta para a China crescimento de 4,7% em 2025 e 4,3% em 2026, enquanto o FMI projeta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crescimentos de 4,6% e 4,1%. A crise no mercado imobiliário e a dependência das exportações externas continuam limitando a dinâmica de crescimento.</w:t>
      </w:r>
    </w:p>
    <w:p>
      <w:pPr>
        <w:widowControl w:val="0"/>
        <w:spacing w:line="1" w:lineRule="exact"/>
      </w:pPr>
      <w:r>
        <w:drawing>
          <wp:anchor distT="215900" distB="178435" distL="0" distR="0" simplePos="0" relativeHeight="125829437" behindDoc="0" locked="0" layoutInCell="1" allowOverlap="1">
            <wp:simplePos x="0" y="0"/>
            <wp:positionH relativeFrom="page">
              <wp:posOffset>6181725</wp:posOffset>
            </wp:positionH>
            <wp:positionV relativeFrom="paragraph">
              <wp:posOffset>215900</wp:posOffset>
            </wp:positionV>
            <wp:extent cx="597535" cy="267970"/>
            <wp:wrapTopAndBottom/>
            <wp:docPr id="91" name="Shape 91"/>
            <a:graphic xmlns:a="http://schemas.openxmlformats.org/drawingml/2006/main">
              <a:graphicData uri="http://schemas.openxmlformats.org/drawingml/2006/picture">
                <pic:pic xmlns:pic="http://schemas.openxmlformats.org/drawingml/2006/picture">
                  <pic:nvPicPr>
                    <pic:cNvPr id="92" name="Picture box 92"/>
                    <pic:cNvPicPr/>
                  </pic:nvPicPr>
                  <pic:blipFill>
                    <a:blip r:embed="rId39"/>
                    <a:stretch/>
                  </pic:blipFill>
                  <pic:spPr>
                    <a:xfrm>
                      <a:ext cx="597535" cy="267970"/>
                    </a:xfrm>
                    <a:prstGeom prst="rect"/>
                  </pic:spPr>
                </pic:pic>
              </a:graphicData>
            </a:graphic>
          </wp:anchor>
        </w:drawing>
      </w:r>
      <w:r>
        <w:drawing>
          <wp:anchor distT="261620" distB="0" distL="0" distR="0" simplePos="0" relativeHeight="125829438" behindDoc="0" locked="0" layoutInCell="1" allowOverlap="1">
            <wp:simplePos x="0" y="0"/>
            <wp:positionH relativeFrom="page">
              <wp:posOffset>6908800</wp:posOffset>
            </wp:positionH>
            <wp:positionV relativeFrom="paragraph">
              <wp:posOffset>261620</wp:posOffset>
            </wp:positionV>
            <wp:extent cx="469265" cy="402590"/>
            <wp:wrapTopAndBottom/>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41"/>
                    <a:stretch/>
                  </pic:blipFill>
                  <pic:spPr>
                    <a:xfrm>
                      <a:ext cx="469265" cy="402590"/>
                    </a:xfrm>
                    <a:prstGeom prst="rect"/>
                  </pic:spPr>
                </pic:pic>
              </a:graphicData>
            </a:graphic>
          </wp:anchor>
        </w:drawing>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Seguindo a tônica dos comportamentos dispares, as previsões para a Zona do Euro indicam expansões bem inferiores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dos EUA, sendo projetadas pela OCDE expansões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de 1,1 % para 2025 e de 1,2% para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2026, estimativas muito próximas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divulgadas pelo FMI. A Zona do Euro não teve o já referido pouso suave observado nos EUA, uma vez que a região sentiu de maneira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severa as adversidades impostas pela política monetária contracionista e pressões externas. Assim, a retomada do ritmo de crescimento tende a ser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lenta, respondendo de forma gradual à redução de juros recentemente iniciada. Outra economia que segue com baixo ritmo de crescimento é o Japão, que tem projeções modestas. Embora os relatórios não detalhem valores exatos para todos os anos, o consenso aponta crescimento em torno 0,8% em 2025 e 0,9% em 0,9% mantendo ritmo relativamente baixo.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Por sua vez, as economias emergentes também apresentam </w:t>
      </w:r>
      <w:r>
        <w:rPr>
          <w:color w:val="000000"/>
          <w:spacing w:val="0"/>
          <w:w w:val="100"/>
          <w:position w:val="0"/>
          <w:shd w:val="clear" w:color="auto" w:fill="auto"/>
          <w:lang w:val="pt-BR" w:eastAsia="pt-BR" w:bidi="pt-BR"/>
        </w:rPr>
        <w:t xml:space="preserve">perspectivas </w:t>
      </w:r>
      <w:r>
        <w:rPr>
          <w:color w:val="000000"/>
          <w:spacing w:val="0"/>
          <w:w w:val="100"/>
          <w:position w:val="0"/>
          <w:shd w:val="clear" w:color="auto" w:fill="auto"/>
          <w:lang w:val="pt-PT" w:eastAsia="pt-PT" w:bidi="pt-PT"/>
        </w:rPr>
        <w:t>distintas. No caso do Brasil, o FMI projeta crescimento de 2,2% em 2025, com recuperação moderada projetada para 2,0% em 2026. Já a OCDE projeta para o Brasil crescimento de 2,1% em 2025 e 1,9% em 2026. Em contraste, a índia segue na liderança entre grandes economias emergentes, com projeções que sugerem cerca de 6,6% em 2025 e 6,5% em 2026, ainda segundo relatórios recentes.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Dentre os riscos citados pelo FMI como as principais ameaças aos crescimentos projetados, </w:t>
      </w:r>
      <w:r>
        <w:rPr>
          <w:color w:val="000000"/>
          <w:spacing w:val="0"/>
          <w:w w:val="100"/>
          <w:position w:val="0"/>
          <w:shd w:val="clear" w:color="auto" w:fill="auto"/>
          <w:lang w:val="pt-BR" w:eastAsia="pt-BR" w:bidi="pt-BR"/>
        </w:rPr>
        <w:t xml:space="preserve">destacam-se </w:t>
      </w:r>
      <w:r>
        <w:rPr>
          <w:color w:val="000000"/>
          <w:spacing w:val="0"/>
          <w:w w:val="100"/>
          <w:position w:val="0"/>
          <w:shd w:val="clear" w:color="auto" w:fill="auto"/>
          <w:lang w:val="pt-PT" w:eastAsia="pt-PT" w:bidi="pt-PT"/>
        </w:rPr>
        <w:t xml:space="preserve">as questões fiscais que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preocupam as economias emergentes. Em situações onde o espaço fiscal é limitado, a adoção de políticas de incentivo ao crescimento </w:t>
      </w:r>
      <w:r>
        <w:rPr>
          <w:color w:val="000000"/>
          <w:spacing w:val="0"/>
          <w:w w:val="100"/>
          <w:position w:val="0"/>
          <w:shd w:val="clear" w:color="auto" w:fill="auto"/>
          <w:lang w:val="pt-BR" w:eastAsia="pt-BR" w:bidi="pt-BR"/>
        </w:rPr>
        <w:t xml:space="preserve">torna-se mais </w:t>
      </w:r>
      <w:r>
        <w:rPr>
          <w:color w:val="000000"/>
          <w:spacing w:val="0"/>
          <w:w w:val="100"/>
          <w:position w:val="0"/>
          <w:shd w:val="clear" w:color="auto" w:fill="auto"/>
          <w:lang w:val="pt-PT" w:eastAsia="pt-PT" w:bidi="pt-PT"/>
        </w:rPr>
        <w:t>difícil de executar, aumentando a dependência dos instrumentos monetários. Em situações de emergência, como as demandadas pela pandemia ou severas crises climáticas, a incapacidade do poder público de realizar os investimentos necessários sem que a relação dívida/PIB atinja níveis insustentáveis constitui barreira de difícil remoção ao crescimento.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Outro ponto diz respeito ao menor grau de certeza quanto à inflação nas economias emergentes. Em outras palavras, não está garantida a continuidade da queda dos juros de forma uniforme, como é o caso do Brasil, onde as pressões inflacionárias em 2025 mantêm o banco central cauteloso. Em meio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peculiaridades de cada país, as previsões de crescimento para as economias emergentes estão em torno de 4,4% para 2025, caindo levemente para próximo de 4,3% em 2026, conforme estimativas da OCDE.</w:t>
      </w:r>
    </w:p>
    <w:p>
      <w:pPr>
        <w:pStyle w:val="Style10"/>
        <w:keepNext w:val="0"/>
        <w:keepLines w:val="0"/>
        <w:widowControl w:val="0"/>
        <w:shd w:val="clear" w:color="auto" w:fill="auto"/>
        <w:bidi w:val="0"/>
        <w:spacing w:before="0" w:after="500"/>
        <w:ind w:left="0" w:right="0" w:firstLine="0"/>
        <w:jc w:val="left"/>
      </w:pPr>
      <w:r>
        <w:rPr>
          <w:color w:val="000000"/>
          <w:spacing w:val="0"/>
          <w:w w:val="100"/>
          <w:position w:val="0"/>
          <w:shd w:val="clear" w:color="auto" w:fill="auto"/>
          <w:lang w:val="pt-PT" w:eastAsia="pt-PT" w:bidi="pt-PT"/>
        </w:rPr>
        <w:t xml:space="preserve">Além das questões fiscais, o FMI também destaca o acirramento das crises geopolíticas ao redor do mundo, o recrudescimento dos embates comerciais — em especial na relação China/EUA — e a volatilidade dos mercados financeiros como as principais ameaças ao crescimento global; estas ameaças, embora afetem todos os países, tendem a pesar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sobre economias em desenvolvimento, dada a menor margem de manobra </w:t>
      </w:r>
      <w:r>
        <w:rPr>
          <w:color w:val="000000"/>
          <w:spacing w:val="0"/>
          <w:w w:val="100"/>
          <w:position w:val="0"/>
          <w:shd w:val="clear" w:color="auto" w:fill="auto"/>
          <w:lang w:val="pt-BR" w:eastAsia="pt-BR" w:bidi="pt-BR"/>
        </w:rPr>
        <w:t>macroeconômica.</w:t>
      </w:r>
    </w:p>
    <w:p>
      <w:pPr>
        <w:widowControl w:val="0"/>
        <w:jc w:val="left"/>
        <w:rPr>
          <w:sz w:val="2"/>
          <w:szCs w:val="2"/>
        </w:rPr>
      </w:pPr>
      <w:r>
        <w:drawing>
          <wp:inline>
            <wp:extent cx="4340225" cy="1475105"/>
            <wp:docPr id="95" name="Picutre 95"/>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43"/>
                    <a:stretch/>
                  </pic:blipFill>
                  <pic:spPr>
                    <a:xfrm>
                      <a:ext cx="4340225" cy="1475105"/>
                    </a:xfrm>
                    <a:prstGeom prst="rect"/>
                  </pic:spPr>
                </pic:pic>
              </a:graphicData>
            </a:graphic>
          </wp:inline>
        </w:drawing>
      </w:r>
    </w:p>
    <w:p>
      <w:pPr>
        <w:pStyle w:val="Style25"/>
        <w:keepNext w:val="0"/>
        <w:keepLines w:val="0"/>
        <w:widowControl w:val="0"/>
        <w:shd w:val="clear" w:color="auto" w:fill="auto"/>
        <w:bidi w:val="0"/>
        <w:spacing w:before="0" w:after="0" w:line="240" w:lineRule="auto"/>
        <w:ind w:left="418" w:right="0" w:firstLine="0"/>
        <w:jc w:val="left"/>
      </w:pPr>
      <w:r>
        <w:rPr>
          <w:color w:val="000000"/>
          <w:spacing w:val="0"/>
          <w:w w:val="100"/>
          <w:position w:val="0"/>
          <w:shd w:val="clear" w:color="auto" w:fill="auto"/>
          <w:lang w:val="pt-PT" w:eastAsia="pt-PT" w:bidi="pt-PT"/>
        </w:rPr>
        <w:t>5</w:t>
      </w:r>
    </w:p>
    <w:p>
      <w:pPr>
        <w:widowControl w:val="0"/>
        <w:spacing w:after="39" w:line="1" w:lineRule="exact"/>
      </w:pPr>
    </w:p>
    <w:p>
      <w:pPr>
        <w:widowControl w:val="0"/>
        <w:spacing w:line="1" w:lineRule="exact"/>
      </w:pPr>
    </w:p>
    <w:p>
      <w:pPr>
        <w:widowControl w:val="0"/>
        <w:jc w:val="center"/>
        <w:rPr>
          <w:sz w:val="2"/>
          <w:szCs w:val="2"/>
        </w:rPr>
      </w:pPr>
      <w:r>
        <w:drawing>
          <wp:inline>
            <wp:extent cx="3834130" cy="292735"/>
            <wp:docPr id="96" name="Picutre 96"/>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45"/>
                    <a:stretch/>
                  </pic:blipFill>
                  <pic:spPr>
                    <a:xfrm>
                      <a:ext cx="3834130" cy="292735"/>
                    </a:xfrm>
                    <a:prstGeom prst="rect"/>
                  </pic:spPr>
                </pic:pic>
              </a:graphicData>
            </a:graphic>
          </wp:inline>
        </w:drawing>
      </w:r>
    </w:p>
    <w:p>
      <w:pPr>
        <w:pStyle w:val="Style25"/>
        <w:keepNext w:val="0"/>
        <w:keepLines w:val="0"/>
        <w:widowControl w:val="0"/>
        <w:shd w:val="clear" w:color="auto" w:fill="auto"/>
        <w:bidi w:val="0"/>
        <w:spacing w:before="0" w:after="0" w:line="240" w:lineRule="auto"/>
        <w:ind w:left="3240" w:right="0" w:firstLine="0"/>
        <w:jc w:val="left"/>
        <w:rPr>
          <w:sz w:val="15"/>
          <w:szCs w:val="15"/>
        </w:rPr>
      </w:pPr>
      <w:r>
        <w:rPr>
          <w:b/>
          <w:bCs/>
          <w:color w:val="000000"/>
          <w:spacing w:val="0"/>
          <w:w w:val="100"/>
          <w:position w:val="0"/>
          <w:sz w:val="15"/>
          <w:szCs w:val="15"/>
          <w:shd w:val="clear" w:color="auto" w:fill="auto"/>
          <w:lang w:val="pt-PT" w:eastAsia="pt-PT" w:bidi="pt-PT"/>
        </w:rPr>
        <w:t>Mês</w:t>
      </w:r>
    </w:p>
    <w:p>
      <w:pPr>
        <w:widowControl w:val="0"/>
        <w:spacing w:after="239" w:line="1" w:lineRule="exact"/>
      </w:pP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Gráfico 2 - Taxa de Câmbio (R$/US$) Fonte: BACEN.</w:t>
      </w:r>
    </w:p>
    <w:p>
      <w:pPr>
        <w:pStyle w:val="Style10"/>
        <w:keepNext w:val="0"/>
        <w:keepLines w:val="0"/>
        <w:widowControl w:val="0"/>
        <w:shd w:val="clear" w:color="auto" w:fill="auto"/>
        <w:bidi w:val="0"/>
        <w:spacing w:before="0" w:after="420" w:line="283" w:lineRule="auto"/>
        <w:ind w:left="0" w:right="0" w:firstLine="0"/>
        <w:jc w:val="left"/>
      </w:pPr>
      <w:r>
        <w:rPr>
          <w:color w:val="000000"/>
          <w:spacing w:val="0"/>
          <w:w w:val="100"/>
          <w:position w:val="0"/>
          <w:shd w:val="clear" w:color="auto" w:fill="auto"/>
          <w:lang w:val="pt-PT" w:eastAsia="pt-PT" w:bidi="pt-PT"/>
        </w:rPr>
        <w:t>Nota: Cotações até 31/12/2025.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meio a um cenário internacional de inflação e juros em queda,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era de que a pressão sobre o câmbio diminuísse em comparação aos últimos dois anos, quando um cenário externo adverso implicou evasão de divisas do país, com investidores buscando opções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seguras 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rentáveis.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De fato, conforme ilustrado no gráfico acima, o comportamento da taxa de câmbio em 2025 refletiu a</w:t>
      </w:r>
    </w:p>
    <w:p>
      <w:pPr>
        <w:pStyle w:val="Style10"/>
        <w:keepNext w:val="0"/>
        <w:keepLines w:val="0"/>
        <w:widowControl w:val="0"/>
        <w:shd w:val="clear" w:color="auto" w:fill="auto"/>
        <w:bidi w:val="0"/>
        <w:spacing w:before="0" w:after="340"/>
        <w:ind w:left="0" w:right="0" w:firstLine="0"/>
        <w:jc w:val="left"/>
      </w:pPr>
      <w:r>
        <w:rPr>
          <w:color w:val="000000"/>
          <w:spacing w:val="0"/>
          <w:w w:val="100"/>
          <w:position w:val="0"/>
          <w:shd w:val="clear" w:color="auto" w:fill="auto"/>
          <w:lang w:val="pt-PT" w:eastAsia="pt-PT" w:bidi="pt-PT"/>
        </w:rPr>
        <w:t>combinação entre a política monetária restritiva e a delicada situação fiscal do país. Ao longo do ano, 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Banco Central manteve a taxa Selic em patamar elevado, buscando conter pressões inflacionárias que, embora em trajetória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permaneceram acima da meta. O IPCA acumulado em 12 meses encerrou 2025 em 4,6%, sinalizando que, apesar do avanço no controle de preços,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de inflação ainda não estavam plenamente ancoradas. Essa conjuntura de juros elevados favoreceu temporariamente a entrada de capitais estrangeiros, o que contribuiu para a valorização parcial do real frente ao dólar no primeiro semestre, especialmente à medida que outras economias começaram a reduzir suas taxas de juros.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Entretanto, o cenário fiscal exerceu influência determinante sobre o comportamento cambial, limitando o potencial de apreciação da moeda brasileira. O aumento das despesas obrigatórias e a dificuldade em cumprir as metas de resultado primário reforçaram a </w:t>
      </w:r>
      <w:r>
        <w:rPr>
          <w:color w:val="000000"/>
          <w:spacing w:val="0"/>
          <w:w w:val="100"/>
          <w:position w:val="0"/>
          <w:shd w:val="clear" w:color="auto" w:fill="auto"/>
          <w:lang w:val="pt-BR" w:eastAsia="pt-BR" w:bidi="pt-BR"/>
        </w:rPr>
        <w:t xml:space="preserve">percepção </w:t>
      </w:r>
      <w:r>
        <w:rPr>
          <w:color w:val="000000"/>
          <w:spacing w:val="0"/>
          <w:w w:val="100"/>
          <w:position w:val="0"/>
          <w:shd w:val="clear" w:color="auto" w:fill="auto"/>
          <w:lang w:val="pt-PT" w:eastAsia="pt-PT" w:bidi="pt-PT"/>
        </w:rPr>
        <w:t xml:space="preserve">de risco dos investidores, pressionando os </w:t>
      </w:r>
      <w:r>
        <w:rPr>
          <w:color w:val="000000"/>
          <w:spacing w:val="0"/>
          <w:w w:val="100"/>
          <w:position w:val="0"/>
          <w:shd w:val="clear" w:color="auto" w:fill="auto"/>
          <w:lang w:val="pt-BR" w:eastAsia="pt-BR" w:bidi="pt-BR"/>
        </w:rPr>
        <w:t xml:space="preserve">prêmios </w:t>
      </w:r>
      <w:r>
        <w:rPr>
          <w:color w:val="000000"/>
          <w:spacing w:val="0"/>
          <w:w w:val="100"/>
          <w:position w:val="0"/>
          <w:shd w:val="clear" w:color="auto" w:fill="auto"/>
          <w:lang w:val="pt-PT" w:eastAsia="pt-PT" w:bidi="pt-PT"/>
        </w:rPr>
        <w:t xml:space="preserve">de crédito soberano e ampliando a volatilidade no mercado de câmbio. O resultado primário do setor público encerrou 2025 com déficit próximo de 0,43%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e as dúvidas quanto à capacidade do governo de avançar em medidas de contenção de gastos e aumento de receitas tornaram o real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vulnerável a movimentos de aversão ao risco, sobretudo em momentos de instabilidade internacional. Nesse contexto, mesmo a manutenção de juros elevados </w:t>
      </w:r>
      <w:r>
        <w:rPr>
          <w:color w:val="000000"/>
          <w:spacing w:val="0"/>
          <w:w w:val="100"/>
          <w:position w:val="0"/>
          <w:shd w:val="clear" w:color="auto" w:fill="auto"/>
          <w:lang w:val="pt-BR" w:eastAsia="pt-BR" w:bidi="pt-BR"/>
        </w:rPr>
        <w:t xml:space="preserve">mostrou-se </w:t>
      </w:r>
      <w:r>
        <w:rPr>
          <w:color w:val="000000"/>
          <w:spacing w:val="0"/>
          <w:w w:val="100"/>
          <w:position w:val="0"/>
          <w:shd w:val="clear" w:color="auto" w:fill="auto"/>
          <w:lang w:val="pt-PT" w:eastAsia="pt-PT" w:bidi="pt-PT"/>
        </w:rPr>
        <w:t>insuficiente para sustentar uma tendência consistente de valorização cambial.</w:t>
      </w:r>
    </w:p>
    <w:p>
      <w:pPr>
        <w:pStyle w:val="Style10"/>
        <w:keepNext w:val="0"/>
        <w:keepLines w:val="0"/>
        <w:widowControl w:val="0"/>
        <w:shd w:val="clear" w:color="auto" w:fill="auto"/>
        <w:bidi w:val="0"/>
        <w:spacing w:before="0" w:after="200"/>
        <w:ind w:left="0" w:right="0" w:firstLine="0"/>
        <w:jc w:val="left"/>
      </w:pPr>
      <w:r>
        <w:rPr>
          <w:color w:val="000000"/>
          <w:spacing w:val="0"/>
          <w:w w:val="100"/>
          <w:position w:val="0"/>
          <w:shd w:val="clear" w:color="auto" w:fill="auto"/>
          <w:lang w:val="pt-PT" w:eastAsia="pt-PT" w:bidi="pt-PT"/>
        </w:rPr>
        <w:t xml:space="preserve">Por </w:t>
      </w:r>
      <w:r>
        <w:rPr>
          <w:color w:val="000000"/>
          <w:spacing w:val="0"/>
          <w:w w:val="100"/>
          <w:position w:val="0"/>
          <w:shd w:val="clear" w:color="auto" w:fill="auto"/>
          <w:lang w:val="pt-BR" w:eastAsia="pt-BR" w:bidi="pt-BR"/>
        </w:rPr>
        <w:t xml:space="preserve">fim, </w:t>
      </w:r>
      <w:r>
        <w:rPr>
          <w:color w:val="000000"/>
          <w:spacing w:val="0"/>
          <w:w w:val="100"/>
          <w:position w:val="0"/>
          <w:shd w:val="clear" w:color="auto" w:fill="auto"/>
          <w:lang w:val="pt-PT" w:eastAsia="pt-PT" w:bidi="pt-PT"/>
        </w:rPr>
        <w:t xml:space="preserve">a interação entre política monetária, inflação e fragilidade fiscal definiu o padrão de oscilação cambial ao longo de 2025. Embora os juros elevados tenham atraído fluxos de capital e limitado uma depreciação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intensa, o ambiente fiscal deteriorado impediu uma valorização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consistente do real. Assim, o câmbio apresentou trajetória de acomodação no segundo semestre, encerrando dezembro próximo de R$ 5,50 por dólar, após ter iniciado o ano acima de R$6,20. Essa dinâmica evidencia o equilíbrio instável entre os fatores internos e externos que influenciam o valor da moeda brasileira, refletindo a combinação de uma política monetária firme, inflação persistente e vulnerabilidade fiscal crescente.</w:t>
      </w:r>
    </w:p>
    <w:p>
      <w:pPr>
        <w:pStyle w:val="Style10"/>
        <w:keepNext w:val="0"/>
        <w:keepLines w:val="0"/>
        <w:widowControl w:val="0"/>
        <w:shd w:val="clear" w:color="auto" w:fill="auto"/>
        <w:bidi w:val="0"/>
        <w:spacing w:before="0" w:after="200"/>
        <w:ind w:left="0" w:right="0" w:firstLine="0"/>
        <w:jc w:val="both"/>
      </w:pPr>
      <w:r>
        <w:rPr>
          <w:color w:val="000000"/>
          <w:spacing w:val="0"/>
          <w:w w:val="100"/>
          <w:position w:val="0"/>
          <w:shd w:val="clear" w:color="auto" w:fill="auto"/>
          <w:lang w:val="pt-PT" w:eastAsia="pt-PT" w:bidi="pt-PT"/>
        </w:rPr>
        <w:t>Taxa de Juros, Inflação e Política Monetária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final de 2020 as projeções do mercado indicavam que 2021 seria </w:t>
      </w:r>
      <w:r>
        <w:rPr>
          <w:color w:val="000000"/>
          <w:spacing w:val="0"/>
          <w:w w:val="100"/>
          <w:position w:val="0"/>
          <w:shd w:val="clear" w:color="auto" w:fill="auto"/>
          <w:lang w:val="pt-BR" w:eastAsia="pt-BR" w:bidi="pt-BR"/>
        </w:rPr>
        <w:t xml:space="preserve">caracterizado </w:t>
      </w:r>
      <w:r>
        <w:rPr>
          <w:color w:val="000000"/>
          <w:spacing w:val="0"/>
          <w:w w:val="100"/>
          <w:position w:val="0"/>
          <w:shd w:val="clear" w:color="auto" w:fill="auto"/>
          <w:lang w:val="pt-PT" w:eastAsia="pt-PT" w:bidi="pt-PT"/>
        </w:rPr>
        <w:t>por uma relativa estabilidade da taxa Selic, com a última pesquisa Focus publicada naquele ano prevendo uma elevação máxima do indicador de 1 (um) ponto percentual, saindo de sua mínima histórica de 2% e encerrando o corrente exercício em 3%.</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era que o COPOM promovesse maiores altas apenas em 2022, elevando a taxa básica de juros da economia brasileira para 4,5% em um processo de normalização da taxa básica de juros do pais.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No entanto, a aceleração inflacionária ocorrida ao longo de 2021, com todas as projeções de IPCA indicando o extrapolamento do teto da meta estabelecida pelo BACEN (5,25%), implicaram mudança de rumo na condução da política monetária, tendo sido promovidos 07 (sete) aumentos consecutivos da Selic durante referido exercício, elevando os juros brasileiros para 9,25%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 manutenção de um quadro de resiliência inflacionária seguiu impulsionando os juros em 2022. Ao longo daquele ano, o COPOM efetivou 05 (cinco) novas altas da Taxa Selic, com os juros básicos do país encerrando o exercício em 13,75%.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 partir disso, todas as projeções passaram a indicar o inicio do ciclo de queda da Selic no decorrer de</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2023. Assim, após manter a taxa em 13,75% por 07 (sete) vezes consecutivas, o COPOM promoveu 03 (três) cortes em sequência da Selic no segundo semestre do ano passado, todos na magnitude de 0,5 ponto percentual, com o primeiro ocorrendo no mês de setembro e o último em dezembro, finalizando com uma Selic em 11,75%.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Para 2024, as previsões seguiram indicando sucessivas quedas dos juros, situação confirmada ao longo do primeiro semestre do ano, período em que 03 (três) novos cortes foram promovidos pelo COPOM, todavia, não na mesma magnitude, com o ritmo de queda </w:t>
      </w:r>
      <w:r>
        <w:rPr>
          <w:color w:val="000000"/>
          <w:spacing w:val="0"/>
          <w:w w:val="100"/>
          <w:position w:val="0"/>
          <w:shd w:val="clear" w:color="auto" w:fill="auto"/>
          <w:lang w:val="pt-BR" w:eastAsia="pt-BR" w:bidi="pt-BR"/>
        </w:rPr>
        <w:t xml:space="preserve">desacelerando </w:t>
      </w:r>
      <w:r>
        <w:rPr>
          <w:color w:val="000000"/>
          <w:spacing w:val="0"/>
          <w:w w:val="100"/>
          <w:position w:val="0"/>
          <w:shd w:val="clear" w:color="auto" w:fill="auto"/>
          <w:lang w:val="pt-PT" w:eastAsia="pt-PT" w:bidi="pt-PT"/>
        </w:rPr>
        <w:t>a partir de junho. Após realizar 02 (dois) novos cortes na magnitude de 0,5 ponto percentual cada entre os meses de fevereiro e março, o COPOM reduziu a queda da Selic para 0,25 ponto percentual na reunião de maio, com a taxa alcançando o piso anual de 10,50%.</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Referida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 xml:space="preserve">de ritmo passou a sinalizar a preocupação do BACEN com a resiliência das pressões inflacionárias, uma vez que o Brasil, de forma análoga ao verificado nos EUA, também presenciava uma espécie de pouso suave da economia, com os efeitos adversos da política monetária contracionista até então vigente impactando menos do que o esperado a 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em especial o mercado de trabalho e o consumo das famílias.</w:t>
      </w:r>
    </w:p>
    <w:p>
      <w:pPr>
        <w:pStyle w:val="Style10"/>
        <w:keepNext w:val="0"/>
        <w:keepLines w:val="0"/>
        <w:widowControl w:val="0"/>
        <w:shd w:val="clear" w:color="auto" w:fill="auto"/>
        <w:bidi w:val="0"/>
        <w:spacing w:before="0" w:after="520"/>
        <w:ind w:left="0" w:right="0" w:firstLine="0"/>
        <w:jc w:val="left"/>
      </w:pPr>
      <w:r>
        <w:rPr>
          <w:color w:val="000000"/>
          <w:spacing w:val="0"/>
          <w:w w:val="100"/>
          <w:position w:val="0"/>
          <w:shd w:val="clear" w:color="auto" w:fill="auto"/>
          <w:lang w:val="pt-PT" w:eastAsia="pt-PT" w:bidi="pt-PT"/>
        </w:rPr>
        <w:t xml:space="preserve">A preocupação freou o ciclo de queda da Selic, fazendo com que a taxa fosse renovada em 10,50% na duas reuniões seguintes do COPOM e, ainda, experimentando nova alta de 0,25 ponto percentual no encontro de setembro, o que elevou os juros básicos do país para taxa de 10,75% ao ano. </w:t>
      </w:r>
      <w:r>
        <w:rPr>
          <w:color w:val="000000"/>
          <w:spacing w:val="0"/>
          <w:w w:val="100"/>
          <w:position w:val="0"/>
          <w:shd w:val="clear" w:color="auto" w:fill="auto"/>
          <w:lang w:val="pt-BR" w:eastAsia="pt-BR" w:bidi="pt-BR"/>
        </w:rPr>
        <w:t xml:space="preserve">Posteriormente, </w:t>
      </w:r>
      <w:r>
        <w:rPr>
          <w:color w:val="000000"/>
          <w:spacing w:val="0"/>
          <w:w w:val="100"/>
          <w:position w:val="0"/>
          <w:shd w:val="clear" w:color="auto" w:fill="auto"/>
          <w:lang w:val="pt-PT" w:eastAsia="pt-PT" w:bidi="pt-PT"/>
        </w:rPr>
        <w:t xml:space="preserve">dois novos aumentos foram efetivados nos meses de novembro e dezembro, nas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magnitudes de 0,5 e 1 ponto percentual, elevando a taxa para 12,25% no encerramento de 2024.</w:t>
      </w:r>
    </w:p>
    <w:p>
      <w:pPr>
        <w:widowControl w:val="0"/>
        <w:jc w:val="center"/>
        <w:rPr>
          <w:sz w:val="2"/>
          <w:szCs w:val="2"/>
        </w:rPr>
        <w:sectPr>
          <w:headerReference w:type="default" r:id="rId47"/>
          <w:headerReference w:type="even" r:id="rId48"/>
          <w:headerReference w:type="first" r:id="rId49"/>
          <w:footnotePr>
            <w:pos w:val="pageBottom"/>
            <w:numFmt w:val="decimal"/>
            <w:numRestart w:val="continuous"/>
          </w:footnotePr>
          <w:pgSz w:w="11900" w:h="16840"/>
          <w:pgMar w:top="2017" w:left="1585" w:right="1589" w:bottom="322" w:header="0" w:footer="3" w:gutter="0"/>
          <w:cols w:space="720"/>
          <w:noEndnote/>
          <w:titlePg/>
          <w:rtlGutter w:val="0"/>
          <w:docGrid w:linePitch="360"/>
        </w:sectPr>
      </w:pPr>
      <w:r>
        <w:drawing>
          <wp:inline>
            <wp:extent cx="908050" cy="536575"/>
            <wp:docPr id="103" name="Picutre 103"/>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50"/>
                    <a:stretch/>
                  </pic:blipFill>
                  <pic:spPr>
                    <a:xfrm>
                      <a:ext cx="908050" cy="536575"/>
                    </a:xfrm>
                    <a:prstGeom prst="rect"/>
                  </pic:spPr>
                </pic:pic>
              </a:graphicData>
            </a:graphic>
          </wp:inline>
        </w:drawing>
      </w:r>
    </w:p>
    <w:p>
      <w:pPr>
        <w:pStyle w:val="Style10"/>
        <w:keepNext w:val="0"/>
        <w:keepLines w:val="0"/>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pt-PT" w:eastAsia="pt-PT" w:bidi="pt-PT"/>
        </w:rPr>
        <w:t xml:space="preserve">Em 2025, a política monetária brasileira </w:t>
      </w:r>
      <w:r>
        <w:rPr>
          <w:color w:val="000000"/>
          <w:spacing w:val="0"/>
          <w:w w:val="100"/>
          <w:position w:val="0"/>
          <w:shd w:val="clear" w:color="auto" w:fill="auto"/>
          <w:lang w:val="pt-BR" w:eastAsia="pt-BR" w:bidi="pt-BR"/>
        </w:rPr>
        <w:t xml:space="preserve">manteve-se </w:t>
      </w:r>
      <w:r>
        <w:rPr>
          <w:color w:val="000000"/>
          <w:spacing w:val="0"/>
          <w:w w:val="100"/>
          <w:position w:val="0"/>
          <w:shd w:val="clear" w:color="auto" w:fill="auto"/>
          <w:lang w:val="pt-PT" w:eastAsia="pt-PT" w:bidi="pt-PT"/>
        </w:rPr>
        <w:t xml:space="preserve">em terreno restritivo, refletindo a preocupação do Banco Central com o realinhamento das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inflacionárias e com o descompasso entre o ritmo de 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e o comportamento dos preços. O aumento da taxa Selic no final de 2024 teve continuidade nos primeiros meses do ano seguinte, diante de uma inflação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persistente do que o esperado, especialmente nos componentes de serviços e alimentação fora do domicílio. Além disso, o cenário externo, marcado por incertezas quanto ao cronograma de cortes de juros nos Estados Unidos e pela volatilidade dos preços das commodities, também contribuiu para a manutenção das pressões inflacionárias domésticas.</w:t>
      </w:r>
    </w:p>
    <w:p>
      <w:pPr>
        <w:widowControl w:val="0"/>
        <w:jc w:val="left"/>
        <w:rPr>
          <w:sz w:val="2"/>
          <w:szCs w:val="2"/>
        </w:rPr>
      </w:pPr>
      <w:r>
        <w:drawing>
          <wp:inline>
            <wp:extent cx="4492625" cy="1200785"/>
            <wp:docPr id="104" name="Picutre 104"/>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52"/>
                    <a:stretch/>
                  </pic:blipFill>
                  <pic:spPr>
                    <a:xfrm>
                      <a:ext cx="4492625" cy="1200785"/>
                    </a:xfrm>
                    <a:prstGeom prst="rect"/>
                  </pic:spPr>
                </pic:pic>
              </a:graphicData>
            </a:graphic>
          </wp:inline>
        </w:drawing>
      </w:r>
    </w:p>
    <w:p>
      <w:pPr>
        <w:widowControl w:val="0"/>
        <w:spacing w:after="179" w:line="1" w:lineRule="exact"/>
      </w:pP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Gráfico 3 - Evolução da Taxa Selic (%)</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BACEN.</w:t>
      </w:r>
    </w:p>
    <w:p>
      <w:pPr>
        <w:pStyle w:val="Style10"/>
        <w:keepNext w:val="0"/>
        <w:keepLines w:val="0"/>
        <w:widowControl w:val="0"/>
        <w:shd w:val="clear" w:color="auto" w:fill="auto"/>
        <w:bidi w:val="0"/>
        <w:spacing w:before="0" w:after="460" w:line="240" w:lineRule="auto"/>
        <w:ind w:left="0" w:right="0" w:firstLine="0"/>
        <w:jc w:val="left"/>
      </w:pPr>
      <w:r>
        <w:rPr>
          <w:color w:val="000000"/>
          <w:spacing w:val="0"/>
          <w:w w:val="100"/>
          <w:position w:val="0"/>
          <w:shd w:val="clear" w:color="auto" w:fill="auto"/>
          <w:lang w:val="pt-PT" w:eastAsia="pt-PT" w:bidi="pt-PT"/>
        </w:rPr>
        <w:t>NOTA: Dados até a última reunião do COPOM (2025).</w:t>
      </w:r>
    </w:p>
    <w:p>
      <w:pPr>
        <w:pStyle w:val="Style10"/>
        <w:keepNext w:val="0"/>
        <w:keepLines w:val="0"/>
        <w:widowControl w:val="0"/>
        <w:shd w:val="clear" w:color="auto" w:fill="auto"/>
        <w:bidi w:val="0"/>
        <w:spacing w:before="0" w:after="0" w:line="288" w:lineRule="auto"/>
        <w:ind w:left="0" w:right="0" w:firstLine="0"/>
        <w:jc w:val="left"/>
      </w:pPr>
      <w:r>
        <w:rPr>
          <w:color w:val="000000"/>
          <w:spacing w:val="0"/>
          <w:w w:val="100"/>
          <w:position w:val="0"/>
          <w:shd w:val="clear" w:color="auto" w:fill="auto"/>
          <w:lang w:val="pt-PT" w:eastAsia="pt-PT" w:bidi="pt-PT"/>
        </w:rPr>
        <w:t>Ao longo do ano a Selic passou por uma sequência de altas até atingir um patamar de contenção: partindo de 12,25% no fim de 2024, o Copom elevou a taxa em 1 ponto percentual para 13,25% em janeiro. Em março houve nova alta de 1 ponto percentual para 14,25%, seguida por um aumento de 0,5 ponto percentual em 7 de maio, que levou a Selic a 14,75%, e por um último ajuste de 0,25 ponto percentual em</w:t>
      </w:r>
    </w:p>
    <w:p>
      <w:pPr>
        <w:pStyle w:val="Style10"/>
        <w:keepNext w:val="0"/>
        <w:keepLines w:val="0"/>
        <w:widowControl w:val="0"/>
        <w:shd w:val="clear" w:color="auto" w:fill="auto"/>
        <w:bidi w:val="0"/>
        <w:spacing w:before="0" w:after="200" w:line="288" w:lineRule="auto"/>
        <w:ind w:left="0" w:right="0" w:firstLine="0"/>
        <w:jc w:val="left"/>
      </w:pPr>
      <w:r>
        <w:rPr>
          <w:color w:val="000000"/>
          <w:spacing w:val="0"/>
          <w:w w:val="100"/>
          <w:position w:val="0"/>
          <w:shd w:val="clear" w:color="auto" w:fill="auto"/>
          <w:lang w:val="pt-PT" w:eastAsia="pt-PT" w:bidi="pt-PT"/>
        </w:rPr>
        <w:t xml:space="preserve">18 de junho, quando a taxa alcançou 15% — decisão que marcou a sétima elevação consecutiva e, depois disso,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optou por manter o juro nesse nível nas reuniões subsequentes. Por fim, a última pesquisa Focus do Banco Central consolidava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de mercado de manutenção da taxa nesse nível ao final de 2025.</w:t>
      </w:r>
    </w:p>
    <w:p>
      <w:pPr>
        <w:pStyle w:val="Style10"/>
        <w:keepNext w:val="0"/>
        <w:keepLines w:val="0"/>
        <w:widowControl w:val="0"/>
        <w:shd w:val="clear" w:color="auto" w:fill="auto"/>
        <w:bidi w:val="0"/>
        <w:spacing w:before="0" w:after="280"/>
        <w:ind w:left="0" w:right="0" w:firstLine="0"/>
        <w:jc w:val="left"/>
      </w:pPr>
      <w:r>
        <w:rPr>
          <w:color w:val="000000"/>
          <w:spacing w:val="0"/>
          <w:w w:val="100"/>
          <w:position w:val="0"/>
          <w:shd w:val="clear" w:color="auto" w:fill="auto"/>
          <w:lang w:val="pt-PT" w:eastAsia="pt-PT" w:bidi="pt-PT"/>
        </w:rPr>
        <w:t xml:space="preserve">Para 2026, as projeções indicam um novo ciclo de queda da Selic, com um ajuste moderado sendo previsto no decorrer do próximo exercício. Segundo as Pesquisas Focus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recentes, a Selic fecha 2026 em 12,13%, ou seja, 2,87 pontos percentuais abaixo do patamar atual. Isto porque, as previsões de IPCA também indicam leva queda da inflação no próximo ano, com o indicador recuando 0,69 ponto percentual entre a taxas de encerramento de 2025 (4,26%) e 2026 (3,91%). Em outras palavras, </w:t>
      </w:r>
      <w:r>
        <w:rPr>
          <w:color w:val="000000"/>
          <w:spacing w:val="0"/>
          <w:w w:val="100"/>
          <w:position w:val="0"/>
          <w:shd w:val="clear" w:color="auto" w:fill="auto"/>
          <w:lang w:val="pt-BR" w:eastAsia="pt-BR" w:bidi="pt-BR"/>
        </w:rPr>
        <w:t xml:space="preserve">observa-se </w:t>
      </w:r>
      <w:r>
        <w:rPr>
          <w:color w:val="000000"/>
          <w:spacing w:val="0"/>
          <w:w w:val="100"/>
          <w:position w:val="0"/>
          <w:shd w:val="clear" w:color="auto" w:fill="auto"/>
          <w:lang w:val="pt-PT" w:eastAsia="pt-PT" w:bidi="pt-PT"/>
        </w:rPr>
        <w:t>que a previsão é de um IPCA novamente acima da meta em ambos os anos (3% no acumulado dos últimos 12 meses), ficando dentro do teto em 2025 (4,5%), mas recuando para um nível intermediário entre o centro e o teto da meta a partir de 2026.</w:t>
      </w:r>
    </w:p>
    <w:p>
      <w:pPr>
        <w:widowControl w:val="0"/>
        <w:jc w:val="left"/>
        <w:rPr>
          <w:sz w:val="2"/>
          <w:szCs w:val="2"/>
        </w:rPr>
      </w:pPr>
      <w:r>
        <w:drawing>
          <wp:inline>
            <wp:extent cx="4395470" cy="1755775"/>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54"/>
                    <a:stretch/>
                  </pic:blipFill>
                  <pic:spPr>
                    <a:xfrm>
                      <a:ext cx="4395470" cy="1755775"/>
                    </a:xfrm>
                    <a:prstGeom prst="rect"/>
                  </pic:spPr>
                </pic:pic>
              </a:graphicData>
            </a:graphic>
          </wp:inline>
        </w:drawing>
      </w:r>
    </w:p>
    <w:p>
      <w:pPr>
        <w:pStyle w:val="Style25"/>
        <w:keepNext w:val="0"/>
        <w:keepLines w:val="0"/>
        <w:widowControl w:val="0"/>
        <w:shd w:val="clear" w:color="auto" w:fill="auto"/>
        <w:bidi w:val="0"/>
        <w:spacing w:before="0" w:after="0" w:line="240" w:lineRule="auto"/>
        <w:ind w:left="3679" w:right="0" w:firstLine="0"/>
        <w:jc w:val="left"/>
        <w:rPr>
          <w:sz w:val="12"/>
          <w:szCs w:val="12"/>
        </w:rPr>
      </w:pPr>
      <w:r>
        <w:rPr>
          <w:b/>
          <w:bCs/>
          <w:color w:val="000000"/>
          <w:spacing w:val="0"/>
          <w:w w:val="100"/>
          <w:position w:val="0"/>
          <w:sz w:val="12"/>
          <w:szCs w:val="12"/>
          <w:shd w:val="clear" w:color="auto" w:fill="auto"/>
          <w:lang w:val="pt-PT" w:eastAsia="pt-PT" w:bidi="pt-PT"/>
        </w:rPr>
        <w:t>Ano</w:t>
      </w:r>
    </w:p>
    <w:p>
      <w:pPr>
        <w:widowControl w:val="0"/>
        <w:spacing w:after="199" w:line="1" w:lineRule="exact"/>
      </w:pPr>
    </w:p>
    <w:p>
      <w:pPr>
        <w:pStyle w:val="Style10"/>
        <w:keepNext w:val="0"/>
        <w:keepLines w:val="0"/>
        <w:widowControl w:val="0"/>
        <w:shd w:val="clear" w:color="auto" w:fill="auto"/>
        <w:bidi w:val="0"/>
        <w:spacing w:before="0" w:after="0" w:line="290" w:lineRule="auto"/>
        <w:ind w:left="0" w:right="0" w:firstLine="0"/>
        <w:jc w:val="left"/>
      </w:pPr>
      <w:r>
        <w:rPr>
          <w:color w:val="000000"/>
          <w:spacing w:val="0"/>
          <w:w w:val="100"/>
          <w:position w:val="0"/>
          <w:shd w:val="clear" w:color="auto" w:fill="auto"/>
          <w:lang w:val="pt-PT" w:eastAsia="pt-PT" w:bidi="pt-PT"/>
        </w:rPr>
        <w:t>Gráfico 4 - Série Histórica IPCA Anual (%) Fonte: IBGE.</w:t>
      </w:r>
    </w:p>
    <w:p>
      <w:pPr>
        <w:pStyle w:val="Style10"/>
        <w:keepNext w:val="0"/>
        <w:keepLines w:val="0"/>
        <w:widowControl w:val="0"/>
        <w:shd w:val="clear" w:color="auto" w:fill="auto"/>
        <w:bidi w:val="0"/>
        <w:spacing w:before="0" w:after="300" w:line="290" w:lineRule="auto"/>
        <w:ind w:left="0" w:right="0" w:firstLine="0"/>
        <w:jc w:val="left"/>
      </w:pPr>
      <w:r>
        <w:rPr>
          <w:color w:val="000000"/>
          <w:spacing w:val="0"/>
          <w:w w:val="100"/>
          <w:position w:val="0"/>
          <w:shd w:val="clear" w:color="auto" w:fill="auto"/>
          <w:lang w:val="pt-PT" w:eastAsia="pt-PT" w:bidi="pt-PT"/>
        </w:rPr>
        <w:t>Nota: (*) Pesquisa Focus de 2025.</w:t>
      </w:r>
    </w:p>
    <w:p>
      <w:pPr>
        <w:widowControl w:val="0"/>
        <w:jc w:val="center"/>
        <w:rPr>
          <w:sz w:val="2"/>
          <w:szCs w:val="2"/>
        </w:rPr>
      </w:pPr>
      <w:r>
        <w:drawing>
          <wp:inline>
            <wp:extent cx="1060450" cy="743585"/>
            <wp:docPr id="106" name="Picutre 106"/>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56"/>
                    <a:stretch/>
                  </pic:blipFill>
                  <pic:spPr>
                    <a:xfrm>
                      <a:ext cx="1060450" cy="743585"/>
                    </a:xfrm>
                    <a:prstGeom prst="rect"/>
                  </pic:spPr>
                </pic:pic>
              </a:graphicData>
            </a:graphic>
          </wp:inline>
        </w:drawing>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Assim como em 2024, a situação fiscal continuou a constituir um risco central para a </w:t>
      </w:r>
      <w:r>
        <w:rPr>
          <w:color w:val="000000"/>
          <w:spacing w:val="0"/>
          <w:w w:val="100"/>
          <w:position w:val="0"/>
          <w:shd w:val="clear" w:color="auto" w:fill="auto"/>
          <w:lang w:val="pt-BR" w:eastAsia="pt-BR" w:bidi="pt-BR"/>
        </w:rPr>
        <w:t xml:space="preserve">ancoragem </w:t>
      </w:r>
      <w:r>
        <w:rPr>
          <w:color w:val="000000"/>
          <w:spacing w:val="0"/>
          <w:w w:val="100"/>
          <w:position w:val="0"/>
          <w:shd w:val="clear" w:color="auto" w:fill="auto"/>
          <w:lang w:val="pt-PT" w:eastAsia="pt-PT" w:bidi="pt-PT"/>
        </w:rPr>
        <w:t xml:space="preserve">das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inflacionárias em 2025. A trajetória do endividamento, os elevados encargos com juros e a necessidade de </w:t>
      </w:r>
      <w:r>
        <w:rPr>
          <w:color w:val="000000"/>
          <w:spacing w:val="0"/>
          <w:w w:val="100"/>
          <w:position w:val="0"/>
          <w:shd w:val="clear" w:color="auto" w:fill="auto"/>
          <w:lang w:val="pt-BR" w:eastAsia="pt-BR" w:bidi="pt-BR"/>
        </w:rPr>
        <w:t xml:space="preserve">rolagem </w:t>
      </w:r>
      <w:r>
        <w:rPr>
          <w:color w:val="000000"/>
          <w:spacing w:val="0"/>
          <w:w w:val="100"/>
          <w:position w:val="0"/>
          <w:shd w:val="clear" w:color="auto" w:fill="auto"/>
          <w:lang w:val="pt-PT" w:eastAsia="pt-PT" w:bidi="pt-PT"/>
        </w:rPr>
        <w:t xml:space="preserve">da dívida exigiram elevados </w:t>
      </w:r>
      <w:r>
        <w:rPr>
          <w:color w:val="000000"/>
          <w:spacing w:val="0"/>
          <w:w w:val="100"/>
          <w:position w:val="0"/>
          <w:shd w:val="clear" w:color="auto" w:fill="auto"/>
          <w:lang w:val="pt-BR" w:eastAsia="pt-BR" w:bidi="pt-BR"/>
        </w:rPr>
        <w:t xml:space="preserve">prêmios </w:t>
      </w:r>
      <w:r>
        <w:rPr>
          <w:color w:val="000000"/>
          <w:spacing w:val="0"/>
          <w:w w:val="100"/>
          <w:position w:val="0"/>
          <w:shd w:val="clear" w:color="auto" w:fill="auto"/>
          <w:lang w:val="pt-PT" w:eastAsia="pt-PT" w:bidi="pt-PT"/>
        </w:rPr>
        <w:t>de risco, mantendo uma tensão sobre o cenário de preços.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Simultaneamente, o consumo das famílias e o mercado de trabalho mantiveram significativos níveis de resiliência — sustentados por programas sociais, pelo pagamento de precatórios e por uma política de renda que ajudou a manter a economia doméstica aquecida. Todavia, esse impulso continua, mas já com sinais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a atividade do varejo e o crescimento do consumo real estão perdendo velocidade, e o mercado de trabalho embora ainda "apertado", já dá indícios de moderação.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Nesse contexto, a inflação brasileira registrou taxa anual acima ou muito próxima do teto da meta em 2025, mas também mostrando elementos de estabilização. A política monetária intensificada (com a taxa Selic elevada) e a moderação esperada da demanda doméstica, além de uma possível apreciação cambial e menor pressão internacional sobre commodities, são os elementos que sustentam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de que a inflação poderá começar a convergir para níveis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baixos a partir de 2026.</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ano de 2025, o IPCA acumulou alta de </w:t>
      </w:r>
      <w:r>
        <w:rPr>
          <w:color w:val="000000"/>
          <w:spacing w:val="0"/>
          <w:w w:val="100"/>
          <w:position w:val="0"/>
          <w:shd w:val="clear" w:color="auto" w:fill="auto"/>
          <w:lang w:val="pt-BR" w:eastAsia="pt-BR" w:bidi="pt-BR"/>
        </w:rPr>
        <w:t xml:space="preserve">aproximadamente </w:t>
      </w:r>
      <w:r>
        <w:rPr>
          <w:color w:val="000000"/>
          <w:spacing w:val="0"/>
          <w:w w:val="100"/>
          <w:position w:val="0"/>
          <w:shd w:val="clear" w:color="auto" w:fill="auto"/>
          <w:lang w:val="pt-PT" w:eastAsia="pt-PT" w:bidi="pt-PT"/>
        </w:rPr>
        <w:t>4,60%, enquanto o acumulado nos últimos 12 meses encerrados em dezembro atingiu cerca de 4,60%. Esses resultados refletem a persistência de pressões inflacionárias em alguns setores da economia, mesmo diante das políticas de contenção implementadas ao longo do ano.</w:t>
      </w:r>
    </w:p>
    <w:p>
      <w:pPr>
        <w:pStyle w:val="Style10"/>
        <w:keepNext w:val="0"/>
        <w:keepLines w:val="0"/>
        <w:widowControl w:val="0"/>
        <w:shd w:val="clear" w:color="auto" w:fill="auto"/>
        <w:bidi w:val="0"/>
        <w:spacing w:before="0" w:after="200"/>
        <w:ind w:left="0" w:right="0" w:firstLine="0"/>
        <w:jc w:val="left"/>
      </w:pPr>
      <w:r>
        <w:rPr>
          <w:color w:val="000000"/>
          <w:spacing w:val="0"/>
          <w:w w:val="100"/>
          <w:position w:val="0"/>
          <w:shd w:val="clear" w:color="auto" w:fill="auto"/>
          <w:lang w:val="pt-PT" w:eastAsia="pt-PT" w:bidi="pt-PT"/>
        </w:rPr>
        <w:t xml:space="preserve">Ao analisar os grupos de bens e serviços pesquisados pelo IBGE, </w:t>
      </w:r>
      <w:r>
        <w:rPr>
          <w:color w:val="000000"/>
          <w:spacing w:val="0"/>
          <w:w w:val="100"/>
          <w:position w:val="0"/>
          <w:shd w:val="clear" w:color="auto" w:fill="auto"/>
          <w:lang w:val="pt-BR" w:eastAsia="pt-BR" w:bidi="pt-BR"/>
        </w:rPr>
        <w:t xml:space="preserve">verifica-se </w:t>
      </w:r>
      <w:r>
        <w:rPr>
          <w:color w:val="000000"/>
          <w:spacing w:val="0"/>
          <w:w w:val="100"/>
          <w:position w:val="0"/>
          <w:shd w:val="clear" w:color="auto" w:fill="auto"/>
          <w:lang w:val="pt-PT" w:eastAsia="pt-PT" w:bidi="pt-PT"/>
        </w:rPr>
        <w:t xml:space="preserve">que os maiores impactos sobre a inflação acumulada no ano vieram de Educação (6,54%) e Saúde e Cuidados Pessoais (6,47%), enquanto grupos como Artigos de residência (1,32%), Comunicação (0,58%) e Transportes (2,41%) apresentaram variações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moderadas. Alimentação e bebidas, grupo de grande peso na cesta do IPCA, acumulou 4,12%, mostrando comportamento relevante na composição da inflação ao longo do período. A inflação acumulada em 12 meses até dezembro também apresentou destaque para Saúde e Cuidados Pessoais (6,47%), Educação (6,54%) e Habitação (5,92%), evidenciando que esses segmentos continuam sendo importantes vetores de pressão sobre os preços gerais.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e Produto Interno Bruto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Durante os 03 anos que antecederam a pandemia (2017 a 2019), o Produto Interno Bruto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brasileiro cresceu a taxas módicas, pouco superiores a 1%, mantendo um ritmo de recuperação abaixo das necessidades do pais, haja vista a significativa retração ocorrida entre os anos de 2015 e 2016, período em que a economia doméstica encolheu -7,8%.</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2020, o advento da pandemia e a conseguinte paralisação de boa parte das atividades </w:t>
      </w:r>
      <w:r>
        <w:rPr>
          <w:color w:val="000000"/>
          <w:spacing w:val="0"/>
          <w:w w:val="100"/>
          <w:position w:val="0"/>
          <w:shd w:val="clear" w:color="auto" w:fill="auto"/>
          <w:lang w:val="pt-BR" w:eastAsia="pt-BR" w:bidi="pt-BR"/>
        </w:rPr>
        <w:t xml:space="preserve">econômicas </w:t>
      </w:r>
      <w:r>
        <w:rPr>
          <w:color w:val="000000"/>
          <w:spacing w:val="0"/>
          <w:w w:val="100"/>
          <w:position w:val="0"/>
          <w:shd w:val="clear" w:color="auto" w:fill="auto"/>
          <w:lang w:val="pt-PT" w:eastAsia="pt-PT" w:bidi="pt-PT"/>
        </w:rPr>
        <w:t xml:space="preserve">rechaçou qualquer possibilidade de crescimento. Com efeito, a partir de março daquele ano, as tímidas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de expansão da economia foram rapidamente substituídas por uma nova e severa previsão de queda, com 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perfazendo uma variação negativa de -4,1% ao final do período.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Já em 2021, a evolução positiva do programa de imunizações, tanto em percentual de brasileiros vacinados como no que se refere à efetiva redução de óbitos e internações, permitiram aos governos subnacionais flexibilizarem as regras de distanciamento social, tendo como consequência a retomada de diversas atividades </w:t>
      </w:r>
      <w:r>
        <w:rPr>
          <w:color w:val="000000"/>
          <w:spacing w:val="0"/>
          <w:w w:val="100"/>
          <w:position w:val="0"/>
          <w:shd w:val="clear" w:color="auto" w:fill="auto"/>
          <w:lang w:val="pt-BR" w:eastAsia="pt-BR" w:bidi="pt-BR"/>
        </w:rPr>
        <w:t xml:space="preserve">econômicas </w:t>
      </w:r>
      <w:r>
        <w:rPr>
          <w:color w:val="000000"/>
          <w:spacing w:val="0"/>
          <w:w w:val="100"/>
          <w:position w:val="0"/>
          <w:shd w:val="clear" w:color="auto" w:fill="auto"/>
          <w:lang w:val="pt-PT" w:eastAsia="pt-PT" w:bidi="pt-PT"/>
        </w:rPr>
        <w:t xml:space="preserve">e um maior otimismo em relação ao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No decorrer do ano, as estimativas chegaram a indicar uma expansão superior a 5%, todavia, o inicio do ciclo de alta da Selic diminuiu o ritmo da recuperação projetada, com 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fechando 2021 perfazendo alta de 4,6%.</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Na esteira do ciclo de alta da Selic e 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 xml:space="preserve">aperto das condições monetárias e de inflação, as previsões iniciais para 2022 indicavam um tímido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 xml:space="preserve">estimando-se uma variação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próxima a apenas 0,3%. No entanto, puxado pela indústria (1,6%) e, principalmente, pelo setor de serviços (4,2%), que já responde por 68,5%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brasileiro, a 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surpreendeu em 2022, crescendo 2,9% e ficando em linha com a média do crescimento global aferido no ano passado.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Não obstante, as primeiras projeções para 2023 </w:t>
      </w:r>
      <w:r>
        <w:rPr>
          <w:color w:val="000000"/>
          <w:spacing w:val="0"/>
          <w:w w:val="100"/>
          <w:position w:val="0"/>
          <w:shd w:val="clear" w:color="auto" w:fill="auto"/>
          <w:lang w:val="pt-BR" w:eastAsia="pt-BR" w:bidi="pt-BR"/>
        </w:rPr>
        <w:t xml:space="preserve">praticamente </w:t>
      </w:r>
      <w:r>
        <w:rPr>
          <w:color w:val="000000"/>
          <w:spacing w:val="0"/>
          <w:w w:val="100"/>
          <w:position w:val="0"/>
          <w:shd w:val="clear" w:color="auto" w:fill="auto"/>
          <w:lang w:val="pt-PT" w:eastAsia="pt-PT" w:bidi="pt-PT"/>
        </w:rPr>
        <w:t xml:space="preserve">migraram o pessimismo incialmente estimado para 2022. A política monetária contracionista vigente à época permeou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do mercado, que no começo do ano passado estimava um crescimento próximo de apenas 1% para 2023. No entanto, repetindo 2022, a atividade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voltou a mostrar resiliência, conduzindo 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brasileiro a uma expansão de 2,9% no período.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2024, o cenário </w:t>
      </w:r>
      <w:r>
        <w:rPr>
          <w:color w:val="000000"/>
          <w:spacing w:val="0"/>
          <w:w w:val="100"/>
          <w:position w:val="0"/>
          <w:shd w:val="clear" w:color="auto" w:fill="auto"/>
          <w:lang w:val="pt-BR" w:eastAsia="pt-BR" w:bidi="pt-BR"/>
        </w:rPr>
        <w:t xml:space="preserve">praticamente </w:t>
      </w:r>
      <w:r>
        <w:rPr>
          <w:color w:val="000000"/>
          <w:spacing w:val="0"/>
          <w:w w:val="100"/>
          <w:position w:val="0"/>
          <w:shd w:val="clear" w:color="auto" w:fill="auto"/>
          <w:lang w:val="pt-PT" w:eastAsia="pt-PT" w:bidi="pt-PT"/>
        </w:rPr>
        <w:t xml:space="preserve">se repete. Em que pese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de queda dos juros estar presente desde o começo do ano, as projeções iniciais de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para o corrente exercício indicavam um crescimento em torno de apenas 1,5%. Todavia, puxado pelo consumo das famílias e pelo satisfatório desempenho do mercado de trabalho, a economia doméstica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uma vez se mostrou resiliente, surpreendendo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iniciais e encerrando o exercício com um crescimento de 3,4%.</w:t>
      </w:r>
      <w:r>
        <w:br w:type="page"/>
      </w:r>
    </w:p>
    <w:p>
      <w:pPr>
        <w:widowControl w:val="0"/>
        <w:spacing w:line="1" w:lineRule="exact"/>
      </w:pPr>
      <w:r>
        <w:drawing>
          <wp:anchor distT="0" distB="720090" distL="0" distR="0" simplePos="0" relativeHeight="125829439" behindDoc="0" locked="0" layoutInCell="1" allowOverlap="1">
            <wp:simplePos x="0" y="0"/>
            <wp:positionH relativeFrom="page">
              <wp:posOffset>1097280</wp:posOffset>
            </wp:positionH>
            <wp:positionV relativeFrom="paragraph">
              <wp:posOffset>0</wp:posOffset>
            </wp:positionV>
            <wp:extent cx="4535170" cy="1554480"/>
            <wp:wrapTopAndBottom/>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58"/>
                    <a:stretch/>
                  </pic:blipFill>
                  <pic:spPr>
                    <a:xfrm>
                      <a:ext cx="4535170" cy="155448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1339850</wp:posOffset>
                </wp:positionH>
                <wp:positionV relativeFrom="paragraph">
                  <wp:posOffset>1581785</wp:posOffset>
                </wp:positionV>
                <wp:extent cx="228600" cy="105410"/>
                <wp:wrapNone/>
                <wp:docPr id="109" name="Shape 109"/>
                <a:graphic xmlns:a="http://schemas.openxmlformats.org/drawingml/2006/main">
                  <a:graphicData uri="http://schemas.microsoft.com/office/word/2010/wordprocessingShape">
                    <wps:wsp>
                      <wps:cNvSpPr txBox="1"/>
                      <wps:spPr>
                        <a:xfrm>
                          <a:ext cx="228600" cy="10541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-6,00%</w:t>
                            </w:r>
                          </w:p>
                        </w:txbxContent>
                      </wps:txbx>
                      <wps:bodyPr lIns="0" tIns="0" rIns="0" bIns="0">
                        <a:noAutoFit/>
                      </wps:bodyPr>
                    </wps:wsp>
                  </a:graphicData>
                </a:graphic>
              </wp:anchor>
            </w:drawing>
          </mc:Choice>
          <mc:Fallback>
            <w:pict>
              <v:shape id="_x0000_s1135" type="#_x0000_t202" style="position:absolute;margin-left:105.5pt;margin-top:124.55pt;width:18.pt;height:8.3000000000000007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-6,00%</w:t>
                      </w:r>
                    </w:p>
                  </w:txbxContent>
                </v:textbox>
                <w10:wrap anchorx="page"/>
              </v:shape>
            </w:pict>
          </mc:Fallback>
        </mc:AlternateContent>
      </w:r>
      <w:r>
        <w:drawing>
          <wp:anchor distT="1623060" distB="409575" distL="539750" distR="0" simplePos="0" relativeHeight="125829440" behindDoc="0" locked="0" layoutInCell="1" allowOverlap="1">
            <wp:simplePos x="0" y="0"/>
            <wp:positionH relativeFrom="page">
              <wp:posOffset>1564005</wp:posOffset>
            </wp:positionH>
            <wp:positionV relativeFrom="paragraph">
              <wp:posOffset>1623060</wp:posOffset>
            </wp:positionV>
            <wp:extent cx="4023360" cy="243840"/>
            <wp:wrapTopAndBottom/>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60"/>
                    <a:stretch/>
                  </pic:blipFill>
                  <pic:spPr>
                    <a:xfrm>
                      <a:ext cx="4023360" cy="2438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1024255</wp:posOffset>
                </wp:positionH>
                <wp:positionV relativeFrom="paragraph">
                  <wp:posOffset>2153285</wp:posOffset>
                </wp:positionV>
                <wp:extent cx="2848610" cy="95885"/>
                <wp:wrapNone/>
                <wp:docPr id="113" name="Shape 113"/>
                <a:graphic xmlns:a="http://schemas.openxmlformats.org/drawingml/2006/main">
                  <a:graphicData uri="http://schemas.microsoft.com/office/word/2010/wordprocessingShape">
                    <wps:wsp>
                      <wps:cNvSpPr txBox="1"/>
                      <wps:spPr>
                        <a:xfrm>
                          <a:ext cx="2848610" cy="95885"/>
                        </a:xfrm>
                        <a:prstGeom prst="rect"/>
                        <a:noFill/>
                      </wps:spPr>
                      <wps:txbx>
                        <w:txbxContent>
                          <w:p>
                            <w:pPr>
                              <w:pStyle w:val="Style25"/>
                              <w:keepNext w:val="0"/>
                              <w:keepLines w:val="0"/>
                              <w:widowControl w:val="0"/>
                              <w:shd w:val="clear" w:color="auto" w:fill="auto"/>
                              <w:bidi w:val="0"/>
                              <w:spacing w:before="0" w:after="0" w:line="240" w:lineRule="auto"/>
                              <w:ind w:left="3820" w:right="0" w:firstLine="0"/>
                              <w:jc w:val="left"/>
                            </w:pPr>
                            <w:r>
                              <w:rPr>
                                <w:color w:val="000000"/>
                                <w:spacing w:val="0"/>
                                <w:w w:val="100"/>
                                <w:position w:val="0"/>
                                <w:shd w:val="clear" w:color="auto" w:fill="auto"/>
                                <w:lang w:val="pt-PT" w:eastAsia="pt-PT" w:bidi="pt-PT"/>
                              </w:rPr>
                              <w:t>Ano</w:t>
                            </w:r>
                          </w:p>
                        </w:txbxContent>
                      </wps:txbx>
                      <wps:bodyPr lIns="0" tIns="0" rIns="0" bIns="0">
                        <a:noAutoFit/>
                      </wps:bodyPr>
                    </wps:wsp>
                  </a:graphicData>
                </a:graphic>
              </wp:anchor>
            </w:drawing>
          </mc:Choice>
          <mc:Fallback>
            <w:pict>
              <v:shape id="_x0000_s1139" type="#_x0000_t202" style="position:absolute;margin-left:80.650000000000006pt;margin-top:169.55000000000001pt;width:224.30000000000001pt;height:7.5499999999999998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3820" w:right="0" w:firstLine="0"/>
                        <w:jc w:val="left"/>
                      </w:pPr>
                      <w:r>
                        <w:rPr>
                          <w:color w:val="000000"/>
                          <w:spacing w:val="0"/>
                          <w:w w:val="100"/>
                          <w:position w:val="0"/>
                          <w:shd w:val="clear" w:color="auto" w:fill="auto"/>
                          <w:lang w:val="pt-PT" w:eastAsia="pt-PT" w:bidi="pt-PT"/>
                        </w:rPr>
                        <w:t>Ano</w:t>
                      </w:r>
                    </w:p>
                  </w:txbxContent>
                </v:textbox>
                <w10:wrap anchorx="page"/>
              </v:shape>
            </w:pict>
          </mc:Fallback>
        </mc:AlternateContent>
      </w:r>
    </w:p>
    <w:p>
      <w:pPr>
        <w:pStyle w:val="Style10"/>
        <w:keepNext w:val="0"/>
        <w:keepLines w:val="0"/>
        <w:widowControl w:val="0"/>
        <w:shd w:val="clear" w:color="auto" w:fill="auto"/>
        <w:bidi w:val="0"/>
        <w:spacing w:before="0" w:after="0" w:line="290" w:lineRule="auto"/>
        <w:ind w:left="0" w:right="4160" w:firstLine="0"/>
        <w:jc w:val="left"/>
      </w:pPr>
      <w:r>
        <w:rPr>
          <w:color w:val="000000"/>
          <w:spacing w:val="0"/>
          <w:w w:val="100"/>
          <w:position w:val="0"/>
          <w:shd w:val="clear" w:color="auto" w:fill="auto"/>
          <w:lang w:val="pt-PT" w:eastAsia="pt-PT" w:bidi="pt-PT"/>
        </w:rPr>
        <w:t xml:space="preserve">Gráfico 5 - Série Histórica a preços de mercado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Fonte: IBGE.</w:t>
      </w:r>
    </w:p>
    <w:p>
      <w:pPr>
        <w:pStyle w:val="Style10"/>
        <w:keepNext w:val="0"/>
        <w:keepLines w:val="0"/>
        <w:widowControl w:val="0"/>
        <w:shd w:val="clear" w:color="auto" w:fill="auto"/>
        <w:bidi w:val="0"/>
        <w:spacing w:before="0" w:after="200" w:line="290" w:lineRule="auto"/>
        <w:ind w:left="0" w:right="0" w:firstLine="0"/>
        <w:jc w:val="left"/>
      </w:pPr>
      <w:r>
        <w:rPr>
          <w:color w:val="000000"/>
          <w:spacing w:val="0"/>
          <w:w w:val="100"/>
          <w:position w:val="0"/>
          <w:shd w:val="clear" w:color="auto" w:fill="auto"/>
          <w:lang w:val="pt-PT" w:eastAsia="pt-PT" w:bidi="pt-PT"/>
        </w:rPr>
        <w:t>(*) Projeções da Pesquisa Focus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Já em 2025, a trajetória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brasileiro apresentou sinais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combinados com alguma resiliência, resultando em um crescimento moderado no ano. O índice IBC-Br, considerado uma prévia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oficial do país, registrou variação de -0,20 % em outubro frente a setembro, refletindo oscilações no ritmo de atividade ao longo do segundo semestre, com destaque para movimentos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moderados na indústria e no setor de serviços. Na base de 12 meses até dezembro, o índice acumulou expansão próxima de 2,4 %, indicando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 xml:space="preserve">de dinamismo em relação ao observado no ano anterior. Ainda assim, ao longo dos últimos meses do ano observou-se algum grau de recuperação pontual da atividade, sugerindo que parte da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esteve associada a ajustes conjunturais e aos efeitos defasados da política monetária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restritiva. Crescimento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em 2025 foi de 2,30%.</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Por fim, no que se refere </w:t>
      </w:r>
      <w:r>
        <w:rPr>
          <w:color w:val="000000"/>
          <w:spacing w:val="0"/>
          <w:w w:val="100"/>
          <w:position w:val="0"/>
          <w:shd w:val="clear" w:color="auto" w:fill="auto"/>
          <w:lang w:val="pt-BR" w:eastAsia="pt-BR" w:bidi="pt-BR"/>
        </w:rPr>
        <w:t xml:space="preserve">às expectativas </w:t>
      </w:r>
      <w:r>
        <w:rPr>
          <w:color w:val="000000"/>
          <w:spacing w:val="0"/>
          <w:w w:val="100"/>
          <w:position w:val="0"/>
          <w:shd w:val="clear" w:color="auto" w:fill="auto"/>
          <w:lang w:val="pt-PT" w:eastAsia="pt-PT" w:bidi="pt-PT"/>
        </w:rPr>
        <w:t xml:space="preserve">para 2026, as projeções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recentes do mercado </w:t>
      </w:r>
      <w:r>
        <w:rPr>
          <w:color w:val="000000"/>
          <w:spacing w:val="0"/>
          <w:w w:val="100"/>
          <w:position w:val="0"/>
          <w:shd w:val="clear" w:color="auto" w:fill="auto"/>
          <w:lang w:val="pt-BR" w:eastAsia="pt-BR" w:bidi="pt-BR"/>
        </w:rPr>
        <w:t xml:space="preserve">disponibilizadas </w:t>
      </w:r>
      <w:r>
        <w:rPr>
          <w:color w:val="000000"/>
          <w:spacing w:val="0"/>
          <w:w w:val="100"/>
          <w:position w:val="0"/>
          <w:shd w:val="clear" w:color="auto" w:fill="auto"/>
          <w:lang w:val="pt-PT" w:eastAsia="pt-PT" w:bidi="pt-PT"/>
        </w:rPr>
        <w:t xml:space="preserve">pelo Relatório Focus apontam para uma expansão bastante modesta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brasileiro — a mediana </w:t>
      </w:r>
      <w:r>
        <w:rPr>
          <w:color w:val="000000"/>
          <w:spacing w:val="0"/>
          <w:w w:val="100"/>
          <w:position w:val="0"/>
          <w:shd w:val="clear" w:color="auto" w:fill="auto"/>
          <w:lang w:val="pt-BR" w:eastAsia="pt-BR" w:bidi="pt-BR"/>
        </w:rPr>
        <w:t xml:space="preserve">situa-se </w:t>
      </w:r>
      <w:r>
        <w:rPr>
          <w:color w:val="000000"/>
          <w:spacing w:val="0"/>
          <w:w w:val="100"/>
          <w:position w:val="0"/>
          <w:shd w:val="clear" w:color="auto" w:fill="auto"/>
          <w:lang w:val="pt-PT" w:eastAsia="pt-PT" w:bidi="pt-PT"/>
        </w:rPr>
        <w:t xml:space="preserve">em torno de 1,82%. Esse cenário sinaliza claramente que o mercado espera que o ano seguinte já esteja sob forte influência dos efeitos da política monetária restritiva vigente, do elevado nível de juros e de uma conjuntura externa menos favorável. Em outras palavras, apesar da economia ainda evitar uma recessão formal,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é de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em relação aos anos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recentes, acarretando provavelmente um ritmo de crescimento baixo e insuficiente para acelerações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expressivas. No âmbito internacional, os relatórios da OCDE e do FMI reforçam esse quadro com prognósticos de crescimento mundial moderado e de risco elevado — fatores que acabam por pressionar o desempenho brasileiro. A OCDE estima que 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real do Brasil crescerá cerca de 1,9% em 2026, abaixo dos 2,1% previstos para 2025. Já o FMI, que recentemente ajustou suas projeções globais, estima crescimento para o Brasil de cerca de 2,0% em 2026, após expansão próxima de 2,2% em 2025, refletindo, entre outros fatores, um ambiente externo ainda desafiador e condições financeiras domésticas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restritivas. Esse duplo reforço de cenário — mercado interno limitado + ambiente externo incerto — aponta para um ano de crescimento moderado para o Brasil em 2026, com margem relativamente estreita para surpresas positivas. Análise 2025 e </w:t>
      </w:r>
      <w:r>
        <w:rPr>
          <w:color w:val="000000"/>
          <w:spacing w:val="0"/>
          <w:w w:val="100"/>
          <w:position w:val="0"/>
          <w:shd w:val="clear" w:color="auto" w:fill="auto"/>
          <w:lang w:val="pt-BR" w:eastAsia="pt-BR" w:bidi="pt-BR"/>
        </w:rPr>
        <w:t xml:space="preserve">Perspectivas </w:t>
      </w:r>
      <w:r>
        <w:rPr>
          <w:color w:val="000000"/>
          <w:spacing w:val="0"/>
          <w:w w:val="100"/>
          <w:position w:val="0"/>
          <w:shd w:val="clear" w:color="auto" w:fill="auto"/>
          <w:lang w:val="pt-PT" w:eastAsia="pt-PT" w:bidi="pt-PT"/>
        </w:rPr>
        <w:t>para 2026</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Mesmo em meio ao ciclo de elevação da Selic, o segmento de renda fixa apresentou desempenho satisfatório ao longo de 2025. O ano iniciou sob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de estabilidade monetária e melhora gradual da atividade, mas a combinação entre desequilíbrio fiscal, inflação ainda resistente e aumento da </w:t>
      </w:r>
      <w:r>
        <w:rPr>
          <w:color w:val="000000"/>
          <w:spacing w:val="0"/>
          <w:w w:val="100"/>
          <w:position w:val="0"/>
          <w:shd w:val="clear" w:color="auto" w:fill="auto"/>
          <w:lang w:val="pt-BR" w:eastAsia="pt-BR" w:bidi="pt-BR"/>
        </w:rPr>
        <w:t xml:space="preserve">percepção </w:t>
      </w:r>
      <w:r>
        <w:rPr>
          <w:color w:val="000000"/>
          <w:spacing w:val="0"/>
          <w:w w:val="100"/>
          <w:position w:val="0"/>
          <w:shd w:val="clear" w:color="auto" w:fill="auto"/>
          <w:lang w:val="pt-PT" w:eastAsia="pt-PT" w:bidi="pt-PT"/>
        </w:rPr>
        <w:t xml:space="preserve">de risco levou o Banco Central a elevar sucessiva mente a taxa básica de juros, que atingiu 15% ao ano em junho e permaneceu nesse patamar até o encerramento de 2025. Esse ambiente de juros elevados e incerteza fiscal elevou a aversão ao risco e reduziu o apetite por alguns ativos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longos, embora a sensibilidade maior desses papéis </w:t>
      </w:r>
      <w:r>
        <w:rPr>
          <w:color w:val="000000"/>
          <w:spacing w:val="0"/>
          <w:w w:val="100"/>
          <w:position w:val="0"/>
          <w:shd w:val="clear" w:color="auto" w:fill="auto"/>
          <w:lang w:val="pt-BR" w:eastAsia="pt-BR" w:bidi="pt-BR"/>
        </w:rPr>
        <w:t xml:space="preserve">às expectativas </w:t>
      </w:r>
      <w:r>
        <w:rPr>
          <w:color w:val="000000"/>
          <w:spacing w:val="0"/>
          <w:w w:val="100"/>
          <w:position w:val="0"/>
          <w:shd w:val="clear" w:color="auto" w:fill="auto"/>
          <w:lang w:val="pt-PT" w:eastAsia="pt-PT" w:bidi="pt-PT"/>
        </w:rPr>
        <w:t xml:space="preserve">futuras de </w:t>
      </w:r>
      <w:r>
        <w:rPr>
          <w:color w:val="000000"/>
          <w:spacing w:val="0"/>
          <w:w w:val="100"/>
          <w:position w:val="0"/>
          <w:shd w:val="clear" w:color="auto" w:fill="auto"/>
          <w:lang w:val="pt-BR" w:eastAsia="pt-BR" w:bidi="pt-BR"/>
        </w:rPr>
        <w:t xml:space="preserve">flexibilização </w:t>
      </w:r>
      <w:r>
        <w:rPr>
          <w:color w:val="000000"/>
          <w:spacing w:val="0"/>
          <w:w w:val="100"/>
          <w:position w:val="0"/>
          <w:shd w:val="clear" w:color="auto" w:fill="auto"/>
          <w:lang w:val="pt-PT" w:eastAsia="pt-PT" w:bidi="pt-PT"/>
        </w:rPr>
        <w:t>monetária tenha proporcionado valorização relevante em determinados momentos do mercado.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Os títulos pré-fixados apresentaram trajetória de ganhos consistentes ao longo do ano, ainda que com oscilações mensais influenciadas pela volatilidade das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de juros. O IRF-M encerrou 2025 com valorização acumulada próxima de 18,2%, superando o desempenho de diversos outros subíndices e mantendo vantagem relevante sobre o retorno atuarial de referência (IPCA + 6%). O resultado foi impulsionado principalmente pelos papéis de maior duration (IRF-M1+), que registraram valorização acumulada próxima de 20,07% no ano, exercendo papel determinante para o desempenho agregado do</w:t>
      </w:r>
    </w:p>
    <w:p>
      <w:pPr>
        <w:widowControl w:val="0"/>
        <w:spacing w:after="1059" w:line="1" w:lineRule="exact"/>
        <w:sectPr>
          <w:headerReference w:type="default" r:id="rId62"/>
          <w:headerReference w:type="even" r:id="rId63"/>
          <w:footnotePr>
            <w:pos w:val="pageBottom"/>
            <w:numFmt w:val="decimal"/>
            <w:numRestart w:val="continuous"/>
          </w:footnotePr>
          <w:type w:val="continuous"/>
          <w:pgSz w:w="11900" w:h="16840"/>
          <w:pgMar w:top="2017" w:left="1585" w:right="1589" w:bottom="322" w:header="0" w:footer="3" w:gutter="0"/>
          <w:cols w:space="720"/>
          <w:noEndnote/>
          <w:rtlGutter w:val="0"/>
          <w:docGrid w:linePitch="360"/>
        </w:sectPr>
      </w:pPr>
      <w:r>
        <w:drawing>
          <wp:anchor distT="0" distB="0" distL="0" distR="0" simplePos="0" relativeHeight="62914715" behindDoc="1" locked="0" layoutInCell="1" allowOverlap="1">
            <wp:simplePos x="0" y="0"/>
            <wp:positionH relativeFrom="page">
              <wp:posOffset>6350635</wp:posOffset>
            </wp:positionH>
            <wp:positionV relativeFrom="paragraph">
              <wp:posOffset>165100</wp:posOffset>
            </wp:positionV>
            <wp:extent cx="1029970" cy="506095"/>
            <wp:wrapNone/>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64"/>
                    <a:stretch/>
                  </pic:blipFill>
                  <pic:spPr>
                    <a:xfrm>
                      <a:ext cx="1029970" cy="506095"/>
                    </a:xfrm>
                    <a:prstGeom prst="rect"/>
                  </pic:spPr>
                </pic:pic>
              </a:graphicData>
            </a:graphic>
          </wp:anchor>
        </w:drawing>
      </w:r>
    </w:p>
    <w:p>
      <w:pPr>
        <w:pStyle w:val="Style10"/>
        <w:keepNext w:val="0"/>
        <w:keepLines w:val="0"/>
        <w:widowControl w:val="0"/>
        <w:shd w:val="clear" w:color="auto" w:fill="auto"/>
        <w:tabs>
          <w:tab w:pos="4428" w:val="left"/>
        </w:tabs>
        <w:bidi w:val="0"/>
        <w:spacing w:before="0" w:after="0" w:line="290" w:lineRule="auto"/>
        <w:ind w:left="0" w:right="0" w:firstLine="0"/>
        <w:jc w:val="left"/>
      </w:pPr>
      <w:r>
        <w:rPr>
          <w:color w:val="000000"/>
          <w:spacing w:val="0"/>
          <w:w w:val="100"/>
          <w:position w:val="0"/>
          <w:shd w:val="clear" w:color="auto" w:fill="auto"/>
          <w:lang w:val="pt-PT" w:eastAsia="pt-PT" w:bidi="pt-PT"/>
        </w:rPr>
        <w:t xml:space="preserve">índice. Já os papéis de curto prazo (IRF-M1) apresentaram desempenho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moderado, com avanço em torno de 14,7% no período, contribuindo de forma complementar e sendo favorecidos pela menor exposição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oscilações das taxas futuras.</w:t>
      </w:r>
      <w:r>
        <w:rPr>
          <w:u w:val="single"/>
        </w:rPr>
        <w:t xml:space="preserve"> </w:t>
        <w:tab/>
      </w:r>
    </w:p>
    <w:p>
      <w:pPr>
        <w:widowControl w:val="0"/>
        <w:spacing w:line="1" w:lineRule="exact"/>
        <w:sectPr>
          <w:headerReference w:type="default" r:id="rId66"/>
          <w:headerReference w:type="even" r:id="rId67"/>
          <w:footnotePr>
            <w:pos w:val="pageBottom"/>
            <w:numFmt w:val="decimal"/>
            <w:numRestart w:val="continuous"/>
          </w:footnotePr>
          <w:pgSz w:w="11900" w:h="16840"/>
          <w:pgMar w:top="2103" w:left="1577" w:right="1639" w:bottom="460" w:header="0" w:footer="32" w:gutter="0"/>
          <w:cols w:space="720"/>
          <w:noEndnote/>
          <w:rtlGutter w:val="0"/>
          <w:docGrid w:linePitch="360"/>
        </w:sectPr>
      </w:pPr>
      <w:r>
        <w:drawing>
          <wp:anchor distT="0" distB="480060" distL="0" distR="0" simplePos="0" relativeHeight="125829441" behindDoc="0" locked="0" layoutInCell="1" allowOverlap="1">
            <wp:simplePos x="0" y="0"/>
            <wp:positionH relativeFrom="page">
              <wp:posOffset>1010920</wp:posOffset>
            </wp:positionH>
            <wp:positionV relativeFrom="paragraph">
              <wp:posOffset>0</wp:posOffset>
            </wp:positionV>
            <wp:extent cx="359410" cy="1957070"/>
            <wp:wrapTopAndBottom/>
            <wp:docPr id="125" name="Shape 125"/>
            <a:graphic xmlns:a="http://schemas.openxmlformats.org/drawingml/2006/main">
              <a:graphicData uri="http://schemas.openxmlformats.org/drawingml/2006/picture">
                <pic:pic xmlns:pic="http://schemas.openxmlformats.org/drawingml/2006/picture">
                  <pic:nvPicPr>
                    <pic:cNvPr id="126" name="Picture box 126"/>
                    <pic:cNvPicPr/>
                  </pic:nvPicPr>
                  <pic:blipFill>
                    <a:blip r:embed="rId68"/>
                    <a:stretch/>
                  </pic:blipFill>
                  <pic:spPr>
                    <a:xfrm>
                      <a:ext cx="359410" cy="1957070"/>
                    </a:xfrm>
                    <a:prstGeom prst="rect"/>
                  </pic:spPr>
                </pic:pic>
              </a:graphicData>
            </a:graphic>
          </wp:anchor>
        </w:drawing>
      </w:r>
      <w:r>
        <w:drawing>
          <wp:anchor distT="18415" distB="178435" distL="278765" distR="64135" simplePos="0" relativeHeight="125829442" behindDoc="0" locked="0" layoutInCell="1" allowOverlap="1">
            <wp:simplePos x="0" y="0"/>
            <wp:positionH relativeFrom="page">
              <wp:posOffset>1847215</wp:posOffset>
            </wp:positionH>
            <wp:positionV relativeFrom="paragraph">
              <wp:posOffset>18415</wp:posOffset>
            </wp:positionV>
            <wp:extent cx="3676015" cy="2243455"/>
            <wp:wrapTopAndBottom/>
            <wp:docPr id="127" name="Shape 127"/>
            <a:graphic xmlns:a="http://schemas.openxmlformats.org/drawingml/2006/main">
              <a:graphicData uri="http://schemas.openxmlformats.org/drawingml/2006/picture">
                <pic:pic xmlns:pic="http://schemas.openxmlformats.org/drawingml/2006/picture">
                  <pic:nvPicPr>
                    <pic:cNvPr id="128" name="Picture box 128"/>
                    <pic:cNvPicPr/>
                  </pic:nvPicPr>
                  <pic:blipFill>
                    <a:blip r:embed="rId70"/>
                    <a:stretch/>
                  </pic:blipFill>
                  <pic:spPr>
                    <a:xfrm>
                      <a:ext cx="3676015" cy="224345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1568450</wp:posOffset>
                </wp:positionH>
                <wp:positionV relativeFrom="paragraph">
                  <wp:posOffset>2304415</wp:posOffset>
                </wp:positionV>
                <wp:extent cx="4018915" cy="132715"/>
                <wp:wrapNone/>
                <wp:docPr id="129" name="Shape 129"/>
                <a:graphic xmlns:a="http://schemas.openxmlformats.org/drawingml/2006/main">
                  <a:graphicData uri="http://schemas.microsoft.com/office/word/2010/wordprocessingShape">
                    <wps:wsp>
                      <wps:cNvSpPr txBox="1"/>
                      <wps:spPr>
                        <a:xfrm>
                          <a:ext cx="4018915" cy="132715"/>
                        </a:xfrm>
                        <a:prstGeom prst="rect"/>
                        <a:noFill/>
                      </wps:spPr>
                      <wps:txbx>
                        <w:txbxContent>
                          <w:p>
                            <w:pPr>
                              <w:pStyle w:val="Style25"/>
                              <w:keepNext w:val="0"/>
                              <w:keepLines w:val="0"/>
                              <w:widowControl w:val="0"/>
                              <w:shd w:val="clear" w:color="auto" w:fill="auto"/>
                              <w:tabs>
                                <w:tab w:pos="1008" w:val="left"/>
                              </w:tabs>
                              <w:bidi w:val="0"/>
                              <w:spacing w:before="0" w:after="0" w:line="240" w:lineRule="auto"/>
                              <w:ind w:left="0" w:right="0" w:firstLine="0"/>
                              <w:jc w:val="both"/>
                            </w:pPr>
                            <w:r>
                              <w:rPr>
                                <w:color w:val="000000"/>
                                <w:spacing w:val="0"/>
                                <w:w w:val="100"/>
                                <w:position w:val="0"/>
                                <w:shd w:val="clear" w:color="auto" w:fill="auto"/>
                                <w:lang w:val="pt-PT" w:eastAsia="pt-PT" w:bidi="pt-PT"/>
                              </w:rPr>
                              <w:t>IRF-M</w:t>
                              <w:tab/>
                              <w:t>2,58 3,21 4,64 7,77 8,85 10,78 11,11 12,95 14,37 15,94 17,88 18,23</w:t>
                            </w:r>
                          </w:p>
                        </w:txbxContent>
                      </wps:txbx>
                      <wps:bodyPr lIns="0" tIns="0" rIns="0" bIns="0">
                        <a:noAutoFit/>
                      </wps:bodyPr>
                    </wps:wsp>
                  </a:graphicData>
                </a:graphic>
              </wp:anchor>
            </w:drawing>
          </mc:Choice>
          <mc:Fallback>
            <w:pict>
              <v:shape id="_x0000_s1155" type="#_x0000_t202" style="position:absolute;margin-left:123.5pt;margin-top:181.44999999999999pt;width:316.44999999999999pt;height:10.449999999999999pt;z-index:251657735;mso-wrap-distance-left:0;mso-wrap-distance-right:0;mso-position-horizontal-relative:page" filled="f" stroked="f">
                <v:textbox inset="0,0,0,0">
                  <w:txbxContent>
                    <w:p>
                      <w:pPr>
                        <w:pStyle w:val="Style25"/>
                        <w:keepNext w:val="0"/>
                        <w:keepLines w:val="0"/>
                        <w:widowControl w:val="0"/>
                        <w:shd w:val="clear" w:color="auto" w:fill="auto"/>
                        <w:tabs>
                          <w:tab w:pos="1008" w:val="left"/>
                        </w:tabs>
                        <w:bidi w:val="0"/>
                        <w:spacing w:before="0" w:after="0" w:line="240" w:lineRule="auto"/>
                        <w:ind w:left="0" w:right="0" w:firstLine="0"/>
                        <w:jc w:val="both"/>
                      </w:pPr>
                      <w:r>
                        <w:rPr>
                          <w:color w:val="000000"/>
                          <w:spacing w:val="0"/>
                          <w:w w:val="100"/>
                          <w:position w:val="0"/>
                          <w:shd w:val="clear" w:color="auto" w:fill="auto"/>
                          <w:lang w:val="pt-PT" w:eastAsia="pt-PT" w:bidi="pt-PT"/>
                        </w:rPr>
                        <w:t>IRF-M</w:t>
                        <w:tab/>
                        <w:t>2,58 3,21 4,64 7,77 8,85 10,78 11,11 12,95 14,37 15,94 17,88 18,23</w:t>
                      </w:r>
                    </w:p>
                  </w:txbxContent>
                </v:textbox>
                <w10:wrap anchorx="page"/>
              </v:shape>
            </w:pict>
          </mc:Fallback>
        </mc:AlternateContent>
      </w:r>
    </w:p>
    <w:tbl>
      <w:tblPr>
        <w:tblOverlap w:val="never"/>
        <w:jc w:val="left"/>
        <w:tblLayout w:type="fixed"/>
      </w:tblPr>
      <w:tblGrid>
        <w:gridCol w:w="1030"/>
        <w:gridCol w:w="446"/>
        <w:gridCol w:w="446"/>
        <w:gridCol w:w="454"/>
        <w:gridCol w:w="454"/>
        <w:gridCol w:w="446"/>
        <w:gridCol w:w="454"/>
        <w:gridCol w:w="446"/>
        <w:gridCol w:w="461"/>
        <w:gridCol w:w="439"/>
        <w:gridCol w:w="900"/>
        <w:gridCol w:w="425"/>
      </w:tblGrid>
      <w:tr>
        <w:trPr>
          <w:trHeight w:val="288"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 IMA-B</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1,07</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1,58</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3,44</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5,61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7,40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8,80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7,94</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8,85</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9,43</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10,58 12,84</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13,19</w:t>
            </w:r>
          </w:p>
        </w:tc>
      </w:tr>
      <w:tr>
        <w:trPr>
          <w:trHeight w:val="252"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IMA-Geral</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1,40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2,20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3,50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5,24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6,55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7,91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8,52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9,81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10,97</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12,33 13,94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14,84</w:t>
            </w:r>
          </w:p>
        </w:tc>
      </w:tr>
      <w:tr>
        <w:trPr>
          <w:trHeight w:val="274"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CDI</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0,96</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1,90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2,83</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3,85</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5,03</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6,12</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7,41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8,66</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9,99</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11,39 12,56</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13,94</w:t>
            </w:r>
          </w:p>
        </w:tc>
      </w:tr>
      <w:tr>
        <w:trPr>
          <w:trHeight w:val="223" w:hRule="exact"/>
        </w:trPr>
        <w:tc>
          <w:tcPr>
            <w:tcBorders>
              <w:bottom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 IPCA+6% a.a.</w:t>
            </w:r>
          </w:p>
        </w:tc>
        <w:tc>
          <w:tcPr>
            <w:tcBorders>
              <w:bottom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0,65</w:t>
            </w:r>
          </w:p>
        </w:tc>
        <w:tc>
          <w:tcPr>
            <w:tcBorders>
              <w:bottom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2,46</w:t>
            </w:r>
          </w:p>
        </w:tc>
        <w:tc>
          <w:tcPr>
            <w:tcBorders>
              <w:bottom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3,54</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4,49</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5,27</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6,04</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6,83</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7,23</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8,27</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8,90 9,62</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10,52</w:t>
            </w:r>
          </w:p>
        </w:tc>
      </w:tr>
    </w:tbl>
    <w:p>
      <w:pPr>
        <w:pStyle w:val="Style5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Gráfico 7 - Rentabilidade acumulada dos principais Indicadores IMA (%)</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ANBIMA</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OBS: Janeiro a Dezembro de 2025</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Entre os títulos indexados à inflação, o comportamento foi igualmente positivo, com destaque também para os papéis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longos, cuja sensibilidade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taxas futuras - tendência de queda do IPCA - favoreceu a performance no cenário atual. O IMA-B acumulou alta de 13,17% em 2025, sustentado principalmente pelo desempenho do primeiro semestre, quando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inflacionárias se mantiveram sob controle relativo. O subíndice de prazo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longo (IMA-B5+) encerrou o ano com ganho acumulado de 14,20%, superando levemente o retorno atuarial de referência, reflexo da valorização dos juros reais e da demanda por proteção contra inflação em cenários de incerteza fiscal. Já o IMA-B5, atrelado a prazos menores, somou 11,65% no ano, acompanhando de forma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contida os movimentos do</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mercado e evidenciando a diferença de performance entre curto e longo prazo, típica em períodos de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de estabilidade ou queda futura das taxas.</w:t>
      </w:r>
    </w:p>
    <w:p>
      <w:pPr>
        <w:widowControl w:val="0"/>
        <w:spacing w:after="5608" w:line="1" w:lineRule="exact"/>
      </w:pPr>
      <w:r>
        <w:drawing>
          <wp:anchor distT="0" distB="0" distL="0" distR="0" simplePos="0" relativeHeight="62914720" behindDoc="1" locked="0" layoutInCell="1" allowOverlap="1">
            <wp:simplePos x="0" y="0"/>
            <wp:positionH relativeFrom="page">
              <wp:posOffset>5866130</wp:posOffset>
            </wp:positionH>
            <wp:positionV relativeFrom="paragraph">
              <wp:posOffset>2806700</wp:posOffset>
            </wp:positionV>
            <wp:extent cx="1432560" cy="755650"/>
            <wp:wrapNone/>
            <wp:docPr id="131" name="Shape 131"/>
            <a:graphic xmlns:a="http://schemas.openxmlformats.org/drawingml/2006/main">
              <a:graphicData uri="http://schemas.openxmlformats.org/drawingml/2006/picture">
                <pic:pic xmlns:pic="http://schemas.openxmlformats.org/drawingml/2006/picture">
                  <pic:nvPicPr>
                    <pic:cNvPr id="132" name="Picture box 132"/>
                    <pic:cNvPicPr/>
                  </pic:nvPicPr>
                  <pic:blipFill>
                    <a:blip r:embed="rId72"/>
                    <a:stretch/>
                  </pic:blipFill>
                  <pic:spPr>
                    <a:xfrm>
                      <a:ext cx="1432560" cy="755650"/>
                    </a:xfrm>
                    <a:prstGeom prst="rect"/>
                  </pic:spPr>
                </pic:pic>
              </a:graphicData>
            </a:graphic>
          </wp:anchor>
        </w:drawing>
      </w:r>
      <w:r>
        <w:br w:type="page"/>
      </w:r>
    </w:p>
    <w:p>
      <w:pPr>
        <w:widowControl w:val="0"/>
        <w:spacing w:line="1" w:lineRule="exact"/>
      </w:pPr>
      <w:r>
        <w:drawing>
          <wp:anchor distT="0" distB="241300" distL="0" distR="0" simplePos="0" relativeHeight="125829443" behindDoc="0" locked="0" layoutInCell="1" allowOverlap="1">
            <wp:simplePos x="0" y="0"/>
            <wp:positionH relativeFrom="page">
              <wp:posOffset>986155</wp:posOffset>
            </wp:positionH>
            <wp:positionV relativeFrom="paragraph">
              <wp:posOffset>0</wp:posOffset>
            </wp:positionV>
            <wp:extent cx="4687570" cy="3194050"/>
            <wp:wrapTopAndBottom/>
            <wp:docPr id="133" name="Shape 133"/>
            <a:graphic xmlns:a="http://schemas.openxmlformats.org/drawingml/2006/main">
              <a:graphicData uri="http://schemas.openxmlformats.org/drawingml/2006/picture">
                <pic:pic xmlns:pic="http://schemas.openxmlformats.org/drawingml/2006/picture">
                  <pic:nvPicPr>
                    <pic:cNvPr id="134" name="Picture box 134"/>
                    <pic:cNvPicPr/>
                  </pic:nvPicPr>
                  <pic:blipFill>
                    <a:blip r:embed="rId74"/>
                    <a:stretch/>
                  </pic:blipFill>
                  <pic:spPr>
                    <a:xfrm>
                      <a:ext cx="4687570" cy="319405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4446905</wp:posOffset>
                </wp:positionH>
                <wp:positionV relativeFrom="paragraph">
                  <wp:posOffset>2701925</wp:posOffset>
                </wp:positionV>
                <wp:extent cx="1111250" cy="132715"/>
                <wp:wrapNone/>
                <wp:docPr id="135" name="Shape 135"/>
                <a:graphic xmlns:a="http://schemas.openxmlformats.org/drawingml/2006/main">
                  <a:graphicData uri="http://schemas.microsoft.com/office/word/2010/wordprocessingShape">
                    <wps:wsp>
                      <wps:cNvSpPr txBox="1"/>
                      <wps:spPr>
                        <a:xfrm>
                          <a:ext cx="1111250" cy="13271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16,22 17,86 20,14 20,06</w:t>
                            </w:r>
                          </w:p>
                        </w:txbxContent>
                      </wps:txbx>
                      <wps:bodyPr lIns="0" tIns="0" rIns="0" bIns="0">
                        <a:noAutoFit/>
                      </wps:bodyPr>
                    </wps:wsp>
                  </a:graphicData>
                </a:graphic>
              </wp:anchor>
            </w:drawing>
          </mc:Choice>
          <mc:Fallback>
            <w:pict>
              <v:shape id="_x0000_s1161" type="#_x0000_t202" style="position:absolute;margin-left:350.14999999999998pt;margin-top:212.75pt;width:87.5pt;height:10.449999999999999pt;z-index:25165773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16,22 17,86 20,14 20,06</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1548765</wp:posOffset>
                </wp:positionH>
                <wp:positionV relativeFrom="paragraph">
                  <wp:posOffset>2706370</wp:posOffset>
                </wp:positionV>
                <wp:extent cx="374650" cy="128270"/>
                <wp:wrapNone/>
                <wp:docPr id="137" name="Shape 137"/>
                <a:graphic xmlns:a="http://schemas.openxmlformats.org/drawingml/2006/main">
                  <a:graphicData uri="http://schemas.microsoft.com/office/word/2010/wordprocessingShape">
                    <wps:wsp>
                      <wps:cNvSpPr txBox="1"/>
                      <wps:spPr>
                        <a:xfrm>
                          <a:ext cx="374650"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IRF-M1+</w:t>
                            </w:r>
                          </w:p>
                        </w:txbxContent>
                      </wps:txbx>
                      <wps:bodyPr lIns="0" tIns="0" rIns="0" bIns="0">
                        <a:noAutoFit/>
                      </wps:bodyPr>
                    </wps:wsp>
                  </a:graphicData>
                </a:graphic>
              </wp:anchor>
            </w:drawing>
          </mc:Choice>
          <mc:Fallback>
            <w:pict>
              <v:shape id="_x0000_s1163" type="#_x0000_t202" style="position:absolute;margin-left:121.95pt;margin-top:213.09999999999999pt;width:29.5pt;height:10.1pt;z-index:25165773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IRF-M1+</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4446905</wp:posOffset>
                </wp:positionH>
                <wp:positionV relativeFrom="paragraph">
                  <wp:posOffset>2871470</wp:posOffset>
                </wp:positionV>
                <wp:extent cx="1106170" cy="132715"/>
                <wp:wrapNone/>
                <wp:docPr id="139" name="Shape 139"/>
                <a:graphic xmlns:a="http://schemas.openxmlformats.org/drawingml/2006/main">
                  <a:graphicData uri="http://schemas.microsoft.com/office/word/2010/wordprocessingShape">
                    <wps:wsp>
                      <wps:cNvSpPr txBox="1"/>
                      <wps:spPr>
                        <a:xfrm>
                          <a:ext cx="1106170" cy="13271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10,12 11,29 14,40 14,19</w:t>
                            </w:r>
                          </w:p>
                        </w:txbxContent>
                      </wps:txbx>
                      <wps:bodyPr lIns="0" tIns="0" rIns="0" bIns="0">
                        <a:noAutoFit/>
                      </wps:bodyPr>
                    </wps:wsp>
                  </a:graphicData>
                </a:graphic>
              </wp:anchor>
            </w:drawing>
          </mc:Choice>
          <mc:Fallback>
            <w:pict>
              <v:shape id="_x0000_s1165" type="#_x0000_t202" style="position:absolute;margin-left:350.14999999999998pt;margin-top:226.09999999999999pt;width:87.099999999999994pt;height:10.449999999999999pt;z-index:25165774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10,12 11,29 14,40 14,19</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1548765</wp:posOffset>
                </wp:positionH>
                <wp:positionV relativeFrom="paragraph">
                  <wp:posOffset>2875915</wp:posOffset>
                </wp:positionV>
                <wp:extent cx="388620" cy="128270"/>
                <wp:wrapNone/>
                <wp:docPr id="141" name="Shape 141"/>
                <a:graphic xmlns:a="http://schemas.openxmlformats.org/drawingml/2006/main">
                  <a:graphicData uri="http://schemas.microsoft.com/office/word/2010/wordprocessingShape">
                    <wps:wsp>
                      <wps:cNvSpPr txBox="1"/>
                      <wps:spPr>
                        <a:xfrm>
                          <a:ext cx="388620"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IMA-B5+</w:t>
                            </w:r>
                          </w:p>
                        </w:txbxContent>
                      </wps:txbx>
                      <wps:bodyPr lIns="0" tIns="0" rIns="0" bIns="0">
                        <a:noAutoFit/>
                      </wps:bodyPr>
                    </wps:wsp>
                  </a:graphicData>
                </a:graphic>
              </wp:anchor>
            </w:drawing>
          </mc:Choice>
          <mc:Fallback>
            <w:pict>
              <v:shape id="_x0000_s1167" type="#_x0000_t202" style="position:absolute;margin-left:121.95pt;margin-top:226.44999999999999pt;width:30.600000000000001pt;height:10.1pt;z-index:25165774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IMA-B5+</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3592195</wp:posOffset>
                </wp:positionH>
                <wp:positionV relativeFrom="paragraph">
                  <wp:posOffset>2875915</wp:posOffset>
                </wp:positionV>
                <wp:extent cx="255905" cy="128270"/>
                <wp:wrapNone/>
                <wp:docPr id="143" name="Shape 143"/>
                <a:graphic xmlns:a="http://schemas.openxmlformats.org/drawingml/2006/main">
                  <a:graphicData uri="http://schemas.microsoft.com/office/word/2010/wordprocessingShape">
                    <wps:wsp>
                      <wps:cNvSpPr txBox="1"/>
                      <wps:spPr>
                        <a:xfrm>
                          <a:ext cx="255905"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10,73</w:t>
                            </w:r>
                          </w:p>
                        </w:txbxContent>
                      </wps:txbx>
                      <wps:bodyPr lIns="0" tIns="0" rIns="0" bIns="0">
                        <a:noAutoFit/>
                      </wps:bodyPr>
                    </wps:wsp>
                  </a:graphicData>
                </a:graphic>
              </wp:anchor>
            </w:drawing>
          </mc:Choice>
          <mc:Fallback>
            <w:pict>
              <v:shape id="_x0000_s1169" type="#_x0000_t202" style="position:absolute;margin-left:282.85000000000002pt;margin-top:226.44999999999999pt;width:20.149999999999999pt;height:10.1pt;z-index:25165774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10,73</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4465320</wp:posOffset>
                </wp:positionH>
                <wp:positionV relativeFrom="paragraph">
                  <wp:posOffset>3040380</wp:posOffset>
                </wp:positionV>
                <wp:extent cx="1092835" cy="128270"/>
                <wp:wrapNone/>
                <wp:docPr id="145" name="Shape 145"/>
                <a:graphic xmlns:a="http://schemas.openxmlformats.org/drawingml/2006/main">
                  <a:graphicData uri="http://schemas.microsoft.com/office/word/2010/wordprocessingShape">
                    <wps:wsp>
                      <wps:cNvSpPr txBox="1"/>
                      <wps:spPr>
                        <a:xfrm>
                          <a:ext cx="1092835"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8,27 8,90 9,62 10,52</w:t>
                            </w:r>
                          </w:p>
                        </w:txbxContent>
                      </wps:txbx>
                      <wps:bodyPr lIns="0" tIns="0" rIns="0" bIns="0">
                        <a:noAutoFit/>
                      </wps:bodyPr>
                    </wps:wsp>
                  </a:graphicData>
                </a:graphic>
              </wp:anchor>
            </w:drawing>
          </mc:Choice>
          <mc:Fallback>
            <w:pict>
              <v:shape id="_x0000_s1171" type="#_x0000_t202" style="position:absolute;margin-left:351.60000000000002pt;margin-top:239.40000000000001pt;width:86.049999999999997pt;height:10.1pt;z-index:25165774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8,27 8,90 9,62 10,52</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1548765</wp:posOffset>
                </wp:positionH>
                <wp:positionV relativeFrom="paragraph">
                  <wp:posOffset>3040380</wp:posOffset>
                </wp:positionV>
                <wp:extent cx="850265" cy="132715"/>
                <wp:wrapNone/>
                <wp:docPr id="147" name="Shape 147"/>
                <a:graphic xmlns:a="http://schemas.openxmlformats.org/drawingml/2006/main">
                  <a:graphicData uri="http://schemas.microsoft.com/office/word/2010/wordprocessingShape">
                    <wps:wsp>
                      <wps:cNvSpPr txBox="1"/>
                      <wps:spPr>
                        <a:xfrm>
                          <a:ext cx="850265" cy="13271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IPCA+6%a.a. 0,65</w:t>
                            </w:r>
                          </w:p>
                        </w:txbxContent>
                      </wps:txbx>
                      <wps:bodyPr lIns="0" tIns="0" rIns="0" bIns="0">
                        <a:noAutoFit/>
                      </wps:bodyPr>
                    </wps:wsp>
                  </a:graphicData>
                </a:graphic>
              </wp:anchor>
            </w:drawing>
          </mc:Choice>
          <mc:Fallback>
            <w:pict>
              <v:shape id="_x0000_s1173" type="#_x0000_t202" style="position:absolute;margin-left:121.95pt;margin-top:239.40000000000001pt;width:66.950000000000003pt;height:10.449999999999999pt;z-index:25165774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IPCA+6%a.a. 0,65</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3615055</wp:posOffset>
                </wp:positionH>
                <wp:positionV relativeFrom="paragraph">
                  <wp:posOffset>3035935</wp:posOffset>
                </wp:positionV>
                <wp:extent cx="210185" cy="137160"/>
                <wp:wrapNone/>
                <wp:docPr id="149" name="Shape 149"/>
                <a:graphic xmlns:a="http://schemas.openxmlformats.org/drawingml/2006/main">
                  <a:graphicData uri="http://schemas.microsoft.com/office/word/2010/wordprocessingShape">
                    <wps:wsp>
                      <wps:cNvSpPr txBox="1"/>
                      <wps:spPr>
                        <a:xfrm>
                          <a:ext cx="210185" cy="13716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6,04</w:t>
                            </w:r>
                          </w:p>
                        </w:txbxContent>
                      </wps:txbx>
                      <wps:bodyPr lIns="0" tIns="0" rIns="0" bIns="0">
                        <a:noAutoFit/>
                      </wps:bodyPr>
                    </wps:wsp>
                  </a:graphicData>
                </a:graphic>
              </wp:anchor>
            </w:drawing>
          </mc:Choice>
          <mc:Fallback>
            <w:pict>
              <v:shape id="_x0000_s1175" type="#_x0000_t202" style="position:absolute;margin-left:284.64999999999998pt;margin-top:239.05000000000001pt;width:16.550000000000001pt;height:10.800000000000001pt;z-index:25165775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6,04</w:t>
                      </w:r>
                    </w:p>
                  </w:txbxContent>
                </v:textbox>
                <w10:wrap anchorx="page"/>
              </v:shape>
            </w:pict>
          </mc:Fallback>
        </mc:AlternateContent>
      </w:r>
      <w:r>
        <w:drawing>
          <wp:anchor distT="13970" distB="772160" distL="0" distR="0" simplePos="0" relativeHeight="125829444" behindDoc="0" locked="0" layoutInCell="1" allowOverlap="1">
            <wp:simplePos x="0" y="0"/>
            <wp:positionH relativeFrom="page">
              <wp:posOffset>1823085</wp:posOffset>
            </wp:positionH>
            <wp:positionV relativeFrom="paragraph">
              <wp:posOffset>13970</wp:posOffset>
            </wp:positionV>
            <wp:extent cx="3669665" cy="2645410"/>
            <wp:wrapTopAndBottom/>
            <wp:docPr id="151" name="Shape 151"/>
            <a:graphic xmlns:a="http://schemas.openxmlformats.org/drawingml/2006/main">
              <a:graphicData uri="http://schemas.openxmlformats.org/drawingml/2006/picture">
                <pic:pic xmlns:pic="http://schemas.openxmlformats.org/drawingml/2006/picture">
                  <pic:nvPicPr>
                    <pic:cNvPr id="152" name="Picture box 152"/>
                    <pic:cNvPicPr/>
                  </pic:nvPicPr>
                  <pic:blipFill>
                    <a:blip r:embed="rId76"/>
                    <a:stretch/>
                  </pic:blipFill>
                  <pic:spPr>
                    <a:xfrm>
                      <a:ext cx="3669665" cy="264541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3597275</wp:posOffset>
                </wp:positionH>
                <wp:positionV relativeFrom="paragraph">
                  <wp:posOffset>2707005</wp:posOffset>
                </wp:positionV>
                <wp:extent cx="251460" cy="128270"/>
                <wp:wrapNone/>
                <wp:docPr id="153" name="Shape 153"/>
                <a:graphic xmlns:a="http://schemas.openxmlformats.org/drawingml/2006/main">
                  <a:graphicData uri="http://schemas.microsoft.com/office/word/2010/wordprocessingShape">
                    <wps:wsp>
                      <wps:cNvSpPr txBox="1"/>
                      <wps:spPr>
                        <a:xfrm>
                          <a:ext cx="251460"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12,89</w:t>
                            </w:r>
                          </w:p>
                        </w:txbxContent>
                      </wps:txbx>
                      <wps:bodyPr lIns="0" tIns="0" rIns="0" bIns="0">
                        <a:noAutoFit/>
                      </wps:bodyPr>
                    </wps:wsp>
                  </a:graphicData>
                </a:graphic>
              </wp:anchor>
            </w:drawing>
          </mc:Choice>
          <mc:Fallback>
            <w:pict>
              <v:shape id="_x0000_s1179" type="#_x0000_t202" style="position:absolute;margin-left:283.25pt;margin-top:213.15000000000001pt;width:19.800000000000001pt;height:10.1pt;z-index:25165775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12,89</w:t>
                      </w:r>
                    </w:p>
                  </w:txbxContent>
                </v:textbox>
                <w10:wrap anchorx="page"/>
              </v:shape>
            </w:pict>
          </mc:Fallback>
        </mc:AlternateConten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Gráfico 8 - Rentabilidade acumulada dos índices atrelados a ativos de maior duração (%)</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Fonte: ANBIMA.</w:t>
      </w:r>
    </w:p>
    <w:p>
      <w:pPr>
        <w:pStyle w:val="Style10"/>
        <w:keepNext w:val="0"/>
        <w:keepLines w:val="0"/>
        <w:widowControl w:val="0"/>
        <w:shd w:val="clear" w:color="auto" w:fill="auto"/>
        <w:bidi w:val="0"/>
        <w:spacing w:before="0" w:after="200"/>
        <w:ind w:left="0" w:right="0" w:firstLine="0"/>
        <w:jc w:val="left"/>
      </w:pPr>
      <w:r>
        <w:rPr>
          <w:color w:val="000000"/>
          <w:spacing w:val="0"/>
          <w:w w:val="100"/>
          <w:position w:val="0"/>
          <w:shd w:val="clear" w:color="auto" w:fill="auto"/>
          <w:lang w:val="pt-PT" w:eastAsia="pt-PT" w:bidi="pt-PT"/>
        </w:rPr>
        <w:t>OBS: Janeiro a Dezembro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O comportamento do IMA-S, indicador de curtíssimo prazo vinculado à variação diária da Selic, também foi positivo, encerrando 2025 com rentabilidade acumulada de 14,55%, resultado consistente com a elevação dos juros básicos e o consequente aumento da remuneração dos papéis pós-fixados. Tal desempenho reforça o papel desse índice como alternativa segura de liquidez e proteção em cenário de política monetária restritiva, embora sem capturar o efeito de valorização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acentuada que ocorreu em títulos longos com maior duration.</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Ainda que as curvas de juros tenham mantido acentuada volatilidade ao longo do ano, a renda fixa como um todo mostrou resiliência, </w:t>
      </w:r>
      <w:r>
        <w:rPr>
          <w:color w:val="000000"/>
          <w:spacing w:val="0"/>
          <w:w w:val="100"/>
          <w:position w:val="0"/>
          <w:shd w:val="clear" w:color="auto" w:fill="auto"/>
          <w:lang w:val="pt-BR" w:eastAsia="pt-BR" w:bidi="pt-BR"/>
        </w:rPr>
        <w:t xml:space="preserve">beneficiando-se </w:t>
      </w:r>
      <w:r>
        <w:rPr>
          <w:color w:val="000000"/>
          <w:spacing w:val="0"/>
          <w:w w:val="100"/>
          <w:position w:val="0"/>
          <w:shd w:val="clear" w:color="auto" w:fill="auto"/>
          <w:lang w:val="pt-PT" w:eastAsia="pt-PT" w:bidi="pt-PT"/>
        </w:rPr>
        <w:t xml:space="preserve">do aumento das taxas nominais, da maior procura por títulos públicos e da sensibilidade positiva dos ativos de longo prazo frente </w:t>
      </w:r>
      <w:r>
        <w:rPr>
          <w:color w:val="000000"/>
          <w:spacing w:val="0"/>
          <w:w w:val="100"/>
          <w:position w:val="0"/>
          <w:shd w:val="clear" w:color="auto" w:fill="auto"/>
          <w:lang w:val="pt-BR" w:eastAsia="pt-BR" w:bidi="pt-BR"/>
        </w:rPr>
        <w:t xml:space="preserve">às expectativas </w:t>
      </w:r>
      <w:r>
        <w:rPr>
          <w:color w:val="000000"/>
          <w:spacing w:val="0"/>
          <w:w w:val="100"/>
          <w:position w:val="0"/>
          <w:shd w:val="clear" w:color="auto" w:fill="auto"/>
          <w:lang w:val="pt-PT" w:eastAsia="pt-PT" w:bidi="pt-PT"/>
        </w:rPr>
        <w:t xml:space="preserve">de queda futura de juros. Entretanto, a instabilidade fiscal, as incertezas quanto ao cumprimento das metas e o alongamento do ciclo de aperto monetário impediram que o otimismo observado no início de 2025 se consolidasse de forma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ampla.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Em síntese, diferentemente do observado em 2024, o mercado de renda fixa apresentou recuperação significativa em 2025, superando na maioria dos subíndices o retorno mínimo exigido pelas metas atuariais. A valorização dos ativos foi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linear, com destaque para o bom desempenho dos prefixados e,</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especialmente, dos papéis atrelados ao IPCA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longos, cuja maior sensibilidade a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futuras de juros favoreceu ganhos consistentes mesmo em cenário de alta da Selic.</w:t>
      </w:r>
    </w:p>
    <w:p>
      <w:pPr>
        <w:pStyle w:val="Style10"/>
        <w:keepNext w:val="0"/>
        <w:keepLines w:val="0"/>
        <w:widowControl w:val="0"/>
        <w:shd w:val="clear" w:color="auto" w:fill="auto"/>
        <w:bidi w:val="0"/>
        <w:spacing w:before="0" w:after="100"/>
        <w:ind w:left="0" w:right="0" w:firstLine="0"/>
        <w:jc w:val="left"/>
      </w:pPr>
      <w:r>
        <w:rPr>
          <w:color w:val="000000"/>
          <w:spacing w:val="0"/>
          <w:w w:val="100"/>
          <w:position w:val="0"/>
          <w:shd w:val="clear" w:color="auto" w:fill="auto"/>
          <w:lang w:val="pt-PT" w:eastAsia="pt-PT" w:bidi="pt-PT"/>
        </w:rPr>
        <w:t xml:space="preserve">Por fim, o IMA-Geral, que reflete o comportamento agregado dos títulos públicos, acumulou alta de 14,83% em 2025, superando tanto o CDI (14,31%) quanto o indicador atuarial de referência (10,52%). Em termos mensais, o índice registrou nove variações positivas consecutivas, atingindo seu pico em abril (1,68%). Tal trajetória ratifica que, mesmo diante de juros elevados e ambiente fiscal desafiador, o segmento de renda fixa </w:t>
      </w:r>
      <w:r>
        <w:rPr>
          <w:color w:val="000000"/>
          <w:spacing w:val="0"/>
          <w:w w:val="100"/>
          <w:position w:val="0"/>
          <w:shd w:val="clear" w:color="auto" w:fill="auto"/>
          <w:lang w:val="pt-BR" w:eastAsia="pt-BR" w:bidi="pt-BR"/>
        </w:rPr>
        <w:t xml:space="preserve">manteve-se </w:t>
      </w:r>
      <w:r>
        <w:rPr>
          <w:color w:val="000000"/>
          <w:spacing w:val="0"/>
          <w:w w:val="100"/>
          <w:position w:val="0"/>
          <w:shd w:val="clear" w:color="auto" w:fill="auto"/>
          <w:lang w:val="pt-PT" w:eastAsia="pt-PT" w:bidi="pt-PT"/>
        </w:rPr>
        <w:t xml:space="preserve">atrativo, com valorização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pronunciada em ativos de longo prazo, consolidando 2025 como um ano de recomposição dos ganhos após o desempenho fraco observado no exercício anterior.</w:t>
      </w:r>
    </w:p>
    <w:p>
      <w:pPr>
        <w:widowControl w:val="0"/>
        <w:spacing w:after="2661" w:line="1" w:lineRule="exact"/>
        <w:sectPr>
          <w:footnotePr>
            <w:pos w:val="pageBottom"/>
            <w:numFmt w:val="decimal"/>
            <w:numRestart w:val="continuous"/>
          </w:footnotePr>
          <w:type w:val="continuous"/>
          <w:pgSz w:w="11900" w:h="16840"/>
          <w:pgMar w:top="2049" w:left="1553" w:right="1657" w:bottom="1421" w:header="0" w:footer="993" w:gutter="0"/>
          <w:cols w:space="720"/>
          <w:noEndnote/>
          <w:rtlGutter w:val="0"/>
          <w:docGrid w:linePitch="360"/>
        </w:sectPr>
      </w:pPr>
      <w:r>
        <w:drawing>
          <wp:anchor distT="0" distB="0" distL="0" distR="0" simplePos="0" relativeHeight="62914721" behindDoc="1" locked="0" layoutInCell="1" allowOverlap="1">
            <wp:simplePos x="0" y="0"/>
            <wp:positionH relativeFrom="page">
              <wp:posOffset>5932805</wp:posOffset>
            </wp:positionH>
            <wp:positionV relativeFrom="paragraph">
              <wp:posOffset>939800</wp:posOffset>
            </wp:positionV>
            <wp:extent cx="1450975" cy="749935"/>
            <wp:wrapNone/>
            <wp:docPr id="155" name="Shape 155"/>
            <a:graphic xmlns:a="http://schemas.openxmlformats.org/drawingml/2006/main">
              <a:graphicData uri="http://schemas.openxmlformats.org/drawingml/2006/picture">
                <pic:pic xmlns:pic="http://schemas.openxmlformats.org/drawingml/2006/picture">
                  <pic:nvPicPr>
                    <pic:cNvPr id="156" name="Picture box 156"/>
                    <pic:cNvPicPr/>
                  </pic:nvPicPr>
                  <pic:blipFill>
                    <a:blip r:embed="rId78"/>
                    <a:stretch/>
                  </pic:blipFill>
                  <pic:spPr>
                    <a:xfrm>
                      <a:ext cx="1450975" cy="749935"/>
                    </a:xfrm>
                    <a:prstGeom prst="rect"/>
                  </pic:spPr>
                </pic:pic>
              </a:graphicData>
            </a:graphic>
          </wp:anchor>
        </w:drawing>
      </w:r>
    </w:p>
    <w:p>
      <w:pPr>
        <w:widowControl w:val="0"/>
        <w:spacing w:line="1" w:lineRule="exact"/>
      </w:pPr>
      <w:r>
        <w:drawing>
          <wp:anchor distT="54610" distB="862965" distL="0" distR="0" simplePos="0" relativeHeight="125829445" behindDoc="0" locked="0" layoutInCell="1" allowOverlap="1">
            <wp:simplePos x="0" y="0"/>
            <wp:positionH relativeFrom="page">
              <wp:posOffset>1017905</wp:posOffset>
            </wp:positionH>
            <wp:positionV relativeFrom="paragraph">
              <wp:posOffset>54610</wp:posOffset>
            </wp:positionV>
            <wp:extent cx="4541520" cy="2688590"/>
            <wp:wrapTopAndBottom/>
            <wp:docPr id="157" name="Shape 157"/>
            <a:graphic xmlns:a="http://schemas.openxmlformats.org/drawingml/2006/main">
              <a:graphicData uri="http://schemas.openxmlformats.org/drawingml/2006/picture">
                <pic:pic xmlns:pic="http://schemas.openxmlformats.org/drawingml/2006/picture">
                  <pic:nvPicPr>
                    <pic:cNvPr id="158" name="Picture box 158"/>
                    <pic:cNvPicPr/>
                  </pic:nvPicPr>
                  <pic:blipFill>
                    <a:blip r:embed="rId80"/>
                    <a:stretch/>
                  </pic:blipFill>
                  <pic:spPr>
                    <a:xfrm>
                      <a:ext cx="4541520" cy="268859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1822450</wp:posOffset>
                </wp:positionH>
                <wp:positionV relativeFrom="paragraph">
                  <wp:posOffset>0</wp:posOffset>
                </wp:positionV>
                <wp:extent cx="255905" cy="128270"/>
                <wp:wrapNone/>
                <wp:docPr id="159" name="Shape 159"/>
                <a:graphic xmlns:a="http://schemas.openxmlformats.org/drawingml/2006/main">
                  <a:graphicData uri="http://schemas.microsoft.com/office/word/2010/wordprocessingShape">
                    <wps:wsp>
                      <wps:cNvSpPr txBox="1"/>
                      <wps:spPr>
                        <a:xfrm>
                          <a:ext cx="255905"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w:t>
                            </w:r>
                          </w:p>
                        </w:txbxContent>
                      </wps:txbx>
                      <wps:bodyPr lIns="0" tIns="0" rIns="0" bIns="0">
                        <a:noAutoFit/>
                      </wps:bodyPr>
                    </wps:wsp>
                  </a:graphicData>
                </a:graphic>
              </wp:anchor>
            </w:drawing>
          </mc:Choice>
          <mc:Fallback>
            <w:pict>
              <v:shape id="_x0000_s1185" type="#_x0000_t202" style="position:absolute;margin-left:143.5pt;margin-top:0;width:20.149999999999999pt;height:10.1pt;z-index:25165775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16,00</w:t>
                      </w:r>
                    </w:p>
                  </w:txbxContent>
                </v:textbox>
                <w10:wrap anchorx="page"/>
              </v:shape>
            </w:pict>
          </mc:Fallback>
        </mc:AlternateContent>
      </w:r>
      <w:r>
        <mc:AlternateContent>
          <mc:Choice Requires="wps">
            <w:drawing>
              <wp:anchor distT="0" distB="0" distL="0" distR="0" simplePos="0" relativeHeight="503316510" behindDoc="0" locked="0" layoutInCell="1" allowOverlap="1">
                <wp:simplePos x="0" y="0"/>
                <wp:positionH relativeFrom="page">
                  <wp:posOffset>1822450</wp:posOffset>
                </wp:positionH>
                <wp:positionV relativeFrom="paragraph">
                  <wp:posOffset>306070</wp:posOffset>
                </wp:positionV>
                <wp:extent cx="255905" cy="128270"/>
                <wp:wrapNone/>
                <wp:docPr id="161" name="Shape 161"/>
                <a:graphic xmlns:a="http://schemas.openxmlformats.org/drawingml/2006/main">
                  <a:graphicData uri="http://schemas.microsoft.com/office/word/2010/wordprocessingShape">
                    <wps:wsp>
                      <wps:cNvSpPr txBox="1"/>
                      <wps:spPr>
                        <a:xfrm>
                          <a:ext cx="255905"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14,00</w:t>
                            </w:r>
                          </w:p>
                        </w:txbxContent>
                      </wps:txbx>
                      <wps:bodyPr lIns="0" tIns="0" rIns="0" bIns="0">
                        <a:noAutoFit/>
                      </wps:bodyPr>
                    </wps:wsp>
                  </a:graphicData>
                </a:graphic>
              </wp:anchor>
            </w:drawing>
          </mc:Choice>
          <mc:Fallback>
            <w:pict>
              <v:shape id="_x0000_s1187" type="#_x0000_t202" style="position:absolute;margin-left:143.5pt;margin-top:24.100000000000001pt;width:20.149999999999999pt;height:10.1pt;z-index:25165775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14,00</w:t>
                      </w:r>
                    </w:p>
                  </w:txbxContent>
                </v:textbox>
                <w10:wrap anchorx="page"/>
              </v:shape>
            </w:pict>
          </mc:Fallback>
        </mc:AlternateContent>
      </w:r>
      <w:r>
        <mc:AlternateContent>
          <mc:Choice Requires="wps">
            <w:drawing>
              <wp:anchor distT="0" distB="0" distL="0" distR="0" simplePos="0" relativeHeight="503316512" behindDoc="0" locked="0" layoutInCell="1" allowOverlap="1">
                <wp:simplePos x="0" y="0"/>
                <wp:positionH relativeFrom="page">
                  <wp:posOffset>1822450</wp:posOffset>
                </wp:positionH>
                <wp:positionV relativeFrom="paragraph">
                  <wp:posOffset>927735</wp:posOffset>
                </wp:positionV>
                <wp:extent cx="260350" cy="128270"/>
                <wp:wrapNone/>
                <wp:docPr id="163" name="Shape 163"/>
                <a:graphic xmlns:a="http://schemas.openxmlformats.org/drawingml/2006/main">
                  <a:graphicData uri="http://schemas.microsoft.com/office/word/2010/wordprocessingShape">
                    <wps:wsp>
                      <wps:cNvSpPr txBox="1"/>
                      <wps:spPr>
                        <a:xfrm>
                          <a:ext cx="260350"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10,00</w:t>
                            </w:r>
                          </w:p>
                        </w:txbxContent>
                      </wps:txbx>
                      <wps:bodyPr lIns="0" tIns="0" rIns="0" bIns="0">
                        <a:noAutoFit/>
                      </wps:bodyPr>
                    </wps:wsp>
                  </a:graphicData>
                </a:graphic>
              </wp:anchor>
            </w:drawing>
          </mc:Choice>
          <mc:Fallback>
            <w:pict>
              <v:shape id="_x0000_s1189" type="#_x0000_t202" style="position:absolute;margin-left:143.5pt;margin-top:73.049999999999997pt;width:20.5pt;height:10.1pt;z-index:25165775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10,00</w:t>
                      </w:r>
                    </w:p>
                  </w:txbxContent>
                </v:textbox>
                <w10:wrap anchorx="page"/>
              </v:shape>
            </w:pict>
          </mc:Fallback>
        </mc:AlternateContent>
      </w:r>
      <w:r>
        <w:drawing>
          <wp:anchor distT="237490" distB="1151255" distL="457200" distR="0" simplePos="0" relativeHeight="125829446" behindDoc="0" locked="0" layoutInCell="1" allowOverlap="1">
            <wp:simplePos x="0" y="0"/>
            <wp:positionH relativeFrom="page">
              <wp:posOffset>2279650</wp:posOffset>
            </wp:positionH>
            <wp:positionV relativeFrom="paragraph">
              <wp:posOffset>237490</wp:posOffset>
            </wp:positionV>
            <wp:extent cx="3249295" cy="2218690"/>
            <wp:wrapTopAndBottom/>
            <wp:docPr id="165" name="Shape 165"/>
            <a:graphic xmlns:a="http://schemas.openxmlformats.org/drawingml/2006/main">
              <a:graphicData uri="http://schemas.openxmlformats.org/drawingml/2006/picture">
                <pic:pic xmlns:pic="http://schemas.openxmlformats.org/drawingml/2006/picture">
                  <pic:nvPicPr>
                    <pic:cNvPr id="166" name="Picture box 166"/>
                    <pic:cNvPicPr/>
                  </pic:nvPicPr>
                  <pic:blipFill>
                    <a:blip r:embed="rId82"/>
                    <a:stretch/>
                  </pic:blipFill>
                  <pic:spPr>
                    <a:xfrm>
                      <a:ext cx="3249295" cy="2218690"/>
                    </a:xfrm>
                    <a:prstGeom prst="rect"/>
                  </pic:spPr>
                </pic:pic>
              </a:graphicData>
            </a:graphic>
          </wp:anchor>
        </w:drawing>
      </w:r>
      <w:r>
        <mc:AlternateContent>
          <mc:Choice Requires="wps">
            <w:drawing>
              <wp:anchor distT="0" distB="0" distL="0" distR="0" simplePos="0" relativeHeight="503316514" behindDoc="0" locked="0" layoutInCell="1" allowOverlap="1">
                <wp:simplePos x="0" y="0"/>
                <wp:positionH relativeFrom="page">
                  <wp:posOffset>1822450</wp:posOffset>
                </wp:positionH>
                <wp:positionV relativeFrom="paragraph">
                  <wp:posOffset>617220</wp:posOffset>
                </wp:positionV>
                <wp:extent cx="260350" cy="128270"/>
                <wp:wrapNone/>
                <wp:docPr id="167" name="Shape 167"/>
                <a:graphic xmlns:a="http://schemas.openxmlformats.org/drawingml/2006/main">
                  <a:graphicData uri="http://schemas.microsoft.com/office/word/2010/wordprocessingShape">
                    <wps:wsp>
                      <wps:cNvSpPr txBox="1"/>
                      <wps:spPr>
                        <a:xfrm>
                          <a:ext cx="260350" cy="12827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12,00</w:t>
                            </w:r>
                          </w:p>
                        </w:txbxContent>
                      </wps:txbx>
                      <wps:bodyPr lIns="0" tIns="0" rIns="0" bIns="0">
                        <a:noAutoFit/>
                      </wps:bodyPr>
                    </wps:wsp>
                  </a:graphicData>
                </a:graphic>
              </wp:anchor>
            </w:drawing>
          </mc:Choice>
          <mc:Fallback>
            <w:pict>
              <v:shape id="_x0000_s1193" type="#_x0000_t202" style="position:absolute;margin-left:143.5pt;margin-top:48.600000000000001pt;width:20.5pt;height:10.1pt;z-index:25165776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12,00</w:t>
                      </w:r>
                    </w:p>
                  </w:txbxContent>
                </v:textbox>
                <w10:wrap anchorx="page"/>
              </v:shape>
            </w:pict>
          </mc:Fallback>
        </mc:AlternateContent>
      </w:r>
      <w:r>
        <mc:AlternateContent>
          <mc:Choice Requires="wps">
            <w:drawing>
              <wp:anchor distT="2500630" distB="12700" distL="0" distR="0" simplePos="0" relativeHeight="125829447" behindDoc="0" locked="0" layoutInCell="1" allowOverlap="1">
                <wp:simplePos x="0" y="0"/>
                <wp:positionH relativeFrom="page">
                  <wp:posOffset>1132205</wp:posOffset>
                </wp:positionH>
                <wp:positionV relativeFrom="paragraph">
                  <wp:posOffset>2500630</wp:posOffset>
                </wp:positionV>
                <wp:extent cx="4462145" cy="1092835"/>
                <wp:wrapTopAndBottom/>
                <wp:docPr id="169" name="Shape 169"/>
                <a:graphic xmlns:a="http://schemas.openxmlformats.org/drawingml/2006/main">
                  <a:graphicData uri="http://schemas.microsoft.com/office/word/2010/wordprocessingShape">
                    <wps:wsp>
                      <wps:cNvSpPr txBox="1"/>
                      <wps:spPr>
                        <a:xfrm>
                          <a:ext cx="4462145" cy="1092835"/>
                        </a:xfrm>
                        <a:prstGeom prst="rect"/>
                        <a:noFill/>
                      </wps:spPr>
                      <wps:txbx>
                        <w:txbxContent>
                          <w:tbl>
                            <w:tblPr>
                              <w:tblOverlap w:val="never"/>
                              <w:jc w:val="left"/>
                              <w:tblLayout w:type="fixed"/>
                            </w:tblPr>
                            <w:tblGrid>
                              <w:gridCol w:w="1634"/>
                              <w:gridCol w:w="454"/>
                              <w:gridCol w:w="454"/>
                              <w:gridCol w:w="454"/>
                              <w:gridCol w:w="454"/>
                              <w:gridCol w:w="446"/>
                              <w:gridCol w:w="914"/>
                              <w:gridCol w:w="439"/>
                              <w:gridCol w:w="461"/>
                              <w:gridCol w:w="454"/>
                              <w:gridCol w:w="454"/>
                              <w:gridCol w:w="410"/>
                            </w:tblGrid>
                            <w:tr>
                              <w:trPr>
                                <w:tblHeader/>
                                <w:trHeight w:val="310"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1180" w:right="0" w:firstLine="0"/>
                                    <w:jc w:val="left"/>
                                    <w:rPr>
                                      <w:sz w:val="14"/>
                                      <w:szCs w:val="14"/>
                                    </w:rPr>
                                  </w:pPr>
                                  <w:r>
                                    <w:rPr>
                                      <w:color w:val="000000"/>
                                      <w:spacing w:val="0"/>
                                      <w:w w:val="100"/>
                                      <w:position w:val="0"/>
                                      <w:sz w:val="14"/>
                                      <w:szCs w:val="14"/>
                                      <w:shd w:val="clear" w:color="auto" w:fill="auto"/>
                                      <w:lang w:val="pt-PT" w:eastAsia="pt-PT" w:bidi="pt-PT"/>
                                    </w:rPr>
                                    <w:t>0,00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jan</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fev</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mar</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abr</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mai</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jun jul</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ago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set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out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nov</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dez</w:t>
                                  </w:r>
                                </w:p>
                              </w:tc>
                            </w:tr>
                            <w:tr>
                              <w:trPr>
                                <w:trHeight w:val="266" w:hRule="exact"/>
                              </w:trPr>
                              <w:tc>
                                <w:tcPr>
                                  <w:tcBorders/>
                                  <w:shd w:val="clear" w:color="auto" w:fill="FFFFFF"/>
                                  <w:vAlign w:val="top"/>
                                </w:tcPr>
                                <w:p>
                                  <w:pPr>
                                    <w:pStyle w:val="Style7"/>
                                    <w:keepNext w:val="0"/>
                                    <w:keepLines w:val="0"/>
                                    <w:widowControl w:val="0"/>
                                    <w:shd w:val="clear" w:color="auto" w:fill="auto"/>
                                    <w:tabs>
                                      <w:tab w:leader="hyphen" w:pos="590" w:val="left"/>
                                    </w:tabs>
                                    <w:bidi w:val="0"/>
                                    <w:spacing w:before="0" w:after="0" w:line="240" w:lineRule="auto"/>
                                    <w:ind w:left="0" w:right="0" w:firstLine="0"/>
                                    <w:jc w:val="both"/>
                                    <w:rPr>
                                      <w:sz w:val="14"/>
                                      <w:szCs w:val="14"/>
                                    </w:rPr>
                                  </w:pPr>
                                  <w:r>
                                    <w:rPr>
                                      <w:color w:val="94BAE7"/>
                                      <w:spacing w:val="0"/>
                                      <w:w w:val="100"/>
                                      <w:position w:val="0"/>
                                      <w:sz w:val="14"/>
                                      <w:szCs w:val="14"/>
                                      <w:shd w:val="clear" w:color="auto" w:fill="auto"/>
                                      <w:lang w:val="pt-PT" w:eastAsia="pt-PT" w:bidi="pt-PT"/>
                                    </w:rPr>
                                    <w:tab/>
                                  </w:r>
                                  <w:r>
                                    <w:rPr>
                                      <w:color w:val="000000"/>
                                      <w:spacing w:val="0"/>
                                      <w:w w:val="100"/>
                                      <w:position w:val="0"/>
                                      <w:sz w:val="14"/>
                                      <w:szCs w:val="14"/>
                                      <w:shd w:val="clear" w:color="auto" w:fill="auto"/>
                                      <w:lang w:val="pt-PT" w:eastAsia="pt-PT" w:bidi="pt-PT"/>
                                    </w:rPr>
                                    <w:t>IRF-M1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1,28</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2,30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3,34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4,61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5,75</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6,87</w:t>
                                    <w:tab/>
                                    <w:t>8,16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9,50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10,82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12,25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13,45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14,76</w:t>
                                  </w:r>
                                </w:p>
                              </w:tc>
                            </w:tr>
                            <w:tr>
                              <w:trPr>
                                <w:trHeight w:val="259" w:hRule="exact"/>
                              </w:trPr>
                              <w:tc>
                                <w:tcPr>
                                  <w:tcBorders/>
                                  <w:shd w:val="clear" w:color="auto" w:fill="FFFFFF"/>
                                  <w:vAlign w:val="top"/>
                                </w:tcPr>
                                <w:p>
                                  <w:pPr>
                                    <w:pStyle w:val="Style7"/>
                                    <w:keepNext w:val="0"/>
                                    <w:keepLines w:val="0"/>
                                    <w:widowControl w:val="0"/>
                                    <w:shd w:val="clear" w:color="auto" w:fill="auto"/>
                                    <w:tabs>
                                      <w:tab w:leader="hyphen" w:pos="533" w:val="left"/>
                                    </w:tabs>
                                    <w:bidi w:val="0"/>
                                    <w:spacing w:before="0" w:after="0" w:line="240" w:lineRule="auto"/>
                                    <w:ind w:left="0" w:right="0" w:firstLine="0"/>
                                    <w:jc w:val="both"/>
                                    <w:rPr>
                                      <w:sz w:val="14"/>
                                      <w:szCs w:val="14"/>
                                    </w:rPr>
                                  </w:pPr>
                                  <w:r>
                                    <w:rPr>
                                      <w:color w:val="E89167"/>
                                      <w:spacing w:val="0"/>
                                      <w:w w:val="100"/>
                                      <w:position w:val="0"/>
                                      <w:sz w:val="14"/>
                                      <w:szCs w:val="14"/>
                                      <w:shd w:val="clear" w:color="auto" w:fill="auto"/>
                                      <w:lang w:val="pt-PT" w:eastAsia="pt-PT" w:bidi="pt-PT"/>
                                    </w:rPr>
                                    <w:tab/>
                                  </w:r>
                                  <w:r>
                                    <w:rPr>
                                      <w:color w:val="000000"/>
                                      <w:spacing w:val="0"/>
                                      <w:w w:val="100"/>
                                      <w:position w:val="0"/>
                                      <w:sz w:val="14"/>
                                      <w:szCs w:val="14"/>
                                      <w:shd w:val="clear" w:color="auto" w:fill="auto"/>
                                      <w:lang w:val="pt-PT" w:eastAsia="pt-PT" w:bidi="pt-PT"/>
                                    </w:rPr>
                                    <w:t>IMA-B5</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1,88</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2,54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3,11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4,92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5,57</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6,05</w:t>
                                    <w:tab/>
                                    <w:t>6,35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7,61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8,32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9,43</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10,62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11,67</w:t>
                                  </w:r>
                                </w:p>
                              </w:tc>
                            </w:tr>
                            <w:tr>
                              <w:trPr>
                                <w:trHeight w:val="122" w:hRule="exact"/>
                              </w:trPr>
                              <w:tc>
                                <w:tcPr>
                                  <w:tcBorders/>
                                  <w:shd w:val="clear" w:color="auto" w:fill="FFFFFF"/>
                                  <w:vAlign w:val="top"/>
                                </w:tcPr>
                                <w:p>
                                  <w:pPr>
                                    <w:widowControl w:val="0"/>
                                    <w:rPr>
                                      <w:sz w:val="10"/>
                                      <w:szCs w:val="10"/>
                                    </w:rPr>
                                  </w:pPr>
                                </w:p>
                              </w:tc>
                              <w:tc>
                                <w:tcPr>
                                  <w:vMerge w:val="restart"/>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1,10</w:t>
                                  </w:r>
                                </w:p>
                              </w:tc>
                              <w:tc>
                                <w:tcPr>
                                  <w:vMerge w:val="restart"/>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2,10</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3,08</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4,16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5,37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6,54 7,93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9,19</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10,54</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11,97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13,16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14,55</w:t>
                                  </w:r>
                                </w:p>
                              </w:tc>
                            </w:tr>
                            <w:tr>
                              <w:trPr>
                                <w:trHeight w:val="137" w:hRule="exact"/>
                              </w:trPr>
                              <w:tc>
                                <w:tcPr>
                                  <w:tcBorders/>
                                  <w:shd w:val="clear" w:color="auto" w:fill="FFFFFF"/>
                                  <w:vAlign w:val="top"/>
                                </w:tcPr>
                                <w:p>
                                  <w:pPr>
                                    <w:widowControl w:val="0"/>
                                    <w:rPr>
                                      <w:sz w:val="10"/>
                                      <w:szCs w:val="10"/>
                                    </w:rPr>
                                  </w:pPr>
                                </w:p>
                              </w:tc>
                              <w:tc>
                                <w:tcPr>
                                  <w:vMerge/>
                                  <w:tcBorders/>
                                  <w:shd w:val="clear" w:color="auto" w:fill="FFFFFF"/>
                                  <w:vAlign w:val="center"/>
                                </w:tcPr>
                                <w:p>
                                  <w:pPr/>
                                </w:p>
                              </w:tc>
                              <w:tc>
                                <w:tcPr>
                                  <w:vMerge/>
                                  <w:tcBorders/>
                                  <w:shd w:val="clear" w:color="auto" w:fill="FFFFFF"/>
                                  <w:vAlign w:val="center"/>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r>
                            <w:tr>
                              <w:trPr>
                                <w:trHeight w:val="266" w:hRule="exact"/>
                              </w:trPr>
                              <w:tc>
                                <w:tcPr>
                                  <w:tcBorders/>
                                  <w:shd w:val="clear" w:color="auto" w:fill="FFFFFF"/>
                                  <w:vAlign w:val="top"/>
                                </w:tcPr>
                                <w:p>
                                  <w:pPr>
                                    <w:pStyle w:val="Style7"/>
                                    <w:keepNext w:val="0"/>
                                    <w:keepLines w:val="0"/>
                                    <w:widowControl w:val="0"/>
                                    <w:shd w:val="clear" w:color="auto" w:fill="auto"/>
                                    <w:tabs>
                                      <w:tab w:leader="hyphen" w:pos="533"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ab/>
                                    <w:t>CDI</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0,96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1,90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2,83</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3,85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5,03</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6,12</w:t>
                                    <w:tab/>
                                    <w:t>7,41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8,66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9,99</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11,39</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12,56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13,94</w:t>
                                  </w:r>
                                </w:p>
                              </w:tc>
                            </w:tr>
                            <w:tr>
                              <w:trPr>
                                <w:trHeight w:val="137"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700" w:right="0" w:firstLine="0"/>
                                    <w:jc w:val="left"/>
                                    <w:rPr>
                                      <w:sz w:val="10"/>
                                      <w:szCs w:val="10"/>
                                    </w:rPr>
                                  </w:pPr>
                                  <w:r>
                                    <w:rPr>
                                      <w:color w:val="000000"/>
                                      <w:spacing w:val="0"/>
                                      <w:w w:val="100"/>
                                      <w:position w:val="0"/>
                                      <w:sz w:val="10"/>
                                      <w:szCs w:val="10"/>
                                      <w:shd w:val="clear" w:color="auto" w:fill="auto"/>
                                      <w:lang w:val="pt-PT" w:eastAsia="pt-PT" w:bidi="pt-PT"/>
                                    </w:rPr>
                                    <w:t>IPCA +fi% a a</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0,65</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2,46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3,54</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4,49</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5,27</w:t>
                                  </w:r>
                                </w:p>
                              </w:tc>
                              <w:tc>
                                <w:tcPr>
                                  <w:vMerge w:val="restart"/>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6,04</w:t>
                                    <w:tab/>
                                    <w:t>6,83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7,23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8,27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8,90</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9,62</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10,52</w:t>
                                  </w:r>
                                </w:p>
                              </w:tc>
                            </w:tr>
                            <w:tr>
                              <w:trPr>
                                <w:trHeight w:val="223" w:hRule="exact"/>
                              </w:trPr>
                              <w:tc>
                                <w:tcPr>
                                  <w:tcBorders/>
                                  <w:shd w:val="clear" w:color="auto" w:fill="FFFFFF"/>
                                  <w:vAlign w:val="top"/>
                                </w:tcPr>
                                <w:p>
                                  <w:pPr>
                                    <w:widowControl w:val="0"/>
                                    <w:rPr>
                                      <w:sz w:val="10"/>
                                      <w:szCs w:val="10"/>
                                    </w:rPr>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r>
                          </w:tbl>
                          <w:p>
                            <w:pPr>
                              <w:widowControl w:val="0"/>
                              <w:spacing w:line="1" w:lineRule="exact"/>
                            </w:pPr>
                          </w:p>
                        </w:txbxContent>
                      </wps:txbx>
                      <wps:bodyPr lIns="0" tIns="0" rIns="0" bIns="0">
                        <a:noAutoFit/>
                      </wps:bodyPr>
                    </wps:wsp>
                  </a:graphicData>
                </a:graphic>
              </wp:anchor>
            </w:drawing>
          </mc:Choice>
          <mc:Fallback>
            <w:pict>
              <v:shape id="_x0000_s1195" type="#_x0000_t202" style="position:absolute;margin-left:89.150000000000006pt;margin-top:196.90000000000001pt;width:351.35000000000002pt;height:86.049999999999997pt;z-index:-125829306;mso-wrap-distance-left:0;mso-wrap-distance-top:196.90000000000001pt;mso-wrap-distance-right:0;mso-wrap-distance-bottom:1.pt;mso-position-horizontal-relative:page" filled="f" stroked="f">
                <v:textbox inset="0,0,0,0">
                  <w:txbxContent>
                    <w:tbl>
                      <w:tblPr>
                        <w:tblOverlap w:val="never"/>
                        <w:jc w:val="left"/>
                        <w:tblLayout w:type="fixed"/>
                      </w:tblPr>
                      <w:tblGrid>
                        <w:gridCol w:w="1634"/>
                        <w:gridCol w:w="454"/>
                        <w:gridCol w:w="454"/>
                        <w:gridCol w:w="454"/>
                        <w:gridCol w:w="454"/>
                        <w:gridCol w:w="446"/>
                        <w:gridCol w:w="914"/>
                        <w:gridCol w:w="439"/>
                        <w:gridCol w:w="461"/>
                        <w:gridCol w:w="454"/>
                        <w:gridCol w:w="454"/>
                        <w:gridCol w:w="410"/>
                      </w:tblGrid>
                      <w:tr>
                        <w:trPr>
                          <w:tblHeader/>
                          <w:trHeight w:val="310"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1180" w:right="0" w:firstLine="0"/>
                              <w:jc w:val="left"/>
                              <w:rPr>
                                <w:sz w:val="14"/>
                                <w:szCs w:val="14"/>
                              </w:rPr>
                            </w:pPr>
                            <w:r>
                              <w:rPr>
                                <w:color w:val="000000"/>
                                <w:spacing w:val="0"/>
                                <w:w w:val="100"/>
                                <w:position w:val="0"/>
                                <w:sz w:val="14"/>
                                <w:szCs w:val="14"/>
                                <w:shd w:val="clear" w:color="auto" w:fill="auto"/>
                                <w:lang w:val="pt-PT" w:eastAsia="pt-PT" w:bidi="pt-PT"/>
                              </w:rPr>
                              <w:t>0,00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jan</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fev</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mar</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abr</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mai</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jun jul</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ago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set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out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nov</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dez</w:t>
                            </w:r>
                          </w:p>
                        </w:tc>
                      </w:tr>
                      <w:tr>
                        <w:trPr>
                          <w:trHeight w:val="266" w:hRule="exact"/>
                        </w:trPr>
                        <w:tc>
                          <w:tcPr>
                            <w:tcBorders/>
                            <w:shd w:val="clear" w:color="auto" w:fill="FFFFFF"/>
                            <w:vAlign w:val="top"/>
                          </w:tcPr>
                          <w:p>
                            <w:pPr>
                              <w:pStyle w:val="Style7"/>
                              <w:keepNext w:val="0"/>
                              <w:keepLines w:val="0"/>
                              <w:widowControl w:val="0"/>
                              <w:shd w:val="clear" w:color="auto" w:fill="auto"/>
                              <w:tabs>
                                <w:tab w:leader="hyphen" w:pos="590" w:val="left"/>
                              </w:tabs>
                              <w:bidi w:val="0"/>
                              <w:spacing w:before="0" w:after="0" w:line="240" w:lineRule="auto"/>
                              <w:ind w:left="0" w:right="0" w:firstLine="0"/>
                              <w:jc w:val="both"/>
                              <w:rPr>
                                <w:sz w:val="14"/>
                                <w:szCs w:val="14"/>
                              </w:rPr>
                            </w:pPr>
                            <w:r>
                              <w:rPr>
                                <w:color w:val="94BAE7"/>
                                <w:spacing w:val="0"/>
                                <w:w w:val="100"/>
                                <w:position w:val="0"/>
                                <w:sz w:val="14"/>
                                <w:szCs w:val="14"/>
                                <w:shd w:val="clear" w:color="auto" w:fill="auto"/>
                                <w:lang w:val="pt-PT" w:eastAsia="pt-PT" w:bidi="pt-PT"/>
                              </w:rPr>
                              <w:tab/>
                            </w:r>
                            <w:r>
                              <w:rPr>
                                <w:color w:val="000000"/>
                                <w:spacing w:val="0"/>
                                <w:w w:val="100"/>
                                <w:position w:val="0"/>
                                <w:sz w:val="14"/>
                                <w:szCs w:val="14"/>
                                <w:shd w:val="clear" w:color="auto" w:fill="auto"/>
                                <w:lang w:val="pt-PT" w:eastAsia="pt-PT" w:bidi="pt-PT"/>
                              </w:rPr>
                              <w:t>IRF-M1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1,28</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2,30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3,34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4,61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5,75</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6,87</w:t>
                              <w:tab/>
                              <w:t>8,16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9,50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10,82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12,25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13,45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14,76</w:t>
                            </w:r>
                          </w:p>
                        </w:tc>
                      </w:tr>
                      <w:tr>
                        <w:trPr>
                          <w:trHeight w:val="259" w:hRule="exact"/>
                        </w:trPr>
                        <w:tc>
                          <w:tcPr>
                            <w:tcBorders/>
                            <w:shd w:val="clear" w:color="auto" w:fill="FFFFFF"/>
                            <w:vAlign w:val="top"/>
                          </w:tcPr>
                          <w:p>
                            <w:pPr>
                              <w:pStyle w:val="Style7"/>
                              <w:keepNext w:val="0"/>
                              <w:keepLines w:val="0"/>
                              <w:widowControl w:val="0"/>
                              <w:shd w:val="clear" w:color="auto" w:fill="auto"/>
                              <w:tabs>
                                <w:tab w:leader="hyphen" w:pos="533" w:val="left"/>
                              </w:tabs>
                              <w:bidi w:val="0"/>
                              <w:spacing w:before="0" w:after="0" w:line="240" w:lineRule="auto"/>
                              <w:ind w:left="0" w:right="0" w:firstLine="0"/>
                              <w:jc w:val="both"/>
                              <w:rPr>
                                <w:sz w:val="14"/>
                                <w:szCs w:val="14"/>
                              </w:rPr>
                            </w:pPr>
                            <w:r>
                              <w:rPr>
                                <w:color w:val="E89167"/>
                                <w:spacing w:val="0"/>
                                <w:w w:val="100"/>
                                <w:position w:val="0"/>
                                <w:sz w:val="14"/>
                                <w:szCs w:val="14"/>
                                <w:shd w:val="clear" w:color="auto" w:fill="auto"/>
                                <w:lang w:val="pt-PT" w:eastAsia="pt-PT" w:bidi="pt-PT"/>
                              </w:rPr>
                              <w:tab/>
                            </w:r>
                            <w:r>
                              <w:rPr>
                                <w:color w:val="000000"/>
                                <w:spacing w:val="0"/>
                                <w:w w:val="100"/>
                                <w:position w:val="0"/>
                                <w:sz w:val="14"/>
                                <w:szCs w:val="14"/>
                                <w:shd w:val="clear" w:color="auto" w:fill="auto"/>
                                <w:lang w:val="pt-PT" w:eastAsia="pt-PT" w:bidi="pt-PT"/>
                              </w:rPr>
                              <w:t>IMA-B5</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1,88</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2,54</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3,11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4,92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5,57</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6,05</w:t>
                              <w:tab/>
                              <w:t>6,35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7,61</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8,32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9,43</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10,62</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11,67</w:t>
                            </w:r>
                          </w:p>
                        </w:tc>
                      </w:tr>
                      <w:tr>
                        <w:trPr>
                          <w:trHeight w:val="122" w:hRule="exact"/>
                        </w:trPr>
                        <w:tc>
                          <w:tcPr>
                            <w:tcBorders/>
                            <w:shd w:val="clear" w:color="auto" w:fill="FFFFFF"/>
                            <w:vAlign w:val="top"/>
                          </w:tcPr>
                          <w:p>
                            <w:pPr>
                              <w:widowControl w:val="0"/>
                              <w:rPr>
                                <w:sz w:val="10"/>
                                <w:szCs w:val="10"/>
                              </w:rPr>
                            </w:pPr>
                          </w:p>
                        </w:tc>
                        <w:tc>
                          <w:tcPr>
                            <w:vMerge w:val="restart"/>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1,10</w:t>
                            </w:r>
                          </w:p>
                        </w:tc>
                        <w:tc>
                          <w:tcPr>
                            <w:vMerge w:val="restart"/>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2,10</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3,08</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4,16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5,37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6,54 7,93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9,19</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10,54</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11,97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13,16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14,55</w:t>
                            </w:r>
                          </w:p>
                        </w:tc>
                      </w:tr>
                      <w:tr>
                        <w:trPr>
                          <w:trHeight w:val="137" w:hRule="exact"/>
                        </w:trPr>
                        <w:tc>
                          <w:tcPr>
                            <w:tcBorders/>
                            <w:shd w:val="clear" w:color="auto" w:fill="FFFFFF"/>
                            <w:vAlign w:val="top"/>
                          </w:tcPr>
                          <w:p>
                            <w:pPr>
                              <w:widowControl w:val="0"/>
                              <w:rPr>
                                <w:sz w:val="10"/>
                                <w:szCs w:val="10"/>
                              </w:rPr>
                            </w:pPr>
                          </w:p>
                        </w:tc>
                        <w:tc>
                          <w:tcPr>
                            <w:vMerge/>
                            <w:tcBorders/>
                            <w:shd w:val="clear" w:color="auto" w:fill="FFFFFF"/>
                            <w:vAlign w:val="center"/>
                          </w:tcPr>
                          <w:p>
                            <w:pPr/>
                          </w:p>
                        </w:tc>
                        <w:tc>
                          <w:tcPr>
                            <w:vMerge/>
                            <w:tcBorders/>
                            <w:shd w:val="clear" w:color="auto" w:fill="FFFFFF"/>
                            <w:vAlign w:val="center"/>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r>
                      <w:tr>
                        <w:trPr>
                          <w:trHeight w:val="266" w:hRule="exact"/>
                        </w:trPr>
                        <w:tc>
                          <w:tcPr>
                            <w:tcBorders/>
                            <w:shd w:val="clear" w:color="auto" w:fill="FFFFFF"/>
                            <w:vAlign w:val="top"/>
                          </w:tcPr>
                          <w:p>
                            <w:pPr>
                              <w:pStyle w:val="Style7"/>
                              <w:keepNext w:val="0"/>
                              <w:keepLines w:val="0"/>
                              <w:widowControl w:val="0"/>
                              <w:shd w:val="clear" w:color="auto" w:fill="auto"/>
                              <w:tabs>
                                <w:tab w:leader="hyphen" w:pos="533"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ab/>
                              <w:t>CDI</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0,96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1,90</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2,83</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3,85</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5,03</w:t>
                            </w:r>
                          </w:p>
                        </w:tc>
                        <w:tc>
                          <w:tcPr>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6,12</w:t>
                              <w:tab/>
                              <w:t>7,41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8,66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9,99</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11,39</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12,56</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13,94</w:t>
                            </w:r>
                          </w:p>
                        </w:tc>
                      </w:tr>
                      <w:tr>
                        <w:trPr>
                          <w:trHeight w:val="137"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700" w:right="0" w:firstLine="0"/>
                              <w:jc w:val="left"/>
                              <w:rPr>
                                <w:sz w:val="10"/>
                                <w:szCs w:val="10"/>
                              </w:rPr>
                            </w:pPr>
                            <w:r>
                              <w:rPr>
                                <w:color w:val="000000"/>
                                <w:spacing w:val="0"/>
                                <w:w w:val="100"/>
                                <w:position w:val="0"/>
                                <w:sz w:val="10"/>
                                <w:szCs w:val="10"/>
                                <w:shd w:val="clear" w:color="auto" w:fill="auto"/>
                                <w:lang w:val="pt-PT" w:eastAsia="pt-PT" w:bidi="pt-PT"/>
                              </w:rPr>
                              <w:t>IPCA +fi% a a</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0,65</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2,46</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3,54</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4,49</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5,27</w:t>
                            </w:r>
                          </w:p>
                        </w:tc>
                        <w:tc>
                          <w:tcPr>
                            <w:vMerge w:val="restart"/>
                            <w:tcBorders/>
                            <w:shd w:val="clear" w:color="auto" w:fill="FFFFFF"/>
                            <w:vAlign w:val="top"/>
                          </w:tcPr>
                          <w:p>
                            <w:pPr>
                              <w:pStyle w:val="Style7"/>
                              <w:keepNext w:val="0"/>
                              <w:keepLines w:val="0"/>
                              <w:widowControl w:val="0"/>
                              <w:shd w:val="clear" w:color="auto" w:fill="auto"/>
                              <w:tabs>
                                <w:tab w:pos="446"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PT" w:eastAsia="pt-PT" w:bidi="pt-PT"/>
                              </w:rPr>
                              <w:t>6,04</w:t>
                              <w:tab/>
                              <w:t>6,83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7,23</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8,27</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4"/>
                                <w:szCs w:val="14"/>
                              </w:rPr>
                            </w:pPr>
                            <w:r>
                              <w:rPr>
                                <w:color w:val="000000"/>
                                <w:spacing w:val="0"/>
                                <w:w w:val="100"/>
                                <w:position w:val="0"/>
                                <w:sz w:val="14"/>
                                <w:szCs w:val="14"/>
                                <w:shd w:val="clear" w:color="auto" w:fill="auto"/>
                                <w:lang w:val="pt-PT" w:eastAsia="pt-PT" w:bidi="pt-PT"/>
                              </w:rPr>
                              <w:t>8,90</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9,62</w:t>
                            </w: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10,52</w:t>
                            </w:r>
                          </w:p>
                        </w:tc>
                      </w:tr>
                      <w:tr>
                        <w:trPr>
                          <w:trHeight w:val="223" w:hRule="exact"/>
                        </w:trPr>
                        <w:tc>
                          <w:tcPr>
                            <w:tcBorders/>
                            <w:shd w:val="clear" w:color="auto" w:fill="FFFFFF"/>
                            <w:vAlign w:val="top"/>
                          </w:tcPr>
                          <w:p>
                            <w:pPr>
                              <w:widowControl w:val="0"/>
                              <w:rPr>
                                <w:sz w:val="10"/>
                                <w:szCs w:val="10"/>
                              </w:rPr>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c>
                          <w:tcPr>
                            <w:vMerge/>
                            <w:tcBorders/>
                            <w:shd w:val="clear" w:color="auto" w:fill="FFFFFF"/>
                            <w:vAlign w:val="top"/>
                          </w:tcPr>
                          <w:p>
                            <w:pPr/>
                          </w:p>
                        </w:tc>
                      </w:tr>
                    </w:tbl>
                    <w:p>
                      <w:pPr>
                        <w:widowControl w:val="0"/>
                        <w:spacing w:line="1" w:lineRule="exact"/>
                      </w:pPr>
                    </w:p>
                  </w:txbxContent>
                </v:textbox>
                <w10:wrap type="topAndBottom"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ANBIMA.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OBS: Janeiro a Dezembro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que tange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previsões para 2026,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apontam para um pequeno afrouxamento monetário, sendo estimada leve redução da Selic, fechando o próximo exercício em 12,13%. Referida queda dialoga com a projeção de arrefecimento do IPCA, que mesmo permanecendo acima do centro da meta muito provavelmente irá recuar frente a 2025, sendo prevista uma inflação próxima a 3,91% em 2026. De outra banda, as questões fiscais também não vislumbram grandes modificações em relação a 2024 e</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2025, consistindo novamente no principal grau de risco da economia brasileira. A continuidade dos déficits primários segue sendo uma tendência para 2026, em que pese o governo federal ter estipulado meta de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 xml:space="preserve">primário de 0,25%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para o próximo ano.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Com a taxa de juros recuando mas ainda permanecendo em patamar elevado, IPCA abaixo do teto da meta mas em situação distante da estabilidade almejada pelo governo, e uma situação fiscal </w:t>
      </w:r>
      <w:r>
        <w:rPr>
          <w:color w:val="000000"/>
          <w:spacing w:val="0"/>
          <w:w w:val="100"/>
          <w:position w:val="0"/>
          <w:shd w:val="clear" w:color="auto" w:fill="auto"/>
          <w:lang w:val="pt-BR" w:eastAsia="pt-BR" w:bidi="pt-BR"/>
        </w:rPr>
        <w:t xml:space="preserve">caracterizada </w:t>
      </w:r>
      <w:r>
        <w:rPr>
          <w:color w:val="000000"/>
          <w:spacing w:val="0"/>
          <w:w w:val="100"/>
          <w:position w:val="0"/>
          <w:shd w:val="clear" w:color="auto" w:fill="auto"/>
          <w:lang w:val="pt-PT" w:eastAsia="pt-PT" w:bidi="pt-PT"/>
        </w:rPr>
        <w:t xml:space="preserve">por incertezas, a tendência é de um cenário que privilegie as opções de curto prazo, tendo em vista os maiores riscos implícitos nos títulos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alongados. Todavia, melhorias no quadro </w:t>
      </w:r>
      <w:r>
        <w:rPr>
          <w:color w:val="000000"/>
          <w:spacing w:val="0"/>
          <w:w w:val="100"/>
          <w:position w:val="0"/>
          <w:shd w:val="clear" w:color="auto" w:fill="auto"/>
          <w:lang w:val="pt-BR" w:eastAsia="pt-BR" w:bidi="pt-BR"/>
        </w:rPr>
        <w:t xml:space="preserve">macroeconômico, </w:t>
      </w:r>
      <w:r>
        <w:rPr>
          <w:color w:val="000000"/>
          <w:spacing w:val="0"/>
          <w:w w:val="100"/>
          <w:position w:val="0"/>
          <w:shd w:val="clear" w:color="auto" w:fill="auto"/>
          <w:lang w:val="pt-PT" w:eastAsia="pt-PT" w:bidi="pt-PT"/>
        </w:rPr>
        <w:t xml:space="preserve">em especial no que se refere a uma maior </w:t>
      </w:r>
      <w:r>
        <w:rPr>
          <w:color w:val="000000"/>
          <w:spacing w:val="0"/>
          <w:w w:val="100"/>
          <w:position w:val="0"/>
          <w:shd w:val="clear" w:color="auto" w:fill="auto"/>
          <w:lang w:val="pt-BR" w:eastAsia="pt-BR" w:bidi="pt-BR"/>
        </w:rPr>
        <w:t xml:space="preserve">ancoragem </w:t>
      </w:r>
      <w:r>
        <w:rPr>
          <w:color w:val="000000"/>
          <w:spacing w:val="0"/>
          <w:w w:val="100"/>
          <w:position w:val="0"/>
          <w:shd w:val="clear" w:color="auto" w:fill="auto"/>
          <w:lang w:val="pt-PT" w:eastAsia="pt-PT" w:bidi="pt-PT"/>
        </w:rPr>
        <w:t xml:space="preserve">das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inflacionárias, pode incentivar a procura por opções de longo prazo marcadas a mercado, repetindo o comportamento observado de forma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majoritária no segundo semestre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Assim, diante desse contexto, </w:t>
      </w:r>
      <w:r>
        <w:rPr>
          <w:color w:val="000000"/>
          <w:spacing w:val="0"/>
          <w:w w:val="100"/>
          <w:position w:val="0"/>
          <w:shd w:val="clear" w:color="auto" w:fill="auto"/>
          <w:lang w:val="pt-BR" w:eastAsia="pt-BR" w:bidi="pt-BR"/>
        </w:rPr>
        <w:t xml:space="preserve">recomenda-se </w:t>
      </w:r>
      <w:r>
        <w:rPr>
          <w:color w:val="000000"/>
          <w:spacing w:val="0"/>
          <w:w w:val="100"/>
          <w:position w:val="0"/>
          <w:shd w:val="clear" w:color="auto" w:fill="auto"/>
          <w:lang w:val="pt-PT" w:eastAsia="pt-PT" w:bidi="pt-PT"/>
        </w:rPr>
        <w:t xml:space="preserve">novamente uma moderada e prudente diversificação do portfólio, contudo, sendo estabelecida relativa preferência por investimentos em ativos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curtos pelo menos no primeiro semestre do ano, com o perfil dos investimentos variando em conformidade com os rumos da Selic e da inflação.</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Por oportuno, ressalta-se que sugerida diversificação confere ao investidor a proteção necessária contra</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eventuais contingências que venham a interferir na condução das políticas monetária, cambial e, especialmente, fiscal.</w:t>
      </w:r>
    </w:p>
    <w:p>
      <w:pPr>
        <w:pStyle w:val="Style10"/>
        <w:keepNext w:val="0"/>
        <w:keepLines w:val="0"/>
        <w:widowControl w:val="0"/>
        <w:shd w:val="clear" w:color="auto" w:fill="auto"/>
        <w:bidi w:val="0"/>
        <w:spacing w:before="0" w:after="200"/>
        <w:ind w:left="0" w:right="0" w:firstLine="0"/>
        <w:jc w:val="left"/>
      </w:pPr>
      <w:r>
        <w:rPr>
          <w:color w:val="000000"/>
          <w:spacing w:val="0"/>
          <w:w w:val="100"/>
          <w:position w:val="0"/>
          <w:shd w:val="clear" w:color="auto" w:fill="auto"/>
          <w:lang w:val="pt-PT" w:eastAsia="pt-PT" w:bidi="pt-PT"/>
        </w:rPr>
        <w:t>Renda Variável</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Análise 2025 e </w:t>
      </w:r>
      <w:r>
        <w:rPr>
          <w:color w:val="000000"/>
          <w:spacing w:val="0"/>
          <w:w w:val="100"/>
          <w:position w:val="0"/>
          <w:shd w:val="clear" w:color="auto" w:fill="auto"/>
          <w:lang w:val="pt-BR" w:eastAsia="pt-BR" w:bidi="pt-BR"/>
        </w:rPr>
        <w:t xml:space="preserve">Perspectivas </w:t>
      </w:r>
      <w:r>
        <w:rPr>
          <w:color w:val="000000"/>
          <w:spacing w:val="0"/>
          <w:w w:val="100"/>
          <w:position w:val="0"/>
          <w:shd w:val="clear" w:color="auto" w:fill="auto"/>
          <w:lang w:val="pt-PT" w:eastAsia="pt-PT" w:bidi="pt-PT"/>
        </w:rPr>
        <w:t>para 2026</w:t>
      </w:r>
      <w:r>
        <w:br w:type="page"/>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No primeiro trimestre de 2025, o Ibovespa iniciou o ano com um ganho moderado em janeiro (+4,86 %), mas já sofreu correções em fevereiro (-2,64 %) antes de retornar a uma valorização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expressiva em março (+6,08 %). Esse arranque refletiu um ambiente doméstico de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mistas: por um lado, a economia brasileira mostrava sinais de recomposição após a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xml:space="preserve">observada em 2024; por outro, o Banco Central iniciou um novo ciclo de aperto monetário ao longo do ano, elevando gradualmente a taxa Selic até 15 % ao ano, patamar que foi alcançado em junho e mantido nas reuniões subsequentes. Apesar </w:t>
      </w:r>
      <w:r>
        <w:rPr>
          <w:color w:val="000000"/>
          <w:spacing w:val="0"/>
          <w:w w:val="100"/>
          <w:position w:val="0"/>
          <w:shd w:val="clear" w:color="auto" w:fill="auto"/>
          <w:lang w:val="pt-PT" w:eastAsia="pt-PT" w:bidi="pt-PT"/>
        </w:rPr>
        <w:t>disso, a política fiscal ainda carregava incertezas, o que resultou em um início de ano marcado por volatilidade e seletividade entre os agentes.</w:t>
      </w:r>
    </w:p>
    <w:p>
      <w:pPr>
        <w:widowControl w:val="0"/>
        <w:spacing w:after="1282" w:line="1" w:lineRule="exact"/>
      </w:pPr>
      <w:r>
        <w:drawing>
          <wp:anchor distT="0" distB="0" distL="0" distR="0" simplePos="0" relativeHeight="62914722" behindDoc="1" locked="0" layoutInCell="1" allowOverlap="1">
            <wp:simplePos x="0" y="0"/>
            <wp:positionH relativeFrom="page">
              <wp:posOffset>6170295</wp:posOffset>
            </wp:positionH>
            <wp:positionV relativeFrom="paragraph">
              <wp:posOffset>279400</wp:posOffset>
            </wp:positionV>
            <wp:extent cx="1212850" cy="536575"/>
            <wp:wrapNone/>
            <wp:docPr id="171" name="Shape 171"/>
            <a:graphic xmlns:a="http://schemas.openxmlformats.org/drawingml/2006/main">
              <a:graphicData uri="http://schemas.openxmlformats.org/drawingml/2006/picture">
                <pic:pic xmlns:pic="http://schemas.openxmlformats.org/drawingml/2006/picture">
                  <pic:nvPicPr>
                    <pic:cNvPr id="172" name="Picture box 172"/>
                    <pic:cNvPicPr/>
                  </pic:nvPicPr>
                  <pic:blipFill>
                    <a:blip r:embed="rId84"/>
                    <a:stretch/>
                  </pic:blipFill>
                  <pic:spPr>
                    <a:xfrm>
                      <a:ext cx="1212850" cy="536575"/>
                    </a:xfrm>
                    <a:prstGeom prst="rect"/>
                  </pic:spPr>
                </pic:pic>
              </a:graphicData>
            </a:graphic>
          </wp:anchor>
        </w:drawing>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segundo trimestre (abril a junho), o movimento permaneceu relativamente contido: abril registrou ganho de +3,69 %, maio +1,45 % e junho +1,33 %. Esse padrão revelou que o mercado começou a reagir positivamente à combinação entre sinais de moderação da inflação — ainda acima da meta — e 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de que o ciclo de aperto monetário poderia se aproximar de um ponto de estabilização. De fato, o COPOM passou a indicar que manteria a taxa de juros em nível restritivo por período prolongado, sem sinalizações imediatas de cortes. No campo fiscal, o cenário permanecia de déficit primário moderado e trajetória ascendente da dívida pública, que continuava acima de 77 %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refletindo fragilidades estruturais associadas ao crescimento das despesas obrigatórias. Nesse contexto, o Ibovespa avançou de forma gradual, refletindo um equilíbrio entre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positivas e limitações </w:t>
      </w:r>
      <w:r>
        <w:rPr>
          <w:color w:val="000000"/>
          <w:spacing w:val="0"/>
          <w:w w:val="100"/>
          <w:position w:val="0"/>
          <w:shd w:val="clear" w:color="auto" w:fill="auto"/>
          <w:lang w:val="pt-BR" w:eastAsia="pt-BR" w:bidi="pt-BR"/>
        </w:rPr>
        <w:t xml:space="preserve">macroeconômicas </w:t>
      </w:r>
      <w:r>
        <w:rPr>
          <w:color w:val="000000"/>
          <w:spacing w:val="0"/>
          <w:w w:val="100"/>
          <w:position w:val="0"/>
          <w:shd w:val="clear" w:color="auto" w:fill="auto"/>
          <w:lang w:val="pt-PT" w:eastAsia="pt-PT" w:bidi="pt-PT"/>
        </w:rPr>
        <w:t>domésticas.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Entre julho e setembro, o índice apresentou comportamento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volátil: em julho registrou queda de -4,17 %, seguida por forte recuperação em agosto (+6,28 %) e continuidade do movimento positivo em setembro (+3,40 %). Esse padrão evidenciou a influência crescente do ambiente externo, marcado pela </w:t>
      </w:r>
      <w:r>
        <w:rPr>
          <w:color w:val="000000"/>
          <w:spacing w:val="0"/>
          <w:w w:val="100"/>
          <w:position w:val="0"/>
          <w:shd w:val="clear" w:color="auto" w:fill="auto"/>
          <w:lang w:val="pt-BR" w:eastAsia="pt-BR" w:bidi="pt-BR"/>
        </w:rPr>
        <w:t xml:space="preserve">expectativa </w:t>
      </w:r>
      <w:r>
        <w:rPr>
          <w:color w:val="000000"/>
          <w:spacing w:val="0"/>
          <w:w w:val="100"/>
          <w:position w:val="0"/>
          <w:shd w:val="clear" w:color="auto" w:fill="auto"/>
          <w:lang w:val="pt-PT" w:eastAsia="pt-PT" w:bidi="pt-PT"/>
        </w:rPr>
        <w:t xml:space="preserve">de início do ciclo de redução de juros nas economias avançadas, especialmente nos Estados Unidos. A </w:t>
      </w:r>
      <w:r>
        <w:rPr>
          <w:color w:val="000000"/>
          <w:spacing w:val="0"/>
          <w:w w:val="100"/>
          <w:position w:val="0"/>
          <w:shd w:val="clear" w:color="auto" w:fill="auto"/>
          <w:lang w:val="pt-BR" w:eastAsia="pt-BR" w:bidi="pt-BR"/>
        </w:rPr>
        <w:t xml:space="preserve">perspectiva </w:t>
      </w:r>
      <w:r>
        <w:rPr>
          <w:color w:val="000000"/>
          <w:spacing w:val="0"/>
          <w:w w:val="100"/>
          <w:position w:val="0"/>
          <w:shd w:val="clear" w:color="auto" w:fill="auto"/>
          <w:lang w:val="pt-PT" w:eastAsia="pt-PT" w:bidi="pt-PT"/>
        </w:rPr>
        <w:t xml:space="preserve">de política monetária menos restritiva por parte do Federal Reserve (Fed) contribuiu para melhorar o fluxo de capitais em direção aos mercados emergentes, favorecendo ativos de risco. A entrada de recursos estrangeiros e a valorização de empresas brasileiras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expostas ao cenário internacional contribuíram para o desempenho positivo observado nesse período. Com isso, o Ibovespa acumulava valorização próxima de 21,6 % até setembro de 2025.</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último trimestre do ano, o mercado manteve trajetória de oscilações, mas com viés positivo. Apesar da manutenção da taxa Selic em patamar elevado e da persistência de incertezas fiscais, o ambiente externo relativamente favorável e o fluxo de capitais para mercados emergentes contribuíram para sustentar o desempenho da bolsa brasileira. Dessa forma, o Ibovespa encerrou o ano de 2025 com valorização acumulada próxima de 33%, consolidando um desempenho expressivo no período, impulsionado principalmente por empresas ligadas a commodities, exportação e setores com maior resiliência operacional. Em síntese, o desempenho do Ibovespa ao longo de 2025 evidenciou a coexistência de forças domésticas restritivas — como a elevada taxa de juros, inflação ainda próxima ao teto da meta e desafios fiscais — com fatores externos relativamente favoráveis, especialmente relacionados ao fluxo de capitais para economias emergentes e </w:t>
      </w:r>
      <w:r>
        <w:rPr>
          <w:color w:val="000000"/>
          <w:spacing w:val="0"/>
          <w:w w:val="100"/>
          <w:position w:val="0"/>
          <w:shd w:val="clear" w:color="auto" w:fill="auto"/>
          <w:lang w:val="pt-BR" w:eastAsia="pt-BR" w:bidi="pt-BR"/>
        </w:rPr>
        <w:t xml:space="preserve">às expectativas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flexibilização </w:t>
      </w:r>
      <w:r>
        <w:rPr>
          <w:color w:val="000000"/>
          <w:spacing w:val="0"/>
          <w:w w:val="100"/>
          <w:position w:val="0"/>
          <w:shd w:val="clear" w:color="auto" w:fill="auto"/>
          <w:lang w:val="pt-PT" w:eastAsia="pt-PT" w:bidi="pt-PT"/>
        </w:rPr>
        <w:t xml:space="preserve">monetária global. O resultado foi um ambiente de recuperação seletiva do mercado </w:t>
      </w:r>
      <w:r>
        <w:rPr>
          <w:color w:val="000000"/>
          <w:spacing w:val="0"/>
          <w:w w:val="100"/>
          <w:position w:val="0"/>
          <w:shd w:val="clear" w:color="auto" w:fill="auto"/>
          <w:lang w:val="pt-BR" w:eastAsia="pt-BR" w:bidi="pt-BR"/>
        </w:rPr>
        <w:t xml:space="preserve">acionário, </w:t>
      </w:r>
      <w:r>
        <w:rPr>
          <w:color w:val="000000"/>
          <w:spacing w:val="0"/>
          <w:w w:val="100"/>
          <w:position w:val="0"/>
          <w:shd w:val="clear" w:color="auto" w:fill="auto"/>
          <w:lang w:val="pt-PT" w:eastAsia="pt-PT" w:bidi="pt-PT"/>
        </w:rPr>
        <w:t xml:space="preserve">no qual empresas com balanços sólidos, menor nível de endividamento e maior exposição ao mercado externo apresentaram desempenho superior, enquanto setores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dependentes do crédito doméstico permaneceram sob maior pressão ao longo do ano.</w:t>
      </w:r>
    </w:p>
    <w:p>
      <w:pPr>
        <w:widowControl w:val="0"/>
        <w:spacing w:line="1" w:lineRule="exact"/>
        <w:sectPr>
          <w:headerReference w:type="default" r:id="rId86"/>
          <w:headerReference w:type="even" r:id="rId87"/>
          <w:footnotePr>
            <w:pos w:val="pageBottom"/>
            <w:numFmt w:val="decimal"/>
            <w:numRestart w:val="continuous"/>
          </w:footnotePr>
          <w:pgSz w:w="11900" w:h="16840"/>
          <w:pgMar w:top="2049" w:left="1553" w:right="1657" w:bottom="1421" w:header="0" w:footer="993" w:gutter="0"/>
          <w:cols w:space="720"/>
          <w:noEndnote/>
          <w:rtlGutter w:val="0"/>
          <w:docGrid w:linePitch="360"/>
        </w:sectPr>
      </w:pPr>
      <w:r>
        <w:drawing>
          <wp:anchor distT="139700" distB="292735" distL="210185" distR="0" simplePos="0" relativeHeight="125829449" behindDoc="0" locked="0" layoutInCell="1" allowOverlap="1">
            <wp:simplePos x="0" y="0"/>
            <wp:positionH relativeFrom="page">
              <wp:posOffset>1219200</wp:posOffset>
            </wp:positionH>
            <wp:positionV relativeFrom="paragraph">
              <wp:posOffset>139700</wp:posOffset>
            </wp:positionV>
            <wp:extent cx="4401185" cy="3084830"/>
            <wp:wrapTopAndBottom/>
            <wp:docPr id="177" name="Shape 177"/>
            <a:graphic xmlns:a="http://schemas.openxmlformats.org/drawingml/2006/main">
              <a:graphicData uri="http://schemas.openxmlformats.org/drawingml/2006/picture">
                <pic:pic xmlns:pic="http://schemas.openxmlformats.org/drawingml/2006/picture">
                  <pic:nvPicPr>
                    <pic:cNvPr id="178" name="Picture box 178"/>
                    <pic:cNvPicPr/>
                  </pic:nvPicPr>
                  <pic:blipFill>
                    <a:blip r:embed="rId88"/>
                    <a:stretch/>
                  </pic:blipFill>
                  <pic:spPr>
                    <a:xfrm>
                      <a:ext cx="4401185" cy="3084830"/>
                    </a:xfrm>
                    <a:prstGeom prst="rect"/>
                  </pic:spPr>
                </pic:pic>
              </a:graphicData>
            </a:graphic>
          </wp:anchor>
        </w:drawing>
      </w:r>
      <w:r>
        <mc:AlternateContent>
          <mc:Choice Requires="wps">
            <w:drawing>
              <wp:anchor distT="0" distB="0" distL="0" distR="0" simplePos="0" relativeHeight="503316516" behindDoc="0" locked="0" layoutInCell="1" allowOverlap="1">
                <wp:simplePos x="0" y="0"/>
                <wp:positionH relativeFrom="page">
                  <wp:posOffset>1009015</wp:posOffset>
                </wp:positionH>
                <wp:positionV relativeFrom="paragraph">
                  <wp:posOffset>3234690</wp:posOffset>
                </wp:positionV>
                <wp:extent cx="3154680" cy="160020"/>
                <wp:wrapNone/>
                <wp:docPr id="179" name="Shape 179"/>
                <a:graphic xmlns:a="http://schemas.openxmlformats.org/drawingml/2006/main">
                  <a:graphicData uri="http://schemas.microsoft.com/office/word/2010/wordprocessingShape">
                    <wps:wsp>
                      <wps:cNvSpPr txBox="1"/>
                      <wps:spPr>
                        <a:xfrm>
                          <a:ext cx="3154680" cy="16002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Gráfico 11 - Rentabilidade acumulada: IBrX e IBOVESPA (%)</w:t>
                            </w:r>
                          </w:p>
                        </w:txbxContent>
                      </wps:txbx>
                      <wps:bodyPr lIns="0" tIns="0" rIns="0" bIns="0">
                        <a:noAutoFit/>
                      </wps:bodyPr>
                    </wps:wsp>
                  </a:graphicData>
                </a:graphic>
              </wp:anchor>
            </w:drawing>
          </mc:Choice>
          <mc:Fallback>
            <w:pict>
              <v:shape id="_x0000_s1205" type="#_x0000_t202" style="position:absolute;margin-left:79.450000000000003pt;margin-top:254.69999999999999pt;width:248.40000000000001pt;height:12.6pt;z-index:25165776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pt-PT" w:eastAsia="pt-PT" w:bidi="pt-PT"/>
                        </w:rPr>
                        <w:t>Gráfico 11 - Rentabilidade acumulada: IBrX e IBOVESPA (%)</w:t>
                      </w:r>
                    </w:p>
                  </w:txbxContent>
                </v:textbox>
                <w10:wrap anchorx="page"/>
              </v:shape>
            </w:pict>
          </mc:Fallback>
        </mc:AlternateContent>
      </w:r>
      <w:r>
        <mc:AlternateContent>
          <mc:Choice Requires="wps">
            <w:drawing>
              <wp:anchor distT="3376930" distB="0" distL="0" distR="0" simplePos="0" relativeHeight="125829450" behindDoc="0" locked="0" layoutInCell="1" allowOverlap="1">
                <wp:simplePos x="0" y="0"/>
                <wp:positionH relativeFrom="page">
                  <wp:posOffset>1013460</wp:posOffset>
                </wp:positionH>
                <wp:positionV relativeFrom="paragraph">
                  <wp:posOffset>3376930</wp:posOffset>
                </wp:positionV>
                <wp:extent cx="1184275" cy="141605"/>
                <wp:wrapTopAndBottom/>
                <wp:docPr id="181" name="Shape 181"/>
                <a:graphic xmlns:a="http://schemas.openxmlformats.org/drawingml/2006/main">
                  <a:graphicData uri="http://schemas.microsoft.com/office/word/2010/wordprocessingShape">
                    <wps:wsp>
                      <wps:cNvSpPr txBox="1"/>
                      <wps:spPr>
                        <a:xfrm>
                          <a:ext cx="1184275" cy="1416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BM&amp;FBOVESPA.</w:t>
                            </w:r>
                          </w:p>
                        </w:txbxContent>
                      </wps:txbx>
                      <wps:bodyPr wrap="none" lIns="0" tIns="0" rIns="0" bIns="0">
                        <a:noAutoFit/>
                      </wps:bodyPr>
                    </wps:wsp>
                  </a:graphicData>
                </a:graphic>
              </wp:anchor>
            </w:drawing>
          </mc:Choice>
          <mc:Fallback>
            <w:pict>
              <v:shape id="_x0000_s1207" type="#_x0000_t202" style="position:absolute;margin-left:79.799999999999997pt;margin-top:265.89999999999998pt;width:93.25pt;height:11.15pt;z-index:-125829303;mso-wrap-distance-left:0;mso-wrap-distance-top:265.89999999999998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Fonte: BM&amp;FBOVESPA.</w:t>
                      </w:r>
                    </w:p>
                  </w:txbxContent>
                </v:textbox>
                <w10:wrap type="topAndBottom"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Nota: Janeiro a Dezembro de 2025.</w:t>
      </w:r>
    </w:p>
    <w:p>
      <w:pPr>
        <w:widowControl w:val="0"/>
        <w:spacing w:after="950" w:line="1" w:lineRule="exact"/>
        <w:sectPr>
          <w:footnotePr>
            <w:pos w:val="pageBottom"/>
            <w:numFmt w:val="decimal"/>
            <w:numRestart w:val="continuous"/>
          </w:footnotePr>
          <w:type w:val="continuous"/>
          <w:pgSz w:w="11900" w:h="16840"/>
          <w:pgMar w:top="2060" w:left="1568" w:right="1670" w:bottom="416" w:header="0" w:footer="3" w:gutter="0"/>
          <w:cols w:space="720"/>
          <w:noEndnote/>
          <w:rtlGutter w:val="0"/>
          <w:docGrid w:linePitch="360"/>
        </w:sectPr>
      </w:pPr>
      <w:r>
        <w:drawing>
          <wp:anchor distT="0" distB="0" distL="0" distR="0" simplePos="0" relativeHeight="62914727" behindDoc="1" locked="0" layoutInCell="1" allowOverlap="1">
            <wp:simplePos x="0" y="0"/>
            <wp:positionH relativeFrom="page">
              <wp:posOffset>6170295</wp:posOffset>
            </wp:positionH>
            <wp:positionV relativeFrom="paragraph">
              <wp:posOffset>0</wp:posOffset>
            </wp:positionV>
            <wp:extent cx="1109345" cy="603250"/>
            <wp:wrapNone/>
            <wp:docPr id="183" name="Shape 183"/>
            <a:graphic xmlns:a="http://schemas.openxmlformats.org/drawingml/2006/main">
              <a:graphicData uri="http://schemas.openxmlformats.org/drawingml/2006/picture">
                <pic:pic xmlns:pic="http://schemas.openxmlformats.org/drawingml/2006/picture">
                  <pic:nvPicPr>
                    <pic:cNvPr id="184" name="Picture box 184"/>
                    <pic:cNvPicPr/>
                  </pic:nvPicPr>
                  <pic:blipFill>
                    <a:blip r:embed="rId90"/>
                    <a:stretch/>
                  </pic:blipFill>
                  <pic:spPr>
                    <a:xfrm>
                      <a:ext cx="1109345" cy="603250"/>
                    </a:xfrm>
                    <a:prstGeom prst="rect"/>
                  </pic:spPr>
                </pic:pic>
              </a:graphicData>
            </a:graphic>
          </wp:anchor>
        </w:drawing>
      </w:r>
    </w:p>
    <w:p>
      <w:pPr>
        <w:widowControl w:val="0"/>
        <w:spacing w:line="138" w:lineRule="exact"/>
        <w:rPr>
          <w:sz w:val="11"/>
          <w:szCs w:val="11"/>
        </w:rPr>
      </w:pPr>
    </w:p>
    <w:p>
      <w:pPr>
        <w:widowControl w:val="0"/>
        <w:spacing w:line="1" w:lineRule="exact"/>
        <w:sectPr>
          <w:footnotePr>
            <w:pos w:val="pageBottom"/>
            <w:numFmt w:val="decimal"/>
            <w:numRestart w:val="continuous"/>
          </w:footnotePr>
          <w:pgSz w:w="11900" w:h="16840"/>
          <w:pgMar w:top="2015" w:left="1542" w:right="1603" w:bottom="505" w:header="0" w:footer="3" w:gutter="0"/>
          <w:cols w:space="720"/>
          <w:noEndnote/>
          <w:rtlGutter w:val="0"/>
          <w:docGrid w:linePitch="360"/>
        </w:sectPr>
      </w:pP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Dando continuidade à análise anterior e projetando o cenário para 2026, cabe observar que o desempenho do Ibovespa dependerá fortemente da intersecção entre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 xml:space="preserve">domésticas de inflação, juros e política fiscal — já apontadas como condicionantes para o restante de 2025 — e da continuidade de um ambiente externo favorável. Dentro do Brasil, as projeções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recentes sugerem que a inflação deverá </w:t>
      </w:r>
      <w:r>
        <w:rPr>
          <w:color w:val="000000"/>
          <w:spacing w:val="0"/>
          <w:w w:val="100"/>
          <w:position w:val="0"/>
          <w:shd w:val="clear" w:color="auto" w:fill="auto"/>
          <w:lang w:val="pt-BR" w:eastAsia="pt-BR" w:bidi="pt-BR"/>
        </w:rPr>
        <w:t xml:space="preserve">desacelerar </w:t>
      </w:r>
      <w:r>
        <w:rPr>
          <w:color w:val="000000"/>
          <w:spacing w:val="0"/>
          <w:w w:val="100"/>
          <w:position w:val="0"/>
          <w:shd w:val="clear" w:color="auto" w:fill="auto"/>
          <w:lang w:val="pt-PT" w:eastAsia="pt-PT" w:bidi="pt-PT"/>
        </w:rPr>
        <w:t xml:space="preserve">para cerca de 3,9% em 2026, ante estimativas de 4,7% em 2025. Simultaneamente, a taxa básica de juros (Selic) aparece nas projeções em trajetória descendente para cerca de 12,13% fim de 2026, sujeita à condição de que a inflação realmente se acomode. Essa combinação — menor inflação e queda gradual dos juros — tende a favorecer o mercado de ações, pois reduz o custo de capital das empresas, aumenta a atratividade de ativos de risco e melhora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de lucros futuros.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Quanto à política fiscal, o cenário para 2026 exige atenção especial: se por um lado se espera que o governo mantenha metas modestas de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 xml:space="preserve">ou déficit controlado, por outro há sinais de que o endividamento bruto continuará elevado, o que pode limitar espaço para estímulos adicionais ou cortes de impostos. Por exemplo, projeções do Secretaria do Tesouro Nacional indicam que a dívida pública bruta pode superar os 80% do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em 2026. Se o ajuste fiscal for insuficiente ou der lugar a surpresas negativas (como aumento de gastos ou deterioração da arrecadação), isso poderá tencionar o cenário macro e penalizar o Ibovespa. Em contrapartida, um arcabouço fiscal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claro, com sinalização de disciplina e melhoria de governança, pode reforçar o otimismo e contribuir para </w:t>
      </w:r>
      <w:r>
        <w:rPr>
          <w:i/>
          <w:iCs/>
          <w:color w:val="000000"/>
          <w:spacing w:val="0"/>
          <w:w w:val="100"/>
          <w:position w:val="0"/>
          <w:shd w:val="clear" w:color="auto" w:fill="auto"/>
          <w:lang w:val="pt-PT" w:eastAsia="pt-PT" w:bidi="pt-PT"/>
        </w:rPr>
        <w:t>valuations</w:t>
      </w:r>
      <w:r>
        <w:rPr>
          <w:color w:val="000000"/>
          <w:spacing w:val="0"/>
          <w:w w:val="100"/>
          <w:position w:val="0"/>
          <w:shd w:val="clear" w:color="auto" w:fill="auto"/>
          <w:lang w:val="pt-PT" w:eastAsia="pt-PT" w:bidi="pt-PT"/>
        </w:rPr>
        <w:t xml:space="preserv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elevados no segmento de ações.</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No âmbito internacional, os investidores devem monitorar atentamente a trajetória dos juros nos países avançados, especialmente nos EUA. A tendência de redução gradual dos juros pelo Federal Reserve favorece mercados emergentes ao ampliar o apetite por risco, reduzir o </w:t>
      </w:r>
      <w:r>
        <w:rPr>
          <w:color w:val="000000"/>
          <w:spacing w:val="0"/>
          <w:w w:val="100"/>
          <w:position w:val="0"/>
          <w:shd w:val="clear" w:color="auto" w:fill="auto"/>
          <w:lang w:val="pt-BR" w:eastAsia="pt-BR" w:bidi="pt-BR"/>
        </w:rPr>
        <w:t xml:space="preserve">prêmio </w:t>
      </w:r>
      <w:r>
        <w:rPr>
          <w:color w:val="000000"/>
          <w:spacing w:val="0"/>
          <w:w w:val="100"/>
          <w:position w:val="0"/>
          <w:shd w:val="clear" w:color="auto" w:fill="auto"/>
          <w:lang w:val="pt-PT" w:eastAsia="pt-PT" w:bidi="pt-PT"/>
        </w:rPr>
        <w:t>de país e aliviar a pressão sobre as moedas locais. Esse contexto externo permanece como potencial catalisador para o Ibovespa em</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2026, especialmente se o dólar se mantiver relativamente estável ou fraco frente ao real e se os fluxos de capitais continuarem a favorecer o Brasil. Por outro lado, uma reversão - por exemplo, se o Fed subir juros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do que o esperado ou se a China sofrer </w:t>
      </w:r>
      <w:r>
        <w:rPr>
          <w:color w:val="000000"/>
          <w:spacing w:val="0"/>
          <w:w w:val="100"/>
          <w:position w:val="0"/>
          <w:shd w:val="clear" w:color="auto" w:fill="auto"/>
          <w:lang w:val="pt-BR" w:eastAsia="pt-BR" w:bidi="pt-BR"/>
        </w:rPr>
        <w:t xml:space="preserve">desaceleração </w:t>
      </w:r>
      <w:r>
        <w:rPr>
          <w:color w:val="000000"/>
          <w:spacing w:val="0"/>
          <w:w w:val="100"/>
          <w:position w:val="0"/>
          <w:shd w:val="clear" w:color="auto" w:fill="auto"/>
          <w:lang w:val="pt-PT" w:eastAsia="pt-PT" w:bidi="pt-PT"/>
        </w:rPr>
        <w:t>- pode aumentar a volatilidade, enfraquecer entrantes externos e trazer impacto adverso para o índice brasileiro.</w:t>
      </w:r>
    </w:p>
    <w:p>
      <w:pPr>
        <w:pStyle w:val="Style10"/>
        <w:keepNext w:val="0"/>
        <w:keepLines w:val="0"/>
        <w:widowControl w:val="0"/>
        <w:shd w:val="clear" w:color="auto" w:fill="auto"/>
        <w:bidi w:val="0"/>
        <w:spacing w:before="0" w:after="1140"/>
        <w:ind w:left="0" w:right="0" w:firstLine="0"/>
        <w:jc w:val="left"/>
      </w:pPr>
      <w:r>
        <w:drawing>
          <wp:anchor distT="0" distB="0" distL="0" distR="0" simplePos="0" relativeHeight="125829452" behindDoc="0" locked="0" layoutInCell="1" allowOverlap="1">
            <wp:simplePos x="0" y="0"/>
            <wp:positionH relativeFrom="page">
              <wp:posOffset>3519170</wp:posOffset>
            </wp:positionH>
            <wp:positionV relativeFrom="paragraph">
              <wp:posOffset>1524000</wp:posOffset>
            </wp:positionV>
            <wp:extent cx="255905" cy="280670"/>
            <wp:wrapSquare wrapText="left"/>
            <wp:docPr id="185" name="Shape 185"/>
            <a:graphic xmlns:a="http://schemas.openxmlformats.org/drawingml/2006/main">
              <a:graphicData uri="http://schemas.openxmlformats.org/drawingml/2006/picture">
                <pic:pic xmlns:pic="http://schemas.openxmlformats.org/drawingml/2006/picture">
                  <pic:nvPicPr>
                    <pic:cNvPr id="186" name="Picture box 186"/>
                    <pic:cNvPicPr/>
                  </pic:nvPicPr>
                  <pic:blipFill>
                    <a:blip r:embed="rId92"/>
                    <a:stretch/>
                  </pic:blipFill>
                  <pic:spPr>
                    <a:xfrm>
                      <a:ext cx="255905" cy="280670"/>
                    </a:xfrm>
                    <a:prstGeom prst="rect"/>
                  </pic:spPr>
                </pic:pic>
              </a:graphicData>
            </a:graphic>
          </wp:anchor>
        </w:drawing>
      </w:r>
      <w:r>
        <w:rPr>
          <w:color w:val="000000"/>
          <w:spacing w:val="0"/>
          <w:w w:val="100"/>
          <w:position w:val="0"/>
          <w:shd w:val="clear" w:color="auto" w:fill="auto"/>
          <w:lang w:val="pt-PT" w:eastAsia="pt-PT" w:bidi="pt-PT"/>
        </w:rPr>
        <w:t xml:space="preserve">Levando todos esses fatores em consideração, a previsão para o Ibovespa em 2026 é de novo crescimento, podendo, inclusive superar 2025, desde que inflação e juros domésticos evoluam conforme o cenário benigno, a política fiscal </w:t>
      </w:r>
      <w:r>
        <w:rPr>
          <w:color w:val="000000"/>
          <w:spacing w:val="0"/>
          <w:w w:val="100"/>
          <w:position w:val="0"/>
          <w:shd w:val="clear" w:color="auto" w:fill="auto"/>
          <w:lang w:val="pt-BR" w:eastAsia="pt-BR" w:bidi="pt-BR"/>
        </w:rPr>
        <w:t xml:space="preserve">mantenha-se </w:t>
      </w:r>
      <w:r>
        <w:rPr>
          <w:color w:val="000000"/>
          <w:spacing w:val="0"/>
          <w:w w:val="100"/>
          <w:position w:val="0"/>
          <w:shd w:val="clear" w:color="auto" w:fill="auto"/>
          <w:lang w:val="pt-PT" w:eastAsia="pt-PT" w:bidi="pt-PT"/>
        </w:rPr>
        <w:t xml:space="preserve">estável e o ambiente externo continue favorável. No entanto, em uma hipótese menos favorável — caso a inflação volte a acelerar, os juros permaneçam elevados por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tempo ou o cenário internacional se deteriore —, o Ibovespa corre o risco de subdesempenhar ou sofrer correções. Em suma, pode se concluir que 2026 apresenta boas oportunidades para o mercado </w:t>
      </w:r>
      <w:r>
        <w:rPr>
          <w:color w:val="000000"/>
          <w:spacing w:val="0"/>
          <w:w w:val="100"/>
          <w:position w:val="0"/>
          <w:shd w:val="clear" w:color="auto" w:fill="auto"/>
          <w:lang w:val="pt-BR" w:eastAsia="pt-BR" w:bidi="pt-BR"/>
        </w:rPr>
        <w:t xml:space="preserve">acionário </w:t>
      </w:r>
      <w:r>
        <w:rPr>
          <w:color w:val="000000"/>
          <w:spacing w:val="0"/>
          <w:w w:val="100"/>
          <w:position w:val="0"/>
          <w:shd w:val="clear" w:color="auto" w:fill="auto"/>
          <w:lang w:val="pt-PT" w:eastAsia="pt-PT" w:bidi="pt-PT"/>
        </w:rPr>
        <w:t>brasileiro, mas o sucesso dependerá da convergência simultânea dos vetores doméstico e internacional já destacados.</w:t>
      </w:r>
    </w:p>
    <w:p>
      <w:pPr>
        <w:pStyle w:val="Style10"/>
        <w:keepNext w:val="0"/>
        <w:keepLines w:val="0"/>
        <w:widowControl w:val="0"/>
        <w:shd w:val="clear" w:color="auto" w:fill="auto"/>
        <w:bidi w:val="0"/>
        <w:spacing w:before="0" w:after="0" w:line="302" w:lineRule="auto"/>
        <w:ind w:left="0" w:right="0" w:firstLine="0"/>
        <w:jc w:val="left"/>
        <w:rPr>
          <w:sz w:val="15"/>
          <w:szCs w:val="15"/>
        </w:rPr>
      </w:pPr>
      <w:r>
        <w:rPr>
          <w:b/>
          <w:bCs/>
          <w:color w:val="4E6896"/>
          <w:spacing w:val="0"/>
          <w:w w:val="100"/>
          <w:position w:val="0"/>
          <w:sz w:val="15"/>
          <w:szCs w:val="15"/>
          <w:shd w:val="clear" w:color="auto" w:fill="auto"/>
          <w:lang w:val="pt-PT" w:eastAsia="pt-PT" w:bidi="pt-PT"/>
        </w:rPr>
        <w:t>CONSIDERAÇÕES GERAIS - CENÁRIO 2026</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Para concluir, sublinham-se as possíveis relações acerca das </w:t>
      </w:r>
      <w:r>
        <w:rPr>
          <w:color w:val="000000"/>
          <w:spacing w:val="0"/>
          <w:w w:val="100"/>
          <w:position w:val="0"/>
          <w:shd w:val="clear" w:color="auto" w:fill="auto"/>
          <w:lang w:val="pt-BR" w:eastAsia="pt-BR" w:bidi="pt-BR"/>
        </w:rPr>
        <w:t xml:space="preserve">expectativas econômicas </w:t>
      </w:r>
      <w:r>
        <w:rPr>
          <w:color w:val="000000"/>
          <w:spacing w:val="0"/>
          <w:w w:val="100"/>
          <w:position w:val="0"/>
          <w:shd w:val="clear" w:color="auto" w:fill="auto"/>
          <w:lang w:val="pt-PT" w:eastAsia="pt-PT" w:bidi="pt-PT"/>
        </w:rPr>
        <w:t>associadas ao comportamento efetivo constatado durante o ano de 2025. Fazer estas assimilações ajudará na</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compreensão para daqui em diante tentar conseguir antecipar os movimentos </w:t>
      </w:r>
      <w:r>
        <w:rPr>
          <w:color w:val="000000"/>
          <w:spacing w:val="0"/>
          <w:w w:val="100"/>
          <w:position w:val="0"/>
          <w:shd w:val="clear" w:color="auto" w:fill="auto"/>
          <w:lang w:val="pt-BR" w:eastAsia="pt-BR" w:bidi="pt-BR"/>
        </w:rPr>
        <w:t xml:space="preserve">econômicos </w:t>
      </w:r>
      <w:r>
        <w:rPr>
          <w:color w:val="000000"/>
          <w:spacing w:val="0"/>
          <w:w w:val="100"/>
          <w:position w:val="0"/>
          <w:shd w:val="clear" w:color="auto" w:fill="auto"/>
          <w:lang w:val="pt-PT" w:eastAsia="pt-PT" w:bidi="pt-PT"/>
        </w:rPr>
        <w:t xml:space="preserve">e auferir resultados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consistentes na gestão dos recursos dos regimes próprios de previdência social, </w:t>
      </w:r>
      <w:r>
        <w:rPr>
          <w:b/>
          <w:bCs/>
          <w:color w:val="000000"/>
          <w:spacing w:val="0"/>
          <w:w w:val="100"/>
          <w:position w:val="0"/>
          <w:sz w:val="15"/>
          <w:szCs w:val="15"/>
          <w:shd w:val="clear" w:color="auto" w:fill="auto"/>
          <w:lang w:val="pt-PT" w:eastAsia="pt-PT" w:bidi="pt-PT"/>
        </w:rPr>
        <w:t xml:space="preserve">FUNDO DE PREVIDÊNCIA DE ENVIRA </w:t>
      </w:r>
      <w:r>
        <w:rPr>
          <w:color w:val="000000"/>
          <w:spacing w:val="0"/>
          <w:w w:val="100"/>
          <w:position w:val="0"/>
          <w:shd w:val="clear" w:color="auto" w:fill="auto"/>
          <w:lang w:val="pt-PT" w:eastAsia="pt-PT" w:bidi="pt-PT"/>
        </w:rPr>
        <w:t xml:space="preserve">caso. As </w:t>
      </w:r>
      <w:r>
        <w:rPr>
          <w:color w:val="000000"/>
          <w:spacing w:val="0"/>
          <w:w w:val="100"/>
          <w:position w:val="0"/>
          <w:shd w:val="clear" w:color="auto" w:fill="auto"/>
          <w:lang w:val="pt-BR" w:eastAsia="pt-BR" w:bidi="pt-BR"/>
        </w:rPr>
        <w:t xml:space="preserve">expectativas </w:t>
      </w:r>
      <w:r>
        <w:rPr>
          <w:color w:val="000000"/>
          <w:spacing w:val="0"/>
          <w:w w:val="100"/>
          <w:position w:val="0"/>
          <w:shd w:val="clear" w:color="auto" w:fill="auto"/>
          <w:lang w:val="pt-PT" w:eastAsia="pt-PT" w:bidi="pt-PT"/>
        </w:rPr>
        <w:t>para o exercício de 2026, até o presente momento, sinalizam um caminho que passa pela continuidade do ciclo de queda dos juros e da inflação em termos globais, acompanhado de incertezas advindas sobretudo do comercio internacional e da continuidade de conflitos geopolíticos.</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Sob o viés da economia doméstica, o principal desafio segue sendo recuperar a confiança na </w:t>
      </w:r>
      <w:r>
        <w:rPr>
          <w:color w:val="000000"/>
          <w:spacing w:val="0"/>
          <w:w w:val="100"/>
          <w:position w:val="0"/>
          <w:shd w:val="clear" w:color="auto" w:fill="auto"/>
          <w:lang w:val="pt-BR" w:eastAsia="pt-BR" w:bidi="pt-BR"/>
        </w:rPr>
        <w:t xml:space="preserve">ancoragem </w:t>
      </w:r>
      <w:r>
        <w:rPr>
          <w:color w:val="000000"/>
          <w:spacing w:val="0"/>
          <w:w w:val="100"/>
          <w:position w:val="0"/>
          <w:shd w:val="clear" w:color="auto" w:fill="auto"/>
          <w:lang w:val="pt-PT" w:eastAsia="pt-PT" w:bidi="pt-PT"/>
        </w:rPr>
        <w:t xml:space="preserve">inflacionária, para tanto, não sendo suficiente a manutenção de determinados níveis de contracionismo monetário, mas sim, uma política suficientemente capaz de sinalizar ao mercado o compromisso do governo em equilibrar as contas públicas, pelo menos no que se refere à retomada de superávits primários. Nesse contexto, a calibragem da política monetária a ser conferida pelo Bacen precisará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uma vez estabelecer um adequado equilíbrio entre controle inflacionário e incentivo ao crescimento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 xml:space="preserve">com as projeções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recentes de IPCA e Selic, ambas recuando em relação a 2025, já servindo como um importante sinalizador de otimismo para o mercado em 2026.</w:t>
      </w:r>
    </w:p>
    <w:p>
      <w:pPr>
        <w:pStyle w:val="Style10"/>
        <w:keepNext w:val="0"/>
        <w:keepLines w:val="0"/>
        <w:widowControl w:val="0"/>
        <w:shd w:val="clear" w:color="auto" w:fill="auto"/>
        <w:bidi w:val="0"/>
        <w:spacing w:before="0" w:after="0" w:line="283" w:lineRule="auto"/>
        <w:ind w:left="0" w:right="0" w:firstLine="0"/>
        <w:jc w:val="left"/>
        <w:sectPr>
          <w:footnotePr>
            <w:pos w:val="pageBottom"/>
            <w:numFmt w:val="decimal"/>
            <w:numRestart w:val="continuous"/>
          </w:footnotePr>
          <w:type w:val="continuous"/>
          <w:pgSz w:w="11900" w:h="16840"/>
          <w:pgMar w:top="2015" w:left="1542" w:right="1603" w:bottom="505" w:header="0" w:footer="77" w:gutter="0"/>
          <w:cols w:space="720"/>
          <w:noEndnote/>
          <w:rtlGutter w:val="0"/>
          <w:docGrid w:linePitch="360"/>
        </w:sectPr>
      </w:pPr>
      <w:r>
        <w:rPr>
          <w:color w:val="000000"/>
          <w:spacing w:val="0"/>
          <w:w w:val="100"/>
          <w:position w:val="0"/>
          <w:shd w:val="clear" w:color="auto" w:fill="auto"/>
          <w:lang w:val="pt-PT" w:eastAsia="pt-PT" w:bidi="pt-PT"/>
        </w:rPr>
        <w:t xml:space="preserve">Com um espaço fiscal cada vez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reduzido, a tendência de que ações governamentais consigam seguir mitigando efeitos de uma política monetária contracionista </w:t>
      </w:r>
      <w:r>
        <w:rPr>
          <w:color w:val="000000"/>
          <w:spacing w:val="0"/>
          <w:w w:val="100"/>
          <w:position w:val="0"/>
          <w:shd w:val="clear" w:color="auto" w:fill="auto"/>
          <w:lang w:val="pt-BR" w:eastAsia="pt-BR" w:bidi="pt-BR"/>
        </w:rPr>
        <w:t xml:space="preserve">torna-se </w:t>
      </w:r>
      <w:r>
        <w:rPr>
          <w:color w:val="000000"/>
          <w:spacing w:val="0"/>
          <w:w w:val="100"/>
          <w:position w:val="0"/>
          <w:shd w:val="clear" w:color="auto" w:fill="auto"/>
          <w:lang w:val="pt-PT" w:eastAsia="pt-PT" w:bidi="pt-PT"/>
        </w:rPr>
        <w:t xml:space="preserve">cada vez menos provável, repisando-se que as previsões de </w:t>
      </w:r>
      <w:r>
        <w:rPr>
          <w:color w:val="000000"/>
          <w:spacing w:val="0"/>
          <w:w w:val="100"/>
          <w:position w:val="0"/>
          <w:shd w:val="clear" w:color="auto" w:fill="auto"/>
          <w:lang w:val="pt-BR" w:eastAsia="pt-BR" w:bidi="pt-BR"/>
        </w:rPr>
        <w:t xml:space="preserve">PIB </w:t>
      </w:r>
      <w:r>
        <w:rPr>
          <w:color w:val="000000"/>
          <w:spacing w:val="0"/>
          <w:w w:val="100"/>
          <w:position w:val="0"/>
          <w:shd w:val="clear" w:color="auto" w:fill="auto"/>
          <w:lang w:val="pt-PT" w:eastAsia="pt-PT" w:bidi="pt-PT"/>
        </w:rPr>
        <w:t xml:space="preserve">para o ano que vem indicam nova </w:t>
      </w:r>
      <w:r>
        <w:rPr>
          <w:color w:val="000000"/>
          <w:spacing w:val="0"/>
          <w:w w:val="100"/>
          <w:position w:val="0"/>
          <w:shd w:val="clear" w:color="auto" w:fill="auto"/>
          <w:lang w:val="pt-BR" w:eastAsia="pt-BR" w:bidi="pt-BR"/>
        </w:rPr>
        <w:t xml:space="preserve">desaceleração econômica. </w:t>
      </w:r>
      <w:r>
        <w:rPr>
          <w:color w:val="000000"/>
          <w:spacing w:val="0"/>
          <w:w w:val="100"/>
          <w:position w:val="0"/>
          <w:shd w:val="clear" w:color="auto" w:fill="auto"/>
          <w:lang w:val="pt-PT" w:eastAsia="pt-PT" w:bidi="pt-PT"/>
        </w:rPr>
        <w:t xml:space="preserve">Ainda sob o ponto de fiscal, a conclusão é que o governo continua deixando de transparecer ao mercado como se dará o </w:t>
      </w:r>
    </w:p>
    <w:p>
      <w:pPr>
        <w:pStyle w:val="Style10"/>
        <w:keepNext w:val="0"/>
        <w:keepLines w:val="0"/>
        <w:widowControl w:val="0"/>
        <w:shd w:val="clear" w:color="auto" w:fill="auto"/>
        <w:bidi w:val="0"/>
        <w:spacing w:before="0" w:after="0" w:line="283" w:lineRule="auto"/>
        <w:ind w:left="0" w:right="0" w:firstLine="0"/>
        <w:jc w:val="left"/>
      </w:pPr>
      <w:r>
        <w:rPr>
          <w:color w:val="000000"/>
          <w:spacing w:val="0"/>
          <w:w w:val="100"/>
          <w:position w:val="0"/>
          <w:shd w:val="clear" w:color="auto" w:fill="auto"/>
          <w:lang w:val="pt-PT" w:eastAsia="pt-PT" w:bidi="pt-PT"/>
        </w:rPr>
        <w:t xml:space="preserve">prometido equilíbrio das contas públicas, aumentando as incertezas quanto a real possibilidade de se atingir </w:t>
      </w:r>
      <w:r>
        <w:rPr>
          <w:color w:val="000000"/>
          <w:spacing w:val="0"/>
          <w:w w:val="100"/>
          <w:position w:val="0"/>
          <w:shd w:val="clear" w:color="auto" w:fill="auto"/>
          <w:lang w:val="pt-BR" w:eastAsia="pt-BR" w:bidi="pt-BR"/>
        </w:rPr>
        <w:t xml:space="preserve">superávit </w:t>
      </w:r>
      <w:r>
        <w:rPr>
          <w:color w:val="000000"/>
          <w:spacing w:val="0"/>
          <w:w w:val="100"/>
          <w:position w:val="0"/>
          <w:shd w:val="clear" w:color="auto" w:fill="auto"/>
          <w:lang w:val="pt-PT" w:eastAsia="pt-PT" w:bidi="pt-PT"/>
        </w:rPr>
        <w:t>primário a partir do próximo exercício.</w:t>
      </w:r>
    </w:p>
    <w:p>
      <w:pPr>
        <w:widowControl w:val="0"/>
        <w:spacing w:after="1150" w:line="1" w:lineRule="exact"/>
      </w:pPr>
      <w:r>
        <w:drawing>
          <wp:anchor distT="0" distB="0" distL="0" distR="0" simplePos="0" relativeHeight="62914728" behindDoc="1" locked="0" layoutInCell="1" allowOverlap="1">
            <wp:simplePos x="0" y="0"/>
            <wp:positionH relativeFrom="page">
              <wp:posOffset>6308090</wp:posOffset>
            </wp:positionH>
            <wp:positionV relativeFrom="paragraph">
              <wp:posOffset>76200</wp:posOffset>
            </wp:positionV>
            <wp:extent cx="853440" cy="652145"/>
            <wp:wrapNone/>
            <wp:docPr id="187" name="Shape 187"/>
            <a:graphic xmlns:a="http://schemas.openxmlformats.org/drawingml/2006/main">
              <a:graphicData uri="http://schemas.openxmlformats.org/drawingml/2006/picture">
                <pic:pic xmlns:pic="http://schemas.openxmlformats.org/drawingml/2006/picture">
                  <pic:nvPicPr>
                    <pic:cNvPr id="188" name="Picture box 188"/>
                    <pic:cNvPicPr/>
                  </pic:nvPicPr>
                  <pic:blipFill>
                    <a:blip r:embed="rId94"/>
                    <a:stretch/>
                  </pic:blipFill>
                  <pic:spPr>
                    <a:xfrm>
                      <a:ext cx="853440" cy="652145"/>
                    </a:xfrm>
                    <a:prstGeom prst="rect"/>
                  </pic:spPr>
                </pic:pic>
              </a:graphicData>
            </a:graphic>
          </wp:anchor>
        </w:drawing>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Diante deste cenário, a preferência segue sendo por títulos de prazos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curtos, pelo menos no primeiro semestre de 2026, período em que a rigidez da política monetária tende a ser menos flexibilizada. Todavia, uma vez a inflação dando sinais de estar efetivamente sobre controle, acompanhada da prevista redução da Selic e de um cenário externo menos volátil a partir estabilização das relações comerciais, as opções de prazo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longo podem novamente se tornar atrativas repetindo o desempenho observado em boa parte de 2024.</w:t>
      </w:r>
    </w:p>
    <w:p>
      <w:pPr>
        <w:pStyle w:val="Style10"/>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pt-PT" w:eastAsia="pt-PT" w:bidi="pt-PT"/>
        </w:rPr>
        <w:t xml:space="preserve">Em outras apalavras, o primeiro semestre de 2026 poderá servir como um grande </w:t>
      </w:r>
      <w:r>
        <w:rPr>
          <w:color w:val="000000"/>
          <w:spacing w:val="0"/>
          <w:w w:val="100"/>
          <w:position w:val="0"/>
          <w:shd w:val="clear" w:color="auto" w:fill="auto"/>
          <w:lang w:val="pt-BR" w:eastAsia="pt-BR" w:bidi="pt-BR"/>
        </w:rPr>
        <w:t xml:space="preserve">termômetro </w:t>
      </w:r>
      <w:r>
        <w:rPr>
          <w:color w:val="000000"/>
          <w:spacing w:val="0"/>
          <w:w w:val="100"/>
          <w:position w:val="0"/>
          <w:shd w:val="clear" w:color="auto" w:fill="auto"/>
          <w:lang w:val="pt-PT" w:eastAsia="pt-PT" w:bidi="pt-PT"/>
        </w:rPr>
        <w:t>no que diz respeito aos rumos da inflação no Brasil, o que ao fim e ao cabo desempenhará um papel fundamental na condução da política monetária, em especial na definição da Selic.</w:t>
      </w:r>
    </w:p>
    <w:p>
      <w:pPr>
        <w:pStyle w:val="Style10"/>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 xml:space="preserve">Todo esse contexto requer prudência na escolha pelas melhores opções, recomendando-se uma adequada e obrigatória diversificação do portfólio, cujas revisões periódicas deverão observar a evolução das variáveis </w:t>
      </w:r>
      <w:r>
        <w:rPr>
          <w:color w:val="000000"/>
          <w:spacing w:val="0"/>
          <w:w w:val="100"/>
          <w:position w:val="0"/>
          <w:shd w:val="clear" w:color="auto" w:fill="auto"/>
          <w:lang w:val="pt-BR" w:eastAsia="pt-BR" w:bidi="pt-BR"/>
        </w:rPr>
        <w:t xml:space="preserve">macroeconômicas </w:t>
      </w:r>
      <w:r>
        <w:rPr>
          <w:color w:val="000000"/>
          <w:spacing w:val="0"/>
          <w:w w:val="100"/>
          <w:position w:val="0"/>
          <w:shd w:val="clear" w:color="auto" w:fill="auto"/>
          <w:lang w:val="pt-PT" w:eastAsia="pt-PT" w:bidi="pt-PT"/>
        </w:rPr>
        <w:t xml:space="preserve">aqui ressaltadas. Nesse sentido, ganha cada vez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importância as atividades de assessoramento técnico e profissional especializado junto à gestão pública.</w:t>
      </w:r>
    </w:p>
    <w:p>
      <w:pPr>
        <w:widowControl w:val="0"/>
        <w:spacing w:line="1" w:lineRule="exact"/>
      </w:pPr>
      <w:r>
        <mc:AlternateContent>
          <mc:Choice Requires="wps">
            <w:drawing>
              <wp:anchor distT="486410" distB="635" distL="0" distR="0" simplePos="0" relativeHeight="125829453" behindDoc="0" locked="0" layoutInCell="1" allowOverlap="1">
                <wp:simplePos x="0" y="0"/>
                <wp:positionH relativeFrom="page">
                  <wp:posOffset>995045</wp:posOffset>
                </wp:positionH>
                <wp:positionV relativeFrom="paragraph">
                  <wp:posOffset>486410</wp:posOffset>
                </wp:positionV>
                <wp:extent cx="1572895" cy="168910"/>
                <wp:wrapTopAndBottom/>
                <wp:docPr id="189" name="Shape 189"/>
                <a:graphic xmlns:a="http://schemas.openxmlformats.org/drawingml/2006/main">
                  <a:graphicData uri="http://schemas.microsoft.com/office/word/2010/wordprocessingShape">
                    <wps:wsp>
                      <wps:cNvSpPr txBox="1"/>
                      <wps:spPr>
                        <a:xfrm>
                          <a:ext cx="1572895" cy="1689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4E6896"/>
                                <w:spacing w:val="0"/>
                                <w:w w:val="100"/>
                                <w:position w:val="0"/>
                                <w:shd w:val="clear" w:color="auto" w:fill="auto"/>
                                <w:lang w:val="pt-PT" w:eastAsia="pt-PT" w:bidi="pt-PT"/>
                              </w:rPr>
                              <w:t>►CONTROLE DE RISCOS</w:t>
                            </w:r>
                          </w:p>
                        </w:txbxContent>
                      </wps:txbx>
                      <wps:bodyPr wrap="none" lIns="0" tIns="0" rIns="0" bIns="0">
                        <a:noAutoFit/>
                      </wps:bodyPr>
                    </wps:wsp>
                  </a:graphicData>
                </a:graphic>
              </wp:anchor>
            </w:drawing>
          </mc:Choice>
          <mc:Fallback>
            <w:pict>
              <v:shape id="_x0000_s1215" type="#_x0000_t202" style="position:absolute;margin-left:78.349999999999994pt;margin-top:38.299999999999997pt;width:123.84999999999999pt;height:13.300000000000001pt;z-index:-125829300;mso-wrap-distance-left:0;mso-wrap-distance-top:38.299999999999997pt;mso-wrap-distance-right:0;mso-wrap-distance-bottom:5.0000000000000003e-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4E6896"/>
                          <w:spacing w:val="0"/>
                          <w:w w:val="100"/>
                          <w:position w:val="0"/>
                          <w:shd w:val="clear" w:color="auto" w:fill="auto"/>
                          <w:lang w:val="pt-PT" w:eastAsia="pt-PT" w:bidi="pt-PT"/>
                        </w:rPr>
                        <w:t>►CONTROLE DE RISCOS</w:t>
                      </w:r>
                    </w:p>
                  </w:txbxContent>
                </v:textbox>
                <w10:wrap type="topAndBottom" anchorx="page"/>
              </v:shape>
            </w:pict>
          </mc:Fallback>
        </mc:AlternateContent>
      </w:r>
      <w:r>
        <w:drawing>
          <wp:anchor distT="317500" distB="32385" distL="0" distR="0" simplePos="0" relativeHeight="125829455" behindDoc="0" locked="0" layoutInCell="1" allowOverlap="1">
            <wp:simplePos x="0" y="0"/>
            <wp:positionH relativeFrom="page">
              <wp:posOffset>2586355</wp:posOffset>
            </wp:positionH>
            <wp:positionV relativeFrom="paragraph">
              <wp:posOffset>317500</wp:posOffset>
            </wp:positionV>
            <wp:extent cx="286385" cy="304800"/>
            <wp:wrapTopAndBottom/>
            <wp:docPr id="191" name="Shape 191"/>
            <a:graphic xmlns:a="http://schemas.openxmlformats.org/drawingml/2006/main">
              <a:graphicData uri="http://schemas.openxmlformats.org/drawingml/2006/picture">
                <pic:pic xmlns:pic="http://schemas.openxmlformats.org/drawingml/2006/picture">
                  <pic:nvPicPr>
                    <pic:cNvPr id="192" name="Picture box 192"/>
                    <pic:cNvPicPr/>
                  </pic:nvPicPr>
                  <pic:blipFill>
                    <a:blip r:embed="rId96"/>
                    <a:stretch/>
                  </pic:blipFill>
                  <pic:spPr>
                    <a:xfrm>
                      <a:ext cx="286385" cy="304800"/>
                    </a:xfrm>
                    <a:prstGeom prst="rect"/>
                  </pic:spPr>
                </pic:pic>
              </a:graphicData>
            </a:graphic>
          </wp:anchor>
        </w:drawing>
      </w:r>
    </w:p>
    <w:p>
      <w:pPr>
        <w:pStyle w:val="Style13"/>
        <w:keepNext w:val="0"/>
        <w:keepLines w:val="0"/>
        <w:widowControl w:val="0"/>
        <w:shd w:val="clear" w:color="auto" w:fill="auto"/>
        <w:bidi w:val="0"/>
        <w:spacing w:before="0" w:after="80" w:line="269" w:lineRule="auto"/>
        <w:ind w:left="0" w:right="0" w:firstLine="740"/>
        <w:jc w:val="both"/>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fará o controle de riscos dos investimentos por meio do acompanhamento dos riscos de mercado, de liquidez, crédito, descasamento e imagem, avaliando o retorno dos ativos à meta atuarial. Essas modalidades de risco e a forma de acompanhamento são essenciais para o bom desempenho deste planejamento.</w:t>
      </w:r>
    </w:p>
    <w:p>
      <w:pPr>
        <w:pStyle w:val="Style13"/>
        <w:keepNext w:val="0"/>
        <w:keepLines w:val="0"/>
        <w:widowControl w:val="0"/>
        <w:shd w:val="clear" w:color="auto" w:fill="auto"/>
        <w:bidi w:val="0"/>
        <w:spacing w:before="0" w:after="120" w:line="269" w:lineRule="auto"/>
        <w:ind w:left="0" w:right="0" w:firstLine="740"/>
        <w:jc w:val="both"/>
      </w:pPr>
      <w:r>
        <w:rPr>
          <w:color w:val="000000"/>
          <w:spacing w:val="0"/>
          <w:w w:val="100"/>
          <w:position w:val="0"/>
          <w:shd w:val="clear" w:color="auto" w:fill="auto"/>
          <w:lang w:val="pt-PT" w:eastAsia="pt-PT" w:bidi="pt-PT"/>
        </w:rPr>
        <w:t>É relevante mencionar que, qualquer aplicação financeira está sujeita à incidência de fatores de risco que podem afetar de forma negativa o seu retorno, entre eles:</w:t>
      </w:r>
    </w:p>
    <w:p>
      <w:pPr>
        <w:pStyle w:val="Style10"/>
        <w:keepNext w:val="0"/>
        <w:keepLines w:val="0"/>
        <w:widowControl w:val="0"/>
        <w:shd w:val="clear" w:color="auto" w:fill="auto"/>
        <w:bidi w:val="0"/>
        <w:spacing w:before="0" w:after="0"/>
        <w:ind w:left="300" w:right="0" w:firstLine="740"/>
        <w:jc w:val="both"/>
      </w:pPr>
      <w:r>
        <w:rPr>
          <w:b/>
          <w:bCs/>
          <w:i/>
          <w:iCs/>
          <w:color w:val="000000"/>
          <w:spacing w:val="0"/>
          <w:w w:val="100"/>
          <w:position w:val="0"/>
          <w:sz w:val="19"/>
          <w:szCs w:val="19"/>
          <w:shd w:val="clear" w:color="auto" w:fill="auto"/>
          <w:lang w:val="pt-PT" w:eastAsia="pt-PT" w:bidi="pt-PT"/>
        </w:rPr>
        <w:t>J</w:t>
      </w:r>
      <w:r>
        <w:rPr>
          <w:color w:val="000000"/>
          <w:spacing w:val="0"/>
          <w:w w:val="100"/>
          <w:position w:val="0"/>
          <w:sz w:val="19"/>
          <w:szCs w:val="19"/>
          <w:shd w:val="clear" w:color="auto" w:fill="auto"/>
          <w:lang w:val="pt-PT" w:eastAsia="pt-PT" w:bidi="pt-PT"/>
        </w:rPr>
        <w:t xml:space="preserve"> RiSCO de Mercado - </w:t>
      </w:r>
      <w:r>
        <w:rPr>
          <w:color w:val="000000"/>
          <w:spacing w:val="0"/>
          <w:w w:val="100"/>
          <w:position w:val="0"/>
          <w:shd w:val="clear" w:color="auto" w:fill="auto"/>
          <w:lang w:val="pt-PT" w:eastAsia="pt-PT" w:bidi="pt-PT"/>
        </w:rPr>
        <w:t xml:space="preserve">é o risco inerente a todas as modalidades de aplicações financeiras disponíveis no mercado financeiro; corresponde à incerteza em relação ao resultado de um investimento financeiro ou de uma carteira de investimento, em decorrência de mudanças futuras nas condições de mercado. É o risco de variações, oscilações nas taxas e preços de mercado, tais como taxa de juros, preços de ações e outros índices. É ligado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oscilações do mercado financeiro;</w:t>
      </w:r>
    </w:p>
    <w:p>
      <w:pPr>
        <w:pStyle w:val="Style10"/>
        <w:keepNext w:val="0"/>
        <w:keepLines w:val="0"/>
        <w:widowControl w:val="0"/>
        <w:shd w:val="clear" w:color="auto" w:fill="auto"/>
        <w:bidi w:val="0"/>
        <w:spacing w:before="0" w:after="0" w:line="300" w:lineRule="auto"/>
        <w:ind w:left="300" w:right="0" w:firstLine="740"/>
        <w:jc w:val="both"/>
      </w:pPr>
      <w:r>
        <w:rPr>
          <w:b/>
          <w:bCs/>
          <w:i/>
          <w:iCs/>
          <w:color w:val="000000"/>
          <w:spacing w:val="0"/>
          <w:w w:val="100"/>
          <w:position w:val="0"/>
          <w:sz w:val="19"/>
          <w:szCs w:val="19"/>
          <w:shd w:val="clear" w:color="auto" w:fill="auto"/>
          <w:lang w:val="pt-PT" w:eastAsia="pt-PT" w:bidi="pt-PT"/>
        </w:rPr>
        <w:t>S</w:t>
      </w:r>
      <w:r>
        <w:rPr>
          <w:color w:val="000000"/>
          <w:spacing w:val="0"/>
          <w:w w:val="100"/>
          <w:position w:val="0"/>
          <w:shd w:val="clear" w:color="auto" w:fill="auto"/>
          <w:lang w:val="pt-PT" w:eastAsia="pt-PT" w:bidi="pt-PT"/>
        </w:rPr>
        <w:t xml:space="preserve"> RiSCO de Crédito - também conhecido como risco institucional ou de contraparte, é aquele em que há a possibilidade de o retorno de investimento não ser honrado pela instituição que emitiu determinado título, na data e nas condições negociadas e contratadas;</w:t>
      </w:r>
    </w:p>
    <w:p>
      <w:pPr>
        <w:pStyle w:val="Style10"/>
        <w:keepNext w:val="0"/>
        <w:keepLines w:val="0"/>
        <w:widowControl w:val="0"/>
        <w:shd w:val="clear" w:color="auto" w:fill="auto"/>
        <w:bidi w:val="0"/>
        <w:spacing w:before="0" w:after="0" w:line="290" w:lineRule="auto"/>
        <w:ind w:left="300" w:right="0" w:firstLine="740"/>
        <w:jc w:val="both"/>
      </w:pPr>
      <w:r>
        <w:rPr>
          <w:b/>
          <w:bCs/>
          <w:i/>
          <w:iCs/>
          <w:color w:val="000000"/>
          <w:spacing w:val="0"/>
          <w:w w:val="100"/>
          <w:position w:val="0"/>
          <w:sz w:val="19"/>
          <w:szCs w:val="19"/>
          <w:shd w:val="clear" w:color="auto" w:fill="auto"/>
          <w:lang w:val="pt-PT" w:eastAsia="pt-PT" w:bidi="pt-PT"/>
        </w:rPr>
        <w:t>J</w:t>
      </w:r>
      <w:r>
        <w:rPr>
          <w:color w:val="000000"/>
          <w:spacing w:val="0"/>
          <w:w w:val="100"/>
          <w:position w:val="0"/>
          <w:sz w:val="19"/>
          <w:szCs w:val="19"/>
          <w:shd w:val="clear" w:color="auto" w:fill="auto"/>
          <w:lang w:val="pt-PT" w:eastAsia="pt-PT" w:bidi="pt-PT"/>
        </w:rPr>
        <w:t xml:space="preserve"> RiSCO de Liquidez - </w:t>
      </w:r>
      <w:r>
        <w:rPr>
          <w:color w:val="000000"/>
          <w:spacing w:val="0"/>
          <w:w w:val="100"/>
          <w:position w:val="0"/>
          <w:shd w:val="clear" w:color="auto" w:fill="auto"/>
          <w:lang w:val="pt-PT" w:eastAsia="pt-PT" w:bidi="pt-PT"/>
        </w:rPr>
        <w:t>surge da dificuldade em se conseguir encontrar compradores potenciais de um determinado ativo no momento e no preço desejado. Ocorre quando um ativo está com baixo volume de negócios e apresenta grandes diferenças entre o preço que o comprador está disposto a pagar (oferta de compra) e aquele que o vendedor gostaria de vender (oferta de venda). Quando é necessário vender algum ativo num mercado ilíquido, tende a ser difícil conseguir realizar a venda sem sacrificar o preço do ativo negociado;</w:t>
      </w:r>
    </w:p>
    <w:p>
      <w:pPr>
        <w:pStyle w:val="Style10"/>
        <w:keepNext w:val="0"/>
        <w:keepLines w:val="0"/>
        <w:widowControl w:val="0"/>
        <w:shd w:val="clear" w:color="auto" w:fill="auto"/>
        <w:bidi w:val="0"/>
        <w:spacing w:before="0" w:after="0" w:line="293" w:lineRule="auto"/>
        <w:ind w:left="300" w:right="0" w:firstLine="740"/>
        <w:jc w:val="both"/>
      </w:pPr>
      <w:r>
        <w:rPr>
          <w:b/>
          <w:bCs/>
          <w:i/>
          <w:iCs/>
          <w:color w:val="000000"/>
          <w:spacing w:val="0"/>
          <w:w w:val="100"/>
          <w:position w:val="0"/>
          <w:sz w:val="19"/>
          <w:szCs w:val="19"/>
          <w:shd w:val="clear" w:color="auto" w:fill="auto"/>
          <w:lang w:val="pt-PT" w:eastAsia="pt-PT" w:bidi="pt-PT"/>
        </w:rPr>
        <w:t>S</w:t>
      </w:r>
      <w:r>
        <w:rPr>
          <w:color w:val="000000"/>
          <w:spacing w:val="0"/>
          <w:w w:val="100"/>
          <w:position w:val="0"/>
          <w:sz w:val="19"/>
          <w:szCs w:val="19"/>
          <w:shd w:val="clear" w:color="auto" w:fill="auto"/>
          <w:lang w:val="pt-PT" w:eastAsia="pt-PT" w:bidi="pt-PT"/>
        </w:rPr>
        <w:t xml:space="preserve"> RiSCO de Descasamento - </w:t>
      </w:r>
      <w:r>
        <w:rPr>
          <w:color w:val="000000"/>
          <w:spacing w:val="0"/>
          <w:w w:val="100"/>
          <w:position w:val="0"/>
          <w:shd w:val="clear" w:color="auto" w:fill="auto"/>
          <w:lang w:val="pt-PT" w:eastAsia="pt-PT" w:bidi="pt-PT"/>
        </w:rPr>
        <w:t xml:space="preserve">Para que os retornos esperados se concretizem é necessário o acompanhamento do desempenho dos fundos selecionados. Esse acompanhamento é feito através da medição dos resultados, utilizando vários indicadores de risco que determinam o grau de divergência entre o retomo dos investimentos do </w:t>
      </w:r>
      <w:r>
        <w:rPr>
          <w:b/>
          <w:bCs/>
          <w:color w:val="000000"/>
          <w:spacing w:val="0"/>
          <w:w w:val="100"/>
          <w:position w:val="0"/>
          <w:sz w:val="15"/>
          <w:szCs w:val="15"/>
          <w:shd w:val="clear" w:color="auto" w:fill="auto"/>
          <w:lang w:val="pt-PT" w:eastAsia="pt-PT" w:bidi="pt-PT"/>
        </w:rPr>
        <w:t xml:space="preserve">RPPS </w:t>
      </w:r>
      <w:r>
        <w:rPr>
          <w:color w:val="000000"/>
          <w:spacing w:val="0"/>
          <w:w w:val="100"/>
          <w:position w:val="0"/>
          <w:shd w:val="clear" w:color="auto" w:fill="auto"/>
          <w:lang w:val="pt-PT" w:eastAsia="pt-PT" w:bidi="pt-PT"/>
        </w:rPr>
        <w:t xml:space="preserve">e a variação da meta atuarial. Os desvios </w:t>
      </w:r>
      <w:r>
        <w:rPr>
          <w:color w:val="000000"/>
          <w:spacing w:val="0"/>
          <w:w w:val="100"/>
          <w:position w:val="0"/>
          <w:shd w:val="clear" w:color="auto" w:fill="auto"/>
          <w:lang w:val="pt-BR" w:eastAsia="pt-BR" w:bidi="pt-BR"/>
        </w:rPr>
        <w:t xml:space="preserve">detectados </w:t>
      </w:r>
      <w:r>
        <w:rPr>
          <w:color w:val="000000"/>
          <w:spacing w:val="0"/>
          <w:w w:val="100"/>
          <w:position w:val="0"/>
          <w:shd w:val="clear" w:color="auto" w:fill="auto"/>
          <w:lang w:val="pt-PT" w:eastAsia="pt-PT" w:bidi="pt-PT"/>
        </w:rPr>
        <w:t xml:space="preserve">deverão ser informados, a </w:t>
      </w:r>
      <w:r>
        <w:rPr>
          <w:color w:val="000000"/>
          <w:spacing w:val="0"/>
          <w:w w:val="100"/>
          <w:position w:val="0"/>
          <w:shd w:val="clear" w:color="auto" w:fill="auto"/>
          <w:lang w:val="pt-BR" w:eastAsia="pt-BR" w:bidi="pt-BR"/>
        </w:rPr>
        <w:t xml:space="preserve">fim </w:t>
      </w:r>
      <w:r>
        <w:rPr>
          <w:color w:val="000000"/>
          <w:spacing w:val="0"/>
          <w:w w:val="100"/>
          <w:position w:val="0"/>
          <w:shd w:val="clear" w:color="auto" w:fill="auto"/>
          <w:lang w:val="pt-PT" w:eastAsia="pt-PT" w:bidi="pt-PT"/>
        </w:rPr>
        <w:t>de serem avaliados e corrigidos pelos gestores;</w:t>
      </w:r>
    </w:p>
    <w:p>
      <w:pPr>
        <w:pStyle w:val="Style10"/>
        <w:keepNext w:val="0"/>
        <w:keepLines w:val="0"/>
        <w:widowControl w:val="0"/>
        <w:shd w:val="clear" w:color="auto" w:fill="auto"/>
        <w:bidi w:val="0"/>
        <w:spacing w:before="0" w:after="0"/>
        <w:ind w:left="300" w:right="0" w:firstLine="740"/>
        <w:jc w:val="both"/>
        <w:rPr>
          <w:sz w:val="15"/>
          <w:szCs w:val="15"/>
        </w:rPr>
      </w:pPr>
      <w:r>
        <w:rPr>
          <w:b/>
          <w:bCs/>
          <w:i/>
          <w:iCs/>
          <w:color w:val="000000"/>
          <w:spacing w:val="0"/>
          <w:w w:val="100"/>
          <w:position w:val="0"/>
          <w:sz w:val="19"/>
          <w:szCs w:val="19"/>
          <w:shd w:val="clear" w:color="auto" w:fill="auto"/>
          <w:lang w:val="pt-PT" w:eastAsia="pt-PT" w:bidi="pt-PT"/>
        </w:rPr>
        <w:t>J</w:t>
      </w:r>
      <w:r>
        <w:rPr>
          <w:color w:val="000000"/>
          <w:spacing w:val="0"/>
          <w:w w:val="100"/>
          <w:position w:val="0"/>
          <w:sz w:val="19"/>
          <w:szCs w:val="19"/>
          <w:shd w:val="clear" w:color="auto" w:fill="auto"/>
          <w:lang w:val="pt-PT" w:eastAsia="pt-PT" w:bidi="pt-PT"/>
        </w:rPr>
        <w:t xml:space="preserve"> RiSCO de Imagem e Reputação - </w:t>
      </w:r>
      <w:r>
        <w:rPr>
          <w:color w:val="000000"/>
          <w:spacing w:val="0"/>
          <w:w w:val="100"/>
          <w:position w:val="0"/>
          <w:sz w:val="16"/>
          <w:szCs w:val="16"/>
          <w:shd w:val="clear" w:color="auto" w:fill="auto"/>
          <w:lang w:val="pt-PT" w:eastAsia="pt-PT" w:bidi="pt-PT"/>
        </w:rPr>
        <w:t xml:space="preserve">Pode ser representado por todos os eventos internos e externos com capacidade de danificar a </w:t>
      </w:r>
      <w:r>
        <w:rPr>
          <w:color w:val="000000"/>
          <w:spacing w:val="0"/>
          <w:w w:val="100"/>
          <w:position w:val="0"/>
          <w:sz w:val="16"/>
          <w:szCs w:val="16"/>
          <w:shd w:val="clear" w:color="auto" w:fill="auto"/>
          <w:lang w:val="pt-BR" w:eastAsia="pt-BR" w:bidi="pt-BR"/>
        </w:rPr>
        <w:t xml:space="preserve">percepção </w:t>
      </w:r>
      <w:r>
        <w:rPr>
          <w:color w:val="000000"/>
          <w:spacing w:val="0"/>
          <w:w w:val="100"/>
          <w:position w:val="0"/>
          <w:sz w:val="16"/>
          <w:szCs w:val="16"/>
          <w:shd w:val="clear" w:color="auto" w:fill="auto"/>
          <w:lang w:val="pt-PT" w:eastAsia="pt-PT" w:bidi="pt-PT"/>
        </w:rPr>
        <w:t xml:space="preserve">do RPPS perante colaboradores, servidores e o mercado como um todo. Assim o </w:t>
      </w:r>
      <w:r>
        <w:rPr>
          <w:b/>
          <w:bCs/>
          <w:color w:val="000000"/>
          <w:spacing w:val="0"/>
          <w:w w:val="100"/>
          <w:position w:val="0"/>
          <w:sz w:val="15"/>
          <w:szCs w:val="15"/>
          <w:shd w:val="clear" w:color="auto" w:fill="auto"/>
          <w:lang w:val="pt-PT" w:eastAsia="pt-PT" w:bidi="pt-PT"/>
        </w:rPr>
        <w:t xml:space="preserve">CONSELHO MUNICIPAL DE PREVIDÊNCIA - CMP </w:t>
      </w:r>
      <w:r>
        <w:rPr>
          <w:color w:val="000000"/>
          <w:spacing w:val="0"/>
          <w:w w:val="100"/>
          <w:position w:val="0"/>
          <w:sz w:val="16"/>
          <w:szCs w:val="16"/>
          <w:shd w:val="clear" w:color="auto" w:fill="auto"/>
          <w:lang w:val="pt-PT" w:eastAsia="pt-PT" w:bidi="pt-PT"/>
        </w:rPr>
        <w:t xml:space="preserve">e o </w:t>
      </w:r>
      <w:r>
        <w:rPr>
          <w:b/>
          <w:bCs/>
          <w:color w:val="000000"/>
          <w:spacing w:val="0"/>
          <w:w w:val="100"/>
          <w:position w:val="0"/>
          <w:sz w:val="15"/>
          <w:szCs w:val="15"/>
          <w:shd w:val="clear" w:color="auto" w:fill="auto"/>
          <w:lang w:val="pt-BR" w:eastAsia="pt-BR" w:bidi="pt-BR"/>
        </w:rPr>
        <w:t xml:space="preserve">COMITÊ </w:t>
      </w:r>
      <w:r>
        <w:rPr>
          <w:b/>
          <w:bCs/>
          <w:color w:val="000000"/>
          <w:spacing w:val="0"/>
          <w:w w:val="100"/>
          <w:position w:val="0"/>
          <w:sz w:val="15"/>
          <w:szCs w:val="15"/>
          <w:shd w:val="clear" w:color="auto" w:fill="auto"/>
          <w:lang w:val="pt-PT" w:eastAsia="pt-PT" w:bidi="pt-PT"/>
        </w:rPr>
        <w:t xml:space="preserve">DE INVESTIMENTOS </w:t>
      </w:r>
      <w:r>
        <w:rPr>
          <w:color w:val="000000"/>
          <w:spacing w:val="0"/>
          <w:w w:val="100"/>
          <w:position w:val="0"/>
          <w:sz w:val="16"/>
          <w:szCs w:val="16"/>
          <w:shd w:val="clear" w:color="auto" w:fill="auto"/>
          <w:lang w:val="pt-PT" w:eastAsia="pt-PT" w:bidi="pt-PT"/>
        </w:rPr>
        <w:t xml:space="preserve">do </w:t>
      </w:r>
      <w:r>
        <w:rPr>
          <w:b/>
          <w:bCs/>
          <w:color w:val="000000"/>
          <w:spacing w:val="0"/>
          <w:w w:val="100"/>
          <w:position w:val="0"/>
          <w:sz w:val="15"/>
          <w:szCs w:val="15"/>
          <w:shd w:val="clear" w:color="auto" w:fill="auto"/>
          <w:lang w:val="pt-PT" w:eastAsia="pt-PT" w:bidi="pt-PT"/>
        </w:rPr>
        <w:t xml:space="preserve">RPPS </w:t>
      </w:r>
      <w:r>
        <w:rPr>
          <w:color w:val="000000"/>
          <w:spacing w:val="0"/>
          <w:w w:val="100"/>
          <w:position w:val="0"/>
          <w:sz w:val="16"/>
          <w:szCs w:val="16"/>
          <w:shd w:val="clear" w:color="auto" w:fill="auto"/>
          <w:lang w:val="pt-PT" w:eastAsia="pt-PT" w:bidi="pt-PT"/>
        </w:rPr>
        <w:t xml:space="preserve">observarão, durante o </w:t>
      </w:r>
      <w:r>
        <w:rPr>
          <w:color w:val="000000"/>
          <w:spacing w:val="0"/>
          <w:w w:val="100"/>
          <w:position w:val="0"/>
          <w:sz w:val="16"/>
          <w:szCs w:val="16"/>
          <w:shd w:val="clear" w:color="auto" w:fill="auto"/>
          <w:lang w:val="pt-BR" w:eastAsia="pt-BR" w:bidi="pt-BR"/>
        </w:rPr>
        <w:t xml:space="preserve">credenciamento </w:t>
      </w:r>
      <w:r>
        <w:rPr>
          <w:color w:val="000000"/>
          <w:spacing w:val="0"/>
          <w:w w:val="100"/>
          <w:position w:val="0"/>
          <w:sz w:val="16"/>
          <w:szCs w:val="16"/>
          <w:shd w:val="clear" w:color="auto" w:fill="auto"/>
          <w:lang w:val="pt-PT" w:eastAsia="pt-PT" w:bidi="pt-PT"/>
        </w:rPr>
        <w:t xml:space="preserve">das gestoras, administradoras, distribuidoras e instituição financeiras e durante todo o período subsequente, se estas oferecem risco de imagem ao </w:t>
      </w:r>
      <w:r>
        <w:rPr>
          <w:b/>
          <w:bCs/>
          <w:color w:val="000000"/>
          <w:spacing w:val="0"/>
          <w:w w:val="100"/>
          <w:position w:val="0"/>
          <w:sz w:val="15"/>
          <w:szCs w:val="15"/>
          <w:shd w:val="clear" w:color="auto" w:fill="auto"/>
          <w:lang w:val="pt-PT" w:eastAsia="pt-PT" w:bidi="pt-PT"/>
        </w:rPr>
        <w:t>RPPS.</w:t>
      </w:r>
    </w:p>
    <w:p>
      <w:pPr>
        <w:pStyle w:val="Style10"/>
        <w:keepNext w:val="0"/>
        <w:keepLines w:val="0"/>
        <w:widowControl w:val="0"/>
        <w:shd w:val="clear" w:color="auto" w:fill="auto"/>
        <w:bidi w:val="0"/>
        <w:spacing w:before="0" w:after="0" w:line="295" w:lineRule="auto"/>
        <w:ind w:left="300" w:right="0" w:firstLine="20"/>
        <w:jc w:val="left"/>
      </w:pPr>
      <w:r>
        <w:rPr>
          <w:color w:val="000000"/>
          <w:spacing w:val="0"/>
          <w:w w:val="100"/>
          <w:position w:val="0"/>
          <w:shd w:val="clear" w:color="auto" w:fill="auto"/>
          <w:lang w:val="pt-PT" w:eastAsia="pt-PT" w:bidi="pt-PT"/>
        </w:rPr>
        <w:t xml:space="preserve">As mesmas não poderão apresentar nenhum fato que as </w:t>
      </w:r>
      <w:r>
        <w:rPr>
          <w:color w:val="000000"/>
          <w:spacing w:val="0"/>
          <w:w w:val="100"/>
          <w:position w:val="0"/>
          <w:shd w:val="clear" w:color="auto" w:fill="auto"/>
          <w:lang w:val="pt-BR" w:eastAsia="pt-BR" w:bidi="pt-BR"/>
        </w:rPr>
        <w:t>desabone.</w:t>
      </w:r>
    </w:p>
    <w:p>
      <w:pPr>
        <w:pStyle w:val="Style16"/>
        <w:keepNext/>
        <w:keepLines/>
        <w:widowControl w:val="0"/>
        <w:shd w:val="clear" w:color="auto" w:fill="auto"/>
        <w:bidi w:val="0"/>
        <w:spacing w:before="0" w:after="520" w:line="240" w:lineRule="auto"/>
        <w:ind w:left="0" w:right="0" w:firstLine="0"/>
        <w:jc w:val="left"/>
      </w:pPr>
      <w:bookmarkStart w:id="18" w:name="bookmark18"/>
      <w:r>
        <w:rPr>
          <w:color w:val="000000"/>
          <w:spacing w:val="0"/>
          <w:w w:val="100"/>
          <w:position w:val="0"/>
          <w:shd w:val="clear" w:color="auto" w:fill="auto"/>
          <w:lang w:val="pt-PT" w:eastAsia="pt-PT" w:bidi="pt-PT"/>
        </w:rPr>
        <w:t>Perfil de Investidor do RPPS</w:t>
      </w:r>
      <w:bookmarkEnd w:id="18"/>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O perfil do investidor pode ser definido como uma categorização que cada RPPS recebe ao aplicar seus recursos de acordo com o risco que ele está disposto a tomar com suas aplicações. Essa categorização é uma exigência da Comissão de Valores Mobiliários (CVM) para que as instituições financeiras ofereçam ao RPPS os investimentos que melhor se encaixem ao seu perfil.</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Os perfis de risco do investidor são separados em três categorias, listadas abaixo.</w:t>
      </w:r>
    </w:p>
    <w:p>
      <w:pPr>
        <w:pStyle w:val="Style10"/>
        <w:keepNext w:val="0"/>
        <w:keepLines w:val="0"/>
        <w:widowControl w:val="0"/>
        <w:shd w:val="clear" w:color="auto" w:fill="auto"/>
        <w:bidi w:val="0"/>
        <w:spacing w:before="0" w:after="0" w:line="283" w:lineRule="auto"/>
        <w:ind w:left="300" w:right="0" w:firstLine="720"/>
        <w:jc w:val="both"/>
      </w:pPr>
      <w:r>
        <w:rPr>
          <w:b/>
          <w:bCs/>
          <w:i/>
          <w:iCs/>
          <w:color w:val="000000"/>
          <w:spacing w:val="0"/>
          <w:w w:val="100"/>
          <w:position w:val="0"/>
          <w:sz w:val="19"/>
          <w:szCs w:val="19"/>
          <w:shd w:val="clear" w:color="auto" w:fill="auto"/>
          <w:lang w:val="pt-PT" w:eastAsia="pt-PT" w:bidi="pt-PT"/>
        </w:rPr>
        <w:t>■S</w:t>
      </w:r>
      <w:r>
        <w:rPr>
          <w:color w:val="000000"/>
          <w:spacing w:val="0"/>
          <w:w w:val="100"/>
          <w:position w:val="0"/>
          <w:sz w:val="19"/>
          <w:szCs w:val="19"/>
          <w:shd w:val="clear" w:color="auto" w:fill="auto"/>
          <w:lang w:val="pt-PT" w:eastAsia="pt-PT" w:bidi="pt-PT"/>
        </w:rPr>
        <w:t xml:space="preserve"> PERFIL CONSERVADOR - </w:t>
      </w:r>
      <w:r>
        <w:rPr>
          <w:color w:val="000000"/>
          <w:spacing w:val="0"/>
          <w:w w:val="100"/>
          <w:position w:val="0"/>
          <w:shd w:val="clear" w:color="auto" w:fill="auto"/>
          <w:lang w:val="pt-PT" w:eastAsia="pt-PT" w:bidi="pt-PT"/>
        </w:rPr>
        <w:t>A busca por ativos com menor risco se sobressai a busca por retornos, sendo primordial a preservação de capital;</w:t>
      </w:r>
    </w:p>
    <w:p>
      <w:pPr>
        <w:pStyle w:val="Style10"/>
        <w:keepNext w:val="0"/>
        <w:keepLines w:val="0"/>
        <w:widowControl w:val="0"/>
        <w:numPr>
          <w:ilvl w:val="0"/>
          <w:numId w:val="5"/>
        </w:numPr>
        <w:shd w:val="clear" w:color="auto" w:fill="auto"/>
        <w:tabs>
          <w:tab w:pos="1438" w:val="left"/>
        </w:tabs>
        <w:bidi w:val="0"/>
        <w:spacing w:before="0" w:after="0" w:line="310" w:lineRule="auto"/>
        <w:ind w:left="300" w:right="0" w:firstLine="720"/>
        <w:jc w:val="both"/>
      </w:pPr>
      <w:r>
        <w:rPr>
          <w:color w:val="000000"/>
          <w:spacing w:val="0"/>
          <w:w w:val="100"/>
          <w:position w:val="0"/>
          <w:sz w:val="19"/>
          <w:szCs w:val="19"/>
          <w:shd w:val="clear" w:color="auto" w:fill="auto"/>
          <w:lang w:val="pt-PT" w:eastAsia="pt-PT" w:bidi="pt-PT"/>
        </w:rPr>
        <w:t xml:space="preserve">PERFIL MODERADO - </w:t>
      </w:r>
      <w:r>
        <w:rPr>
          <w:color w:val="000000"/>
          <w:spacing w:val="0"/>
          <w:w w:val="100"/>
          <w:position w:val="0"/>
          <w:shd w:val="clear" w:color="auto" w:fill="auto"/>
          <w:lang w:val="pt-PT" w:eastAsia="pt-PT" w:bidi="pt-PT"/>
        </w:rPr>
        <w:t>Assume riscos um pouco maiores em busca de rentabilidade superior à média do mercado. Dá importância à segurança. Por isso, busca investir de forma equilibrada em diversas classes de ativos, como renda fixa, ações e fundos multimercados;</w:t>
      </w:r>
    </w:p>
    <w:p>
      <w:pPr>
        <w:pStyle w:val="Style10"/>
        <w:keepNext w:val="0"/>
        <w:keepLines w:val="0"/>
        <w:widowControl w:val="0"/>
        <w:numPr>
          <w:ilvl w:val="0"/>
          <w:numId w:val="5"/>
        </w:numPr>
        <w:shd w:val="clear" w:color="auto" w:fill="auto"/>
        <w:tabs>
          <w:tab w:pos="1438" w:val="left"/>
        </w:tabs>
        <w:bidi w:val="0"/>
        <w:spacing w:before="0" w:after="100" w:line="300" w:lineRule="auto"/>
        <w:ind w:left="300" w:right="0" w:firstLine="720"/>
        <w:jc w:val="both"/>
      </w:pPr>
      <w:r>
        <w:rPr>
          <w:color w:val="000000"/>
          <w:spacing w:val="0"/>
          <w:w w:val="100"/>
          <w:position w:val="0"/>
          <w:sz w:val="19"/>
          <w:szCs w:val="19"/>
          <w:shd w:val="clear" w:color="auto" w:fill="auto"/>
          <w:lang w:val="pt-PT" w:eastAsia="pt-PT" w:bidi="pt-PT"/>
        </w:rPr>
        <w:t xml:space="preserve">PERFIL ARROJADO - </w:t>
      </w:r>
      <w:r>
        <w:rPr>
          <w:color w:val="000000"/>
          <w:spacing w:val="0"/>
          <w:w w:val="100"/>
          <w:position w:val="0"/>
          <w:shd w:val="clear" w:color="auto" w:fill="auto"/>
          <w:lang w:val="pt-PT" w:eastAsia="pt-PT" w:bidi="pt-PT"/>
        </w:rPr>
        <w:t xml:space="preserve">Assume riscos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altos, em busca da maior rentabilidade possível. Entende que a oscilação diária dos mercados é suavizada no médio e no longo prazos, quando o mercado apresenta maior estabilidade. O arrojado tem um percentual maior da carteira em renda variável do que os moderados. </w:t>
      </w:r>
      <w:r>
        <w:rPr>
          <w:color w:val="000000"/>
          <w:spacing w:val="0"/>
          <w:w w:val="100"/>
          <w:position w:val="0"/>
          <w:shd w:val="clear" w:color="auto" w:fill="auto"/>
          <w:lang w:val="pt-BR" w:eastAsia="pt-BR" w:bidi="pt-BR"/>
        </w:rPr>
        <w:t xml:space="preserve">Prioriza </w:t>
      </w:r>
      <w:r>
        <w:rPr>
          <w:color w:val="000000"/>
          <w:spacing w:val="0"/>
          <w:w w:val="100"/>
          <w:position w:val="0"/>
          <w:shd w:val="clear" w:color="auto" w:fill="auto"/>
          <w:lang w:val="pt-PT" w:eastAsia="pt-PT" w:bidi="pt-PT"/>
        </w:rPr>
        <w:t>a rentabilidade do investimento.</w:t>
      </w:r>
    </w:p>
    <w:p>
      <w:pPr>
        <w:pStyle w:val="Style13"/>
        <w:keepNext w:val="0"/>
        <w:keepLines w:val="0"/>
        <w:widowControl w:val="0"/>
        <w:shd w:val="clear" w:color="auto" w:fill="auto"/>
        <w:bidi w:val="0"/>
        <w:spacing w:before="0" w:after="480"/>
        <w:ind w:left="0" w:right="0" w:firstLine="740"/>
        <w:jc w:val="both"/>
        <w:rPr>
          <w:sz w:val="18"/>
          <w:szCs w:val="18"/>
        </w:rPr>
      </w:pPr>
      <w:r>
        <w:rPr>
          <w:color w:val="000000"/>
          <w:spacing w:val="0"/>
          <w:w w:val="100"/>
          <w:position w:val="0"/>
          <w:sz w:val="19"/>
          <w:szCs w:val="19"/>
          <w:shd w:val="clear" w:color="auto" w:fill="auto"/>
          <w:lang w:val="pt-PT" w:eastAsia="pt-PT" w:bidi="pt-PT"/>
        </w:rPr>
        <w:t xml:space="preserve">Desta maneira, considerando o posicionamento histórico nos investimentos do RPPS e, também, ponderando o posicionamento dos seus gestores, ressaltamos que 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z w:val="19"/>
          <w:szCs w:val="19"/>
          <w:shd w:val="clear" w:color="auto" w:fill="auto"/>
          <w:lang w:val="pt-PT" w:eastAsia="pt-PT" w:bidi="pt-PT"/>
        </w:rPr>
        <w:t xml:space="preserve">possui o perfil de investidor </w:t>
      </w:r>
      <w:r>
        <w:rPr>
          <w:b/>
          <w:bCs/>
          <w:color w:val="000000"/>
          <w:spacing w:val="0"/>
          <w:w w:val="100"/>
          <w:position w:val="0"/>
          <w:sz w:val="18"/>
          <w:szCs w:val="18"/>
          <w:u w:val="single"/>
          <w:shd w:val="clear" w:color="auto" w:fill="auto"/>
          <w:lang w:val="pt-PT" w:eastAsia="pt-PT" w:bidi="pt-PT"/>
        </w:rPr>
        <w:t>CONSERVADOR.</w:t>
      </w:r>
    </w:p>
    <w:p>
      <w:pPr>
        <w:pStyle w:val="Style16"/>
        <w:keepNext/>
        <w:keepLines/>
        <w:widowControl w:val="0"/>
        <w:shd w:val="clear" w:color="auto" w:fill="auto"/>
        <w:bidi w:val="0"/>
        <w:spacing w:before="0" w:after="520" w:line="240" w:lineRule="auto"/>
        <w:ind w:left="0" w:right="0" w:firstLine="0"/>
        <w:jc w:val="left"/>
      </w:pPr>
      <w:bookmarkStart w:id="19" w:name="bookmark19"/>
      <w:r>
        <w:rPr>
          <w:color w:val="000000"/>
          <w:spacing w:val="0"/>
          <w:w w:val="100"/>
          <w:position w:val="0"/>
          <w:shd w:val="clear" w:color="auto" w:fill="auto"/>
          <w:lang w:val="pt-PT" w:eastAsia="pt-PT" w:bidi="pt-PT"/>
        </w:rPr>
        <w:t>Plano de Contingência para situações de crise no mercado financeiro</w:t>
      </w:r>
      <w:bookmarkEnd w:id="19"/>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O Plano de Contingência estabelecido contempla a </w:t>
      </w:r>
      <w:r>
        <w:rPr>
          <w:color w:val="000000"/>
          <w:spacing w:val="0"/>
          <w:w w:val="100"/>
          <w:position w:val="0"/>
          <w:shd w:val="clear" w:color="auto" w:fill="auto"/>
          <w:lang w:val="pt-BR" w:eastAsia="pt-BR" w:bidi="pt-BR"/>
        </w:rPr>
        <w:t xml:space="preserve">abrangência </w:t>
      </w:r>
      <w:r>
        <w:rPr>
          <w:color w:val="000000"/>
          <w:spacing w:val="0"/>
          <w:w w:val="100"/>
          <w:position w:val="0"/>
          <w:shd w:val="clear" w:color="auto" w:fill="auto"/>
          <w:lang w:val="pt-PT" w:eastAsia="pt-PT" w:bidi="pt-PT"/>
        </w:rPr>
        <w:t xml:space="preserve">exigida pela Resolução CMN n° 5.272/2025, entendendo-se por "contingência", no âmbito desta Política de Investimentos, a excessiva exposição a riscos ou potenciais </w:t>
      </w:r>
      <w:r>
        <w:rPr>
          <w:color w:val="000000"/>
          <w:spacing w:val="0"/>
          <w:w w:val="100"/>
          <w:position w:val="0"/>
          <w:shd w:val="clear" w:color="auto" w:fill="auto"/>
          <w:lang w:val="pt-BR" w:eastAsia="pt-BR" w:bidi="pt-BR"/>
        </w:rPr>
        <w:t xml:space="preserve">perdas </w:t>
      </w:r>
      <w:r>
        <w:rPr>
          <w:color w:val="000000"/>
          <w:spacing w:val="0"/>
          <w:w w:val="100"/>
          <w:position w:val="0"/>
          <w:shd w:val="clear" w:color="auto" w:fill="auto"/>
          <w:lang w:val="pt-PT" w:eastAsia="pt-PT" w:bidi="pt-PT"/>
        </w:rPr>
        <w:t>dos recursos.</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Atende igualmente à Portaria MTP n° 1.467/2022 (Art. 102).</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O plano adota uma metodologia estruturada que compreende duas fases complementares — Prevenção e Ação Corretiva (Contingência) — abrangendo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e o Conselho Municipal de Previdência.</w:t>
      </w:r>
    </w:p>
    <w:p>
      <w:pPr>
        <w:pStyle w:val="Style13"/>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pt-BR" w:eastAsia="pt-BR" w:bidi="pt-BR"/>
        </w:rPr>
        <w:t xml:space="preserve">Entende-se </w:t>
      </w:r>
      <w:r>
        <w:rPr>
          <w:color w:val="000000"/>
          <w:spacing w:val="0"/>
          <w:w w:val="100"/>
          <w:position w:val="0"/>
          <w:shd w:val="clear" w:color="auto" w:fill="auto"/>
          <w:lang w:val="pt-PT" w:eastAsia="pt-PT" w:bidi="pt-PT"/>
        </w:rPr>
        <w:t xml:space="preserve">por exposição a risco toda situação que possa direcionar a carteira de investimentos do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ao não cumprimento dos limites, requisitos e normas estabelecidos para os RPPS. Para minimizar impactos, é fundamental que o Plano de Contingência estabeleça uma metodologia clara e estruturada, conforme descrito abaixo:</w:t>
      </w:r>
    </w:p>
    <w:p>
      <w:pPr>
        <w:pStyle w:val="Style16"/>
        <w:keepNext/>
        <w:keepLines/>
        <w:widowControl w:val="0"/>
        <w:shd w:val="clear" w:color="auto" w:fill="auto"/>
        <w:bidi w:val="0"/>
        <w:spacing w:before="0" w:after="260"/>
        <w:ind w:left="0" w:right="0" w:firstLine="0"/>
        <w:jc w:val="left"/>
      </w:pPr>
      <w:bookmarkStart w:id="20" w:name="bookmark20"/>
      <w:r>
        <w:rPr>
          <w:color w:val="000000"/>
          <w:spacing w:val="0"/>
          <w:w w:val="100"/>
          <w:position w:val="0"/>
          <w:shd w:val="clear" w:color="auto" w:fill="auto"/>
          <w:lang w:val="pt-PT" w:eastAsia="pt-PT" w:bidi="pt-PT"/>
        </w:rPr>
        <w:t>Fases do Processo</w:t>
      </w:r>
      <w:bookmarkEnd w:id="20"/>
    </w:p>
    <w:p>
      <w:pPr>
        <w:pStyle w:val="Style13"/>
        <w:keepNext w:val="0"/>
        <w:keepLines w:val="0"/>
        <w:widowControl w:val="0"/>
        <w:shd w:val="clear" w:color="auto" w:fill="auto"/>
        <w:bidi w:val="0"/>
        <w:spacing w:before="0" w:after="0" w:line="305" w:lineRule="auto"/>
        <w:ind w:left="0" w:right="0" w:firstLine="0"/>
        <w:jc w:val="left"/>
      </w:pPr>
      <w:r>
        <w:rPr>
          <w:color w:val="000000"/>
          <w:spacing w:val="0"/>
          <w:w w:val="100"/>
          <w:position w:val="0"/>
          <w:u w:val="single"/>
          <w:shd w:val="clear" w:color="auto" w:fill="auto"/>
          <w:lang w:val="pt-PT" w:eastAsia="pt-PT" w:bidi="pt-PT"/>
        </w:rPr>
        <w:t xml:space="preserve">Prevenção - </w:t>
      </w:r>
      <w:r>
        <w:rPr>
          <w:color w:val="000000"/>
          <w:spacing w:val="0"/>
          <w:w w:val="100"/>
          <w:position w:val="0"/>
          <w:u w:val="single"/>
          <w:shd w:val="clear" w:color="auto" w:fill="auto"/>
          <w:lang w:val="pt-BR" w:eastAsia="pt-BR" w:bidi="pt-BR"/>
        </w:rPr>
        <w:t xml:space="preserve">Monitoramento </w:t>
      </w:r>
      <w:r>
        <w:rPr>
          <w:color w:val="000000"/>
          <w:spacing w:val="0"/>
          <w:w w:val="100"/>
          <w:position w:val="0"/>
          <w:u w:val="single"/>
          <w:shd w:val="clear" w:color="auto" w:fill="auto"/>
          <w:lang w:val="pt-PT" w:eastAsia="pt-PT" w:bidi="pt-PT"/>
        </w:rPr>
        <w:t>e Avaliação</w:t>
      </w:r>
    </w:p>
    <w:p>
      <w:pPr>
        <w:pStyle w:val="Style13"/>
        <w:keepNext w:val="0"/>
        <w:keepLines w:val="0"/>
        <w:widowControl w:val="0"/>
        <w:shd w:val="clear" w:color="auto" w:fill="auto"/>
        <w:bidi w:val="0"/>
        <w:spacing w:before="0" w:after="280" w:line="305" w:lineRule="auto"/>
        <w:ind w:left="0" w:right="0" w:firstLine="740"/>
        <w:jc w:val="both"/>
      </w:pPr>
      <w:r>
        <w:rPr>
          <w:color w:val="000000"/>
          <w:spacing w:val="0"/>
          <w:w w:val="100"/>
          <w:position w:val="0"/>
          <w:shd w:val="clear" w:color="auto" w:fill="auto"/>
          <w:lang w:val="pt-PT" w:eastAsia="pt-PT" w:bidi="pt-PT"/>
        </w:rPr>
        <w:t xml:space="preserve">Fase contínua e preventiva, dedicada à vigilância dos limites legais, parâmetros de risco (VaR, volatilidade, liquidez, </w:t>
      </w:r>
      <w:r>
        <w:rPr>
          <w:b/>
          <w:bCs/>
          <w:i/>
          <w:iCs/>
          <w:color w:val="000000"/>
          <w:spacing w:val="0"/>
          <w:w w:val="100"/>
          <w:position w:val="0"/>
          <w:shd w:val="clear" w:color="auto" w:fill="auto"/>
          <w:lang w:val="pt-BR" w:eastAsia="pt-BR" w:bidi="pt-BR"/>
        </w:rPr>
        <w:t>duratiorí)</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e desempenho dos investimentos. O objetivo é identificar </w:t>
      </w:r>
      <w:r>
        <w:rPr>
          <w:color w:val="000000"/>
          <w:spacing w:val="0"/>
          <w:w w:val="100"/>
          <w:position w:val="0"/>
          <w:shd w:val="clear" w:color="auto" w:fill="auto"/>
          <w:lang w:val="pt-BR" w:eastAsia="pt-BR" w:bidi="pt-BR"/>
        </w:rPr>
        <w:t xml:space="preserve">antecipadamente </w:t>
      </w:r>
      <w:r>
        <w:rPr>
          <w:color w:val="000000"/>
          <w:spacing w:val="0"/>
          <w:w w:val="100"/>
          <w:position w:val="0"/>
          <w:shd w:val="clear" w:color="auto" w:fill="auto"/>
          <w:lang w:val="pt-PT" w:eastAsia="pt-PT" w:bidi="pt-PT"/>
        </w:rPr>
        <w:t>possíveis desequilíbrios, evitando que evoluam para contingências efetivas.</w:t>
      </w:r>
    </w:p>
    <w:p>
      <w:pPr>
        <w:widowControl w:val="0"/>
        <w:jc w:val="left"/>
        <w:rPr>
          <w:sz w:val="2"/>
          <w:szCs w:val="2"/>
        </w:rPr>
        <w:sectPr>
          <w:headerReference w:type="default" r:id="rId98"/>
          <w:headerReference w:type="even" r:id="rId99"/>
          <w:footnotePr>
            <w:pos w:val="pageBottom"/>
            <w:numFmt w:val="decimal"/>
            <w:numRestart w:val="continuous"/>
          </w:footnotePr>
          <w:pgSz w:w="11900" w:h="16840"/>
          <w:pgMar w:top="2015" w:left="1542" w:right="1603" w:bottom="505" w:header="0" w:footer="77" w:gutter="0"/>
          <w:cols w:space="720"/>
          <w:noEndnote/>
          <w:rtlGutter w:val="0"/>
          <w:docGrid w:linePitch="360"/>
        </w:sectPr>
      </w:pPr>
      <w:r>
        <w:drawing>
          <wp:inline>
            <wp:extent cx="6290945" cy="682625"/>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100"/>
                    <a:stretch/>
                  </pic:blipFill>
                  <pic:spPr>
                    <a:xfrm>
                      <a:ext cx="6290945" cy="682625"/>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contingência.</w:t>
      </w:r>
    </w:p>
    <w:p>
      <w:pPr>
        <w:pStyle w:val="Style13"/>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pt-PT" w:eastAsia="pt-PT" w:bidi="pt-PT"/>
        </w:rPr>
        <w:t>O gestor responsável deve registrar o evento e acionar o fluxo de comunicação interna.</w:t>
      </w:r>
    </w:p>
    <w:p>
      <w:pPr>
        <w:pStyle w:val="Style13"/>
        <w:keepNext w:val="0"/>
        <w:keepLines w:val="0"/>
        <w:widowControl w:val="0"/>
        <w:shd w:val="clear" w:color="auto" w:fill="auto"/>
        <w:bidi w:val="0"/>
        <w:spacing w:before="0" w:after="0" w:line="312" w:lineRule="auto"/>
        <w:ind w:left="0" w:right="0" w:firstLine="0"/>
        <w:jc w:val="left"/>
      </w:pPr>
      <w:r>
        <w:rPr>
          <w:color w:val="000000"/>
          <w:spacing w:val="0"/>
          <w:w w:val="100"/>
          <w:position w:val="0"/>
          <w:u w:val="single"/>
          <w:shd w:val="clear" w:color="auto" w:fill="auto"/>
          <w:lang w:val="pt-PT" w:eastAsia="pt-PT" w:bidi="pt-PT"/>
        </w:rPr>
        <w:t>Contingência - Comunicação Interna</w:t>
      </w:r>
    </w:p>
    <w:p>
      <w:pPr>
        <w:pStyle w:val="Style13"/>
        <w:keepNext w:val="0"/>
        <w:keepLines w:val="0"/>
        <w:widowControl w:val="0"/>
        <w:shd w:val="clear" w:color="auto" w:fill="auto"/>
        <w:bidi w:val="0"/>
        <w:spacing w:before="0" w:after="260" w:line="312" w:lineRule="auto"/>
        <w:ind w:left="0" w:right="0" w:firstLine="740"/>
        <w:jc w:val="both"/>
      </w:pPr>
      <w:r>
        <w:rPr>
          <w:color w:val="000000"/>
          <w:spacing w:val="0"/>
          <w:w w:val="100"/>
          <w:position w:val="0"/>
          <w:shd w:val="clear" w:color="auto" w:fill="auto"/>
          <w:lang w:val="pt-PT" w:eastAsia="pt-PT" w:bidi="pt-PT"/>
        </w:rPr>
        <w:t xml:space="preserve">A ocorrência é imediatamente comunicada ao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que deve avaliar a gravidade do evento e deliberar sobre as medidas corretivas cabíveis. Caso o risco envolva impacto relevante, o Conselho Municipal de Previdência é convocado para ciência e validação das ações.</w:t>
      </w:r>
    </w:p>
    <w:p>
      <w:pPr>
        <w:pStyle w:val="Style13"/>
        <w:keepNext w:val="0"/>
        <w:keepLines w:val="0"/>
        <w:widowControl w:val="0"/>
        <w:shd w:val="clear" w:color="auto" w:fill="auto"/>
        <w:bidi w:val="0"/>
        <w:spacing w:before="0" w:after="0" w:line="314" w:lineRule="auto"/>
        <w:ind w:left="0" w:right="0" w:firstLine="0"/>
        <w:jc w:val="left"/>
      </w:pPr>
      <w:r>
        <w:rPr>
          <w:color w:val="000000"/>
          <w:spacing w:val="0"/>
          <w:w w:val="100"/>
          <w:position w:val="0"/>
          <w:u w:val="single"/>
          <w:shd w:val="clear" w:color="auto" w:fill="auto"/>
          <w:lang w:val="pt-PT" w:eastAsia="pt-PT" w:bidi="pt-PT"/>
        </w:rPr>
        <w:t>Contingência - Ações Retificadoras</w:t>
      </w:r>
    </w:p>
    <w:p>
      <w:pPr>
        <w:pStyle w:val="Style13"/>
        <w:keepNext w:val="0"/>
        <w:keepLines w:val="0"/>
        <w:widowControl w:val="0"/>
        <w:shd w:val="clear" w:color="auto" w:fill="auto"/>
        <w:bidi w:val="0"/>
        <w:spacing w:before="0" w:after="0" w:line="324" w:lineRule="auto"/>
        <w:ind w:left="0" w:right="0" w:firstLine="740"/>
        <w:jc w:val="both"/>
      </w:pPr>
      <w:r>
        <w:rPr>
          <w:color w:val="000000"/>
          <w:spacing w:val="0"/>
          <w:w w:val="100"/>
          <w:position w:val="0"/>
          <w:shd w:val="clear" w:color="auto" w:fill="auto"/>
          <w:lang w:val="pt-PT" w:eastAsia="pt-PT" w:bidi="pt-PT"/>
        </w:rPr>
        <w:t xml:space="preserve">Implementação das medidas necessárias para readequar a carteira, restabelecer o enquadramento normativo e mitigar </w:t>
      </w:r>
      <w:r>
        <w:rPr>
          <w:color w:val="000000"/>
          <w:spacing w:val="0"/>
          <w:w w:val="100"/>
          <w:position w:val="0"/>
          <w:shd w:val="clear" w:color="auto" w:fill="auto"/>
          <w:lang w:val="pt-BR" w:eastAsia="pt-BR" w:bidi="pt-BR"/>
        </w:rPr>
        <w:t>perdas.</w:t>
      </w:r>
    </w:p>
    <w:p>
      <w:pPr>
        <w:pStyle w:val="Style13"/>
        <w:keepNext w:val="0"/>
        <w:keepLines w:val="0"/>
        <w:widowControl w:val="0"/>
        <w:shd w:val="clear" w:color="auto" w:fill="auto"/>
        <w:bidi w:val="0"/>
        <w:spacing w:before="0" w:after="1120" w:line="317" w:lineRule="auto"/>
        <w:ind w:left="0" w:right="0" w:firstLine="740"/>
        <w:jc w:val="both"/>
      </w:pPr>
      <w:r>
        <w:drawing>
          <wp:anchor distT="811530" distB="394335" distL="955675" distR="0" simplePos="0" relativeHeight="125829456" behindDoc="0" locked="0" layoutInCell="1" allowOverlap="1">
            <wp:simplePos x="0" y="0"/>
            <wp:positionH relativeFrom="page">
              <wp:posOffset>4865370</wp:posOffset>
            </wp:positionH>
            <wp:positionV relativeFrom="paragraph">
              <wp:posOffset>1268730</wp:posOffset>
            </wp:positionV>
            <wp:extent cx="1633855" cy="1365250"/>
            <wp:wrapTopAndBottom/>
            <wp:docPr id="198" name="Shape 198"/>
            <a:graphic xmlns:a="http://schemas.openxmlformats.org/drawingml/2006/main">
              <a:graphicData uri="http://schemas.openxmlformats.org/drawingml/2006/picture">
                <pic:pic xmlns:pic="http://schemas.openxmlformats.org/drawingml/2006/picture">
                  <pic:nvPicPr>
                    <pic:cNvPr id="199" name="Picture box 199"/>
                    <pic:cNvPicPr/>
                  </pic:nvPicPr>
                  <pic:blipFill>
                    <a:blip r:embed="rId102"/>
                    <a:stretch/>
                  </pic:blipFill>
                  <pic:spPr>
                    <a:xfrm>
                      <a:ext cx="1633855" cy="1365250"/>
                    </a:xfrm>
                    <a:prstGeom prst="rect"/>
                  </pic:spPr>
                </pic:pic>
              </a:graphicData>
            </a:graphic>
          </wp:anchor>
        </w:drawing>
      </w:r>
      <w:r>
        <mc:AlternateContent>
          <mc:Choice Requires="wps">
            <w:drawing>
              <wp:anchor distT="0" distB="0" distL="0" distR="0" simplePos="0" relativeHeight="503316518" behindDoc="0" locked="0" layoutInCell="1" allowOverlap="1">
                <wp:simplePos x="0" y="0"/>
                <wp:positionH relativeFrom="page">
                  <wp:posOffset>3909695</wp:posOffset>
                </wp:positionH>
                <wp:positionV relativeFrom="paragraph">
                  <wp:posOffset>1300480</wp:posOffset>
                </wp:positionV>
                <wp:extent cx="859790" cy="278765"/>
                <wp:wrapNone/>
                <wp:docPr id="200" name="Shape 200"/>
                <a:graphic xmlns:a="http://schemas.openxmlformats.org/drawingml/2006/main">
                  <a:graphicData uri="http://schemas.microsoft.com/office/word/2010/wordprocessingShape">
                    <wps:wsp>
                      <wps:cNvSpPr txBox="1"/>
                      <wps:spPr>
                        <a:xfrm>
                          <a:ext cx="859790" cy="278765"/>
                        </a:xfrm>
                        <a:prstGeom prst="rect"/>
                        <a:noFill/>
                      </wps:spPr>
                      <wps:txbx>
                        <w:txbxContent>
                          <w:p>
                            <w:pPr>
                              <w:pStyle w:val="Style25"/>
                              <w:keepNext w:val="0"/>
                              <w:keepLines w:val="0"/>
                              <w:widowControl w:val="0"/>
                              <w:pBdr>
                                <w:top w:val="single" w:sz="0" w:space="0" w:color="395C95"/>
                                <w:left w:val="single" w:sz="0" w:space="0" w:color="395C95"/>
                                <w:bottom w:val="single" w:sz="0" w:space="0" w:color="395C95"/>
                                <w:right w:val="single" w:sz="0" w:space="0" w:color="395C95"/>
                              </w:pBdr>
                              <w:shd w:val="clear" w:color="auto" w:fill="395C95"/>
                              <w:bidi w:val="0"/>
                              <w:spacing w:before="0" w:after="60" w:line="240" w:lineRule="auto"/>
                              <w:ind w:left="0" w:right="0" w:firstLine="0"/>
                              <w:jc w:val="left"/>
                            </w:pPr>
                            <w:r>
                              <w:rPr>
                                <w:color w:val="B8E1FD"/>
                                <w:spacing w:val="0"/>
                                <w:w w:val="100"/>
                                <w:position w:val="0"/>
                                <w:shd w:val="clear" w:color="auto" w:fill="auto"/>
                                <w:lang w:val="pt-BR" w:eastAsia="pt-BR" w:bidi="pt-BR"/>
                              </w:rPr>
                              <w:t>Monitoramento</w:t>
                            </w:r>
                          </w:p>
                          <w:p>
                            <w:pPr>
                              <w:pStyle w:val="Style25"/>
                              <w:keepNext w:val="0"/>
                              <w:keepLines w:val="0"/>
                              <w:widowControl w:val="0"/>
                              <w:pBdr>
                                <w:top w:val="single" w:sz="0" w:space="0" w:color="395C95"/>
                                <w:left w:val="single" w:sz="0" w:space="0" w:color="395C95"/>
                                <w:bottom w:val="single" w:sz="0" w:space="0" w:color="395C95"/>
                                <w:right w:val="single" w:sz="0" w:space="0" w:color="395C95"/>
                              </w:pBdr>
                              <w:shd w:val="clear" w:color="auto" w:fill="395C95"/>
                              <w:bidi w:val="0"/>
                              <w:spacing w:before="0" w:after="0" w:line="240" w:lineRule="auto"/>
                              <w:ind w:left="200" w:right="0" w:firstLine="0"/>
                              <w:jc w:val="left"/>
                            </w:pPr>
                            <w:r>
                              <w:rPr>
                                <w:color w:val="B8E1FD"/>
                                <w:spacing w:val="0"/>
                                <w:w w:val="100"/>
                                <w:position w:val="0"/>
                                <w:shd w:val="clear" w:color="auto" w:fill="auto"/>
                                <w:lang w:val="pt-PT" w:eastAsia="pt-PT" w:bidi="pt-PT"/>
                              </w:rPr>
                              <w:t>e Avaliação</w:t>
                            </w:r>
                          </w:p>
                        </w:txbxContent>
                      </wps:txbx>
                      <wps:bodyPr lIns="0" tIns="0" rIns="0" bIns="0">
                        <a:noAutoFit/>
                      </wps:bodyPr>
                    </wps:wsp>
                  </a:graphicData>
                </a:graphic>
              </wp:anchor>
            </w:drawing>
          </mc:Choice>
          <mc:Fallback>
            <w:pict>
              <v:shape id="_x0000_s1226" type="#_x0000_t202" style="position:absolute;margin-left:307.85000000000002pt;margin-top:102.40000000000001pt;width:67.700000000000003pt;height:21.949999999999999pt;z-index:251657765;mso-wrap-distance-left:0;mso-wrap-distance-right:0;mso-position-horizontal-relative:page" filled="f" stroked="f">
                <v:textbox inset="0,0,0,0">
                  <w:txbxContent>
                    <w:p>
                      <w:pPr>
                        <w:pStyle w:val="Style25"/>
                        <w:keepNext w:val="0"/>
                        <w:keepLines w:val="0"/>
                        <w:widowControl w:val="0"/>
                        <w:pBdr>
                          <w:top w:val="single" w:sz="0" w:space="0" w:color="395C95"/>
                          <w:left w:val="single" w:sz="0" w:space="0" w:color="395C95"/>
                          <w:bottom w:val="single" w:sz="0" w:space="0" w:color="395C95"/>
                          <w:right w:val="single" w:sz="0" w:space="0" w:color="395C95"/>
                        </w:pBdr>
                        <w:shd w:val="clear" w:color="auto" w:fill="395C95"/>
                        <w:bidi w:val="0"/>
                        <w:spacing w:before="0" w:after="60" w:line="240" w:lineRule="auto"/>
                        <w:ind w:left="0" w:right="0" w:firstLine="0"/>
                        <w:jc w:val="left"/>
                      </w:pPr>
                      <w:r>
                        <w:rPr>
                          <w:color w:val="B8E1FD"/>
                          <w:spacing w:val="0"/>
                          <w:w w:val="100"/>
                          <w:position w:val="0"/>
                          <w:shd w:val="clear" w:color="auto" w:fill="auto"/>
                          <w:lang w:val="pt-BR" w:eastAsia="pt-BR" w:bidi="pt-BR"/>
                        </w:rPr>
                        <w:t>Monitoramento</w:t>
                      </w:r>
                    </w:p>
                    <w:p>
                      <w:pPr>
                        <w:pStyle w:val="Style25"/>
                        <w:keepNext w:val="0"/>
                        <w:keepLines w:val="0"/>
                        <w:widowControl w:val="0"/>
                        <w:pBdr>
                          <w:top w:val="single" w:sz="0" w:space="0" w:color="395C95"/>
                          <w:left w:val="single" w:sz="0" w:space="0" w:color="395C95"/>
                          <w:bottom w:val="single" w:sz="0" w:space="0" w:color="395C95"/>
                          <w:right w:val="single" w:sz="0" w:space="0" w:color="395C95"/>
                        </w:pBdr>
                        <w:shd w:val="clear" w:color="auto" w:fill="395C95"/>
                        <w:bidi w:val="0"/>
                        <w:spacing w:before="0" w:after="0" w:line="240" w:lineRule="auto"/>
                        <w:ind w:left="200" w:right="0" w:firstLine="0"/>
                        <w:jc w:val="left"/>
                      </w:pPr>
                      <w:r>
                        <w:rPr>
                          <w:color w:val="B8E1FD"/>
                          <w:spacing w:val="0"/>
                          <w:w w:val="100"/>
                          <w:position w:val="0"/>
                          <w:shd w:val="clear" w:color="auto" w:fill="auto"/>
                          <w:lang w:val="pt-PT" w:eastAsia="pt-PT" w:bidi="pt-PT"/>
                        </w:rPr>
                        <w:t>e Avaliação</w:t>
                      </w:r>
                    </w:p>
                  </w:txbxContent>
                </v:textbox>
                <w10:wrap anchorx="page"/>
              </v:shape>
            </w:pict>
          </mc:Fallback>
        </mc:AlternateContent>
      </w:r>
      <w:r>
        <mc:AlternateContent>
          <mc:Choice Requires="wps">
            <w:drawing>
              <wp:anchor distT="0" distB="0" distL="0" distR="0" simplePos="0" relativeHeight="503316520" behindDoc="0" locked="0" layoutInCell="1" allowOverlap="1">
                <wp:simplePos x="0" y="0"/>
                <wp:positionH relativeFrom="page">
                  <wp:posOffset>5711190</wp:posOffset>
                </wp:positionH>
                <wp:positionV relativeFrom="paragraph">
                  <wp:posOffset>1003300</wp:posOffset>
                </wp:positionV>
                <wp:extent cx="644525" cy="278765"/>
                <wp:wrapNone/>
                <wp:docPr id="202" name="Shape 202"/>
                <a:graphic xmlns:a="http://schemas.openxmlformats.org/drawingml/2006/main">
                  <a:graphicData uri="http://schemas.microsoft.com/office/word/2010/wordprocessingShape">
                    <wps:wsp>
                      <wps:cNvSpPr txBox="1"/>
                      <wps:spPr>
                        <a:xfrm>
                          <a:ext cx="644525" cy="278765"/>
                        </a:xfrm>
                        <a:prstGeom prst="rect"/>
                        <a:noFill/>
                      </wps:spPr>
                      <wps:txbx>
                        <w:txbxContent>
                          <w:p>
                            <w:pPr>
                              <w:pStyle w:val="Style25"/>
                              <w:keepNext w:val="0"/>
                              <w:keepLines w:val="0"/>
                              <w:widowControl w:val="0"/>
                              <w:shd w:val="clear" w:color="auto" w:fill="auto"/>
                              <w:bidi w:val="0"/>
                              <w:spacing w:before="0" w:after="60" w:line="240" w:lineRule="auto"/>
                              <w:ind w:left="0" w:right="0" w:firstLine="0"/>
                              <w:jc w:val="left"/>
                            </w:pPr>
                            <w:r>
                              <w:rPr>
                                <w:color w:val="8A9AB2"/>
                                <w:spacing w:val="0"/>
                                <w:w w:val="100"/>
                                <w:position w:val="0"/>
                                <w:shd w:val="clear" w:color="auto" w:fill="auto"/>
                                <w:lang w:val="pt-PT" w:eastAsia="pt-PT" w:bidi="pt-PT"/>
                              </w:rPr>
                              <w:t>Processo de</w:t>
                            </w:r>
                          </w:p>
                          <w:p>
                            <w:pPr>
                              <w:pStyle w:val="Style25"/>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contigência</w:t>
                            </w:r>
                          </w:p>
                        </w:txbxContent>
                      </wps:txbx>
                      <wps:bodyPr lIns="0" tIns="0" rIns="0" bIns="0">
                        <a:noAutoFit/>
                      </wps:bodyPr>
                    </wps:wsp>
                  </a:graphicData>
                </a:graphic>
              </wp:anchor>
            </w:drawing>
          </mc:Choice>
          <mc:Fallback>
            <w:pict>
              <v:shape id="_x0000_s1228" type="#_x0000_t202" style="position:absolute;margin-left:449.69999999999999pt;margin-top:79.pt;width:50.75pt;height:21.949999999999999pt;z-index:251657767;mso-wrap-distance-left:0;mso-wrap-distance-right:0;mso-position-horizontal-relative:page" filled="f" stroked="f">
                <v:textbox inset="0,0,0,0">
                  <w:txbxContent>
                    <w:p>
                      <w:pPr>
                        <w:pStyle w:val="Style25"/>
                        <w:keepNext w:val="0"/>
                        <w:keepLines w:val="0"/>
                        <w:widowControl w:val="0"/>
                        <w:shd w:val="clear" w:color="auto" w:fill="auto"/>
                        <w:bidi w:val="0"/>
                        <w:spacing w:before="0" w:after="60" w:line="240" w:lineRule="auto"/>
                        <w:ind w:left="0" w:right="0" w:firstLine="0"/>
                        <w:jc w:val="left"/>
                      </w:pPr>
                      <w:r>
                        <w:rPr>
                          <w:color w:val="8A9AB2"/>
                          <w:spacing w:val="0"/>
                          <w:w w:val="100"/>
                          <w:position w:val="0"/>
                          <w:shd w:val="clear" w:color="auto" w:fill="auto"/>
                          <w:lang w:val="pt-PT" w:eastAsia="pt-PT" w:bidi="pt-PT"/>
                        </w:rPr>
                        <w:t>Processo de</w:t>
                      </w:r>
                    </w:p>
                    <w:p>
                      <w:pPr>
                        <w:pStyle w:val="Style25"/>
                        <w:keepNext w:val="0"/>
                        <w:keepLines w:val="0"/>
                        <w:widowControl w:val="0"/>
                        <w:shd w:val="clear" w:color="auto" w:fill="auto"/>
                        <w:bidi w:val="0"/>
                        <w:spacing w:before="0" w:after="0" w:line="240" w:lineRule="auto"/>
                        <w:ind w:left="0" w:right="0" w:firstLine="0"/>
                        <w:jc w:val="left"/>
                      </w:pPr>
                      <w:r>
                        <w:rPr>
                          <w:color w:val="8A9AB2"/>
                          <w:spacing w:val="0"/>
                          <w:w w:val="100"/>
                          <w:position w:val="0"/>
                          <w:shd w:val="clear" w:color="auto" w:fill="auto"/>
                          <w:lang w:val="pt-PT" w:eastAsia="pt-PT" w:bidi="pt-PT"/>
                        </w:rPr>
                        <w:t>contigência</w:t>
                      </w:r>
                    </w:p>
                  </w:txbxContent>
                </v:textbox>
                <w10:wrap anchorx="page"/>
              </v:shape>
            </w:pict>
          </mc:Fallback>
        </mc:AlternateContent>
      </w:r>
      <w:r>
        <mc:AlternateContent>
          <mc:Choice Requires="wps">
            <w:drawing>
              <wp:anchor distT="0" distB="0" distL="0" distR="0" simplePos="0" relativeHeight="503316522" behindDoc="0" locked="0" layoutInCell="1" allowOverlap="1">
                <wp:simplePos x="0" y="0"/>
                <wp:positionH relativeFrom="page">
                  <wp:posOffset>3987800</wp:posOffset>
                </wp:positionH>
                <wp:positionV relativeFrom="paragraph">
                  <wp:posOffset>2677160</wp:posOffset>
                </wp:positionV>
                <wp:extent cx="2240280" cy="132715"/>
                <wp:wrapNone/>
                <wp:docPr id="204" name="Shape 204"/>
                <a:graphic xmlns:a="http://schemas.openxmlformats.org/drawingml/2006/main">
                  <a:graphicData uri="http://schemas.microsoft.com/office/word/2010/wordprocessingShape">
                    <wps:wsp>
                      <wps:cNvSpPr txBox="1"/>
                      <wps:spPr>
                        <a:xfrm>
                          <a:ext cx="2240280" cy="132715"/>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Sequência de processos da metodologia do plano de contingência</w:t>
                            </w:r>
                          </w:p>
                        </w:txbxContent>
                      </wps:txbx>
                      <wps:bodyPr lIns="0" tIns="0" rIns="0" bIns="0">
                        <a:noAutoFit/>
                      </wps:bodyPr>
                    </wps:wsp>
                  </a:graphicData>
                </a:graphic>
              </wp:anchor>
            </w:drawing>
          </mc:Choice>
          <mc:Fallback>
            <w:pict>
              <v:shape id="_x0000_s1230" type="#_x0000_t202" style="position:absolute;margin-left:314.pt;margin-top:210.80000000000001pt;width:176.40000000000001pt;height:10.449999999999999pt;z-index:25165776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Sequência de processos da metodologia do plano de contingência</w:t>
                      </w:r>
                    </w:p>
                  </w:txbxContent>
                </v:textbox>
                <w10:wrap anchorx="page"/>
              </v:shape>
            </w:pict>
          </mc:Fallback>
        </mc:AlternateContent>
      </w:r>
      <w:r>
        <w:rPr>
          <w:color w:val="000000"/>
          <w:spacing w:val="0"/>
          <w:w w:val="100"/>
          <w:position w:val="0"/>
          <w:shd w:val="clear" w:color="auto" w:fill="auto"/>
          <w:lang w:val="pt-PT" w:eastAsia="pt-PT" w:bidi="pt-PT"/>
        </w:rPr>
        <w:t xml:space="preserve">Todas as ações devem ser formalizadas em ata, acompanhadas de relatório técnico e </w:t>
      </w:r>
      <w:r>
        <w:rPr>
          <w:color w:val="000000"/>
          <w:spacing w:val="0"/>
          <w:w w:val="100"/>
          <w:position w:val="0"/>
          <w:shd w:val="clear" w:color="auto" w:fill="auto"/>
          <w:lang w:val="pt-BR" w:eastAsia="pt-BR" w:bidi="pt-BR"/>
        </w:rPr>
        <w:t xml:space="preserve">posteriormente </w:t>
      </w:r>
      <w:r>
        <w:rPr>
          <w:color w:val="000000"/>
          <w:spacing w:val="0"/>
          <w:w w:val="100"/>
          <w:position w:val="0"/>
          <w:shd w:val="clear" w:color="auto" w:fill="auto"/>
          <w:lang w:val="pt-PT" w:eastAsia="pt-PT" w:bidi="pt-PT"/>
        </w:rPr>
        <w:t>arquivadas para controle e auditoria.</w:t>
      </w:r>
    </w:p>
    <w:p>
      <w:pPr>
        <w:pStyle w:val="Style7"/>
        <w:keepNext w:val="0"/>
        <w:keepLines w:val="0"/>
        <w:widowControl w:val="0"/>
        <w:shd w:val="clear" w:color="auto" w:fill="auto"/>
        <w:bidi w:val="0"/>
        <w:spacing w:before="0" w:after="0" w:line="240" w:lineRule="auto"/>
        <w:ind w:left="4840" w:right="0" w:firstLine="0"/>
        <w:jc w:val="left"/>
        <w:rPr>
          <w:sz w:val="14"/>
          <w:szCs w:val="14"/>
        </w:rPr>
      </w:pPr>
      <w:r>
        <w:rPr>
          <w:color w:val="8A9AB2"/>
          <w:spacing w:val="0"/>
          <w:w w:val="100"/>
          <w:position w:val="0"/>
          <w:sz w:val="14"/>
          <w:szCs w:val="14"/>
          <w:shd w:val="clear" w:color="auto" w:fill="auto"/>
          <w:lang w:val="pt-PT" w:eastAsia="pt-PT" w:bidi="pt-PT"/>
        </w:rPr>
        <w:t>Prevenção</w:t>
      </w:r>
    </w:p>
    <w:p>
      <w:pPr>
        <w:pStyle w:val="Style13"/>
        <w:keepNext w:val="0"/>
        <w:keepLines w:val="0"/>
        <w:widowControl w:val="0"/>
        <w:shd w:val="clear" w:color="auto" w:fill="auto"/>
        <w:bidi w:val="0"/>
        <w:spacing w:before="100" w:line="269" w:lineRule="auto"/>
        <w:ind w:left="0" w:right="0" w:firstLine="740"/>
        <w:jc w:val="both"/>
      </w:pPr>
      <w:r>
        <w:rPr>
          <w:color w:val="000000"/>
          <w:spacing w:val="0"/>
          <w:w w:val="100"/>
          <w:position w:val="0"/>
          <w:shd w:val="clear" w:color="auto" w:fill="auto"/>
          <w:lang w:val="pt-PT" w:eastAsia="pt-PT" w:bidi="pt-PT"/>
        </w:rPr>
        <w:t>Esse fluxograma ilustra o ciclo completo de resposta a eventos de risco, iniciando com a prevenção contínua e evoluindo, se necessário, avançando para o processo de contingência formal. Esse processo assegura a rastreabilidade das decisões e a conformidade com os princípios de governança, transparência e prudência que regem os Regimes Próprios de Previdência Social (RPPS).</w:t>
      </w:r>
    </w:p>
    <w:p>
      <w:pPr>
        <w:pStyle w:val="Style13"/>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pt-PT" w:eastAsia="pt-PT" w:bidi="pt-PT"/>
        </w:rPr>
        <w:t xml:space="preserve">O Fundo de Previdência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hd w:val="clear" w:color="auto" w:fill="auto"/>
          <w:lang w:val="pt-PT" w:eastAsia="pt-PT" w:bidi="pt-PT"/>
        </w:rPr>
        <w:t xml:space="preserve">poderá adotar os procedimentos descritos neste Plano, visando readequar a carteira de investimentos à legislação vigente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desta Política, observando sempre os princípios de segurança, rentabilidade, liquidez e transparência.</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A seguir, exemplificam-se algumas situações de risco que podem ensejar a execução do plano e suas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ações:</w:t>
      </w:r>
    </w:p>
    <w:p>
      <w:pPr>
        <w:pStyle w:val="Style13"/>
        <w:keepNext w:val="0"/>
        <w:keepLines w:val="0"/>
        <w:widowControl w:val="0"/>
        <w:shd w:val="clear" w:color="auto" w:fill="auto"/>
        <w:bidi w:val="0"/>
        <w:spacing w:before="0" w:line="269" w:lineRule="auto"/>
        <w:ind w:left="0" w:right="0" w:firstLine="740"/>
        <w:jc w:val="both"/>
      </w:pPr>
      <w:r>
        <w:rPr>
          <w:b/>
          <w:bCs/>
          <w:i/>
          <w:iCs/>
          <w:color w:val="000000"/>
          <w:spacing w:val="0"/>
          <w:w w:val="100"/>
          <w:position w:val="0"/>
          <w:shd w:val="clear" w:color="auto" w:fill="auto"/>
          <w:lang w:val="pt-PT" w:eastAsia="pt-PT" w:bidi="pt-PT"/>
        </w:rPr>
        <w:t xml:space="preserve">Descumprimento dos limites e requisitos da legislação vigente ou da Política de </w:t>
      </w:r>
      <w:r>
        <w:rPr>
          <w:b/>
          <w:bCs/>
          <w:i/>
          <w:iCs/>
          <w:color w:val="000000"/>
          <w:spacing w:val="0"/>
          <w:w w:val="100"/>
          <w:position w:val="0"/>
          <w:shd w:val="clear" w:color="auto" w:fill="auto"/>
          <w:lang w:val="pt-BR" w:eastAsia="pt-BR" w:bidi="pt-BR"/>
        </w:rPr>
        <w:t>Investimentos:</w:t>
      </w:r>
    </w:p>
    <w:p>
      <w:pPr>
        <w:pStyle w:val="Style13"/>
        <w:keepNext w:val="0"/>
        <w:keepLines w:val="0"/>
        <w:widowControl w:val="0"/>
        <w:shd w:val="clear" w:color="auto" w:fill="auto"/>
        <w:bidi w:val="0"/>
        <w:spacing w:before="0" w:line="240" w:lineRule="auto"/>
        <w:ind w:left="0" w:right="0" w:firstLine="0"/>
        <w:jc w:val="left"/>
      </w:pPr>
      <w:r>
        <w:rPr>
          <w:color w:val="000000"/>
          <w:spacing w:val="0"/>
          <w:w w:val="100"/>
          <w:position w:val="0"/>
          <w:u w:val="single"/>
          <w:shd w:val="clear" w:color="auto" w:fill="auto"/>
          <w:lang w:val="pt-PT" w:eastAsia="pt-PT" w:bidi="pt-PT"/>
        </w:rPr>
        <w:t>Exemplo:</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Aplicação superior aos percentuais máximos previstos em algum segmento ou ativo (ex.: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de 20%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em um mesmo fundo de investimento).</w:t>
      </w:r>
    </w:p>
    <w:p>
      <w:pPr>
        <w:pStyle w:val="Style13"/>
        <w:keepNext w:val="0"/>
        <w:keepLines w:val="0"/>
        <w:widowControl w:val="0"/>
        <w:shd w:val="clear" w:color="auto" w:fill="auto"/>
        <w:bidi w:val="0"/>
        <w:spacing w:before="0" w:line="269" w:lineRule="auto"/>
        <w:ind w:left="0" w:right="0" w:firstLine="0"/>
        <w:jc w:val="left"/>
      </w:pPr>
      <w:r>
        <w:rPr>
          <w:color w:val="000000"/>
          <w:spacing w:val="0"/>
          <w:w w:val="100"/>
          <w:position w:val="0"/>
          <w:u w:val="single"/>
          <w:shd w:val="clear" w:color="auto" w:fill="auto"/>
          <w:lang w:val="pt-PT" w:eastAsia="pt-PT" w:bidi="pt-PT"/>
        </w:rPr>
        <w:t>Ação de Contingência:</w:t>
      </w:r>
    </w:p>
    <w:p>
      <w:pPr>
        <w:widowControl w:val="0"/>
        <w:spacing w:line="1" w:lineRule="exact"/>
      </w:pPr>
      <w:r>
        <w:drawing>
          <wp:anchor distT="152400" distB="0" distL="0" distR="0" simplePos="0" relativeHeight="125829457" behindDoc="0" locked="0" layoutInCell="1" allowOverlap="1">
            <wp:simplePos x="0" y="0"/>
            <wp:positionH relativeFrom="page">
              <wp:posOffset>6054090</wp:posOffset>
            </wp:positionH>
            <wp:positionV relativeFrom="paragraph">
              <wp:posOffset>152400</wp:posOffset>
            </wp:positionV>
            <wp:extent cx="542290" cy="267970"/>
            <wp:wrapTopAndBottom/>
            <wp:docPr id="206" name="Shape 206"/>
            <a:graphic xmlns:a="http://schemas.openxmlformats.org/drawingml/2006/main">
              <a:graphicData uri="http://schemas.openxmlformats.org/drawingml/2006/picture">
                <pic:pic xmlns:pic="http://schemas.openxmlformats.org/drawingml/2006/picture">
                  <pic:nvPicPr>
                    <pic:cNvPr id="207" name="Picture box 207"/>
                    <pic:cNvPicPr/>
                  </pic:nvPicPr>
                  <pic:blipFill>
                    <a:blip r:embed="rId104"/>
                    <a:stretch/>
                  </pic:blipFill>
                  <pic:spPr>
                    <a:xfrm>
                      <a:ext cx="542290" cy="267970"/>
                    </a:xfrm>
                    <a:prstGeom prst="rect"/>
                  </pic:spPr>
                </pic:pic>
              </a:graphicData>
            </a:graphic>
          </wp:anchor>
        </w:drawing>
      </w:r>
      <w:r>
        <w:br w:type="page"/>
      </w:r>
    </w:p>
    <w:p>
      <w:pPr>
        <w:pStyle w:val="Style13"/>
        <w:keepNext w:val="0"/>
        <w:keepLines w:val="0"/>
        <w:widowControl w:val="0"/>
        <w:shd w:val="clear" w:color="auto" w:fill="auto"/>
        <w:bidi w:val="0"/>
        <w:spacing w:before="0" w:line="264" w:lineRule="auto"/>
        <w:ind w:left="0" w:right="0" w:firstLine="740"/>
        <w:jc w:val="both"/>
      </w:pPr>
      <w:r>
        <w:rPr>
          <w:color w:val="000000"/>
          <w:spacing w:val="0"/>
          <w:w w:val="100"/>
          <w:position w:val="0"/>
          <w:shd w:val="clear" w:color="auto" w:fill="auto"/>
          <w:lang w:val="pt-PT" w:eastAsia="pt-PT" w:bidi="pt-PT"/>
        </w:rPr>
        <w:t xml:space="preserve">Será efetuada a regularização imediatamente após a identificação do descumprimento, mediante movimentação de recursos e reenquadramento das posições, observando os itens "Aspectos Legais", "Estratégias de </w:t>
      </w:r>
      <w:r>
        <w:rPr>
          <w:color w:val="000000"/>
          <w:spacing w:val="0"/>
          <w:w w:val="100"/>
          <w:position w:val="0"/>
          <w:shd w:val="clear" w:color="auto" w:fill="auto"/>
          <w:lang w:val="pt-BR" w:eastAsia="pt-BR" w:bidi="pt-BR"/>
        </w:rPr>
        <w:t xml:space="preserve">Investimentos" </w:t>
      </w:r>
      <w:r>
        <w:rPr>
          <w:color w:val="000000"/>
          <w:spacing w:val="0"/>
          <w:w w:val="100"/>
          <w:position w:val="0"/>
          <w:shd w:val="clear" w:color="auto" w:fill="auto"/>
          <w:lang w:val="pt-PT" w:eastAsia="pt-PT" w:bidi="pt-PT"/>
        </w:rPr>
        <w:t>e "Vedações" desta Política.</w:t>
      </w:r>
    </w:p>
    <w:p>
      <w:pPr>
        <w:pStyle w:val="Style13"/>
        <w:keepNext w:val="0"/>
        <w:keepLines w:val="0"/>
        <w:widowControl w:val="0"/>
        <w:shd w:val="clear" w:color="auto" w:fill="auto"/>
        <w:bidi w:val="0"/>
        <w:spacing w:before="0" w:after="80" w:line="276" w:lineRule="auto"/>
        <w:ind w:left="0" w:right="0" w:firstLine="740"/>
        <w:jc w:val="both"/>
      </w:pPr>
      <w:r>
        <w:rPr>
          <w:color w:val="000000"/>
          <w:spacing w:val="0"/>
          <w:w w:val="100"/>
          <w:position w:val="0"/>
          <w:shd w:val="clear" w:color="auto" w:fill="auto"/>
          <w:lang w:val="pt-PT" w:eastAsia="pt-PT" w:bidi="pt-PT"/>
        </w:rPr>
        <w:t xml:space="preserve">O objetivo é evitar </w:t>
      </w:r>
      <w:r>
        <w:rPr>
          <w:color w:val="000000"/>
          <w:spacing w:val="0"/>
          <w:w w:val="100"/>
          <w:position w:val="0"/>
          <w:shd w:val="clear" w:color="auto" w:fill="auto"/>
          <w:lang w:val="pt-BR" w:eastAsia="pt-BR" w:bidi="pt-BR"/>
        </w:rPr>
        <w:t xml:space="preserve">perdas </w:t>
      </w:r>
      <w:r>
        <w:rPr>
          <w:color w:val="000000"/>
          <w:spacing w:val="0"/>
          <w:w w:val="100"/>
          <w:position w:val="0"/>
          <w:shd w:val="clear" w:color="auto" w:fill="auto"/>
          <w:lang w:val="pt-PT" w:eastAsia="pt-PT" w:bidi="pt-PT"/>
        </w:rPr>
        <w:t>de rentabilidade ou exposição desnecessária a qualquer tipo de risco.</w:t>
      </w:r>
    </w:p>
    <w:p>
      <w:pPr>
        <w:pStyle w:val="Style13"/>
        <w:keepNext w:val="0"/>
        <w:keepLines w:val="0"/>
        <w:widowControl w:val="0"/>
        <w:shd w:val="clear" w:color="auto" w:fill="auto"/>
        <w:bidi w:val="0"/>
        <w:spacing w:before="0" w:line="276" w:lineRule="auto"/>
        <w:ind w:left="0" w:right="0" w:firstLine="740"/>
        <w:jc w:val="both"/>
      </w:pPr>
      <w:r>
        <w:rPr>
          <w:b/>
          <w:bCs/>
          <w:i/>
          <w:iCs/>
          <w:color w:val="000000"/>
          <w:spacing w:val="0"/>
          <w:w w:val="100"/>
          <w:position w:val="0"/>
          <w:shd w:val="clear" w:color="auto" w:fill="auto"/>
          <w:lang w:val="pt-PT" w:eastAsia="pt-PT" w:bidi="pt-PT"/>
        </w:rPr>
        <w:t xml:space="preserve">Exposição Excessiva a Riscos de Mercado, Crédito ou </w:t>
      </w:r>
      <w:r>
        <w:rPr>
          <w:b/>
          <w:bCs/>
          <w:i/>
          <w:iCs/>
          <w:color w:val="000000"/>
          <w:spacing w:val="0"/>
          <w:w w:val="100"/>
          <w:position w:val="0"/>
          <w:shd w:val="clear" w:color="auto" w:fill="auto"/>
          <w:lang w:val="pt-BR" w:eastAsia="pt-BR" w:bidi="pt-BR"/>
        </w:rPr>
        <w:t>Liquidez-.</w:t>
      </w:r>
    </w:p>
    <w:p>
      <w:pPr>
        <w:pStyle w:val="Style13"/>
        <w:keepNext w:val="0"/>
        <w:keepLines w:val="0"/>
        <w:widowControl w:val="0"/>
        <w:shd w:val="clear" w:color="auto" w:fill="auto"/>
        <w:bidi w:val="0"/>
        <w:spacing w:before="0" w:after="80" w:line="276" w:lineRule="auto"/>
        <w:ind w:left="0" w:right="0" w:firstLine="0"/>
        <w:jc w:val="left"/>
      </w:pPr>
      <w:r>
        <w:rPr>
          <w:color w:val="000000"/>
          <w:spacing w:val="0"/>
          <w:w w:val="100"/>
          <w:position w:val="0"/>
          <w:u w:val="single"/>
          <w:shd w:val="clear" w:color="auto" w:fill="auto"/>
          <w:lang w:val="pt-PT" w:eastAsia="pt-PT" w:bidi="pt-PT"/>
        </w:rPr>
        <w:t>Exemplo:</w:t>
      </w:r>
    </w:p>
    <w:p>
      <w:pPr>
        <w:pStyle w:val="Style13"/>
        <w:keepNext w:val="0"/>
        <w:keepLines w:val="0"/>
        <w:widowControl w:val="0"/>
        <w:numPr>
          <w:ilvl w:val="0"/>
          <w:numId w:val="7"/>
        </w:numPr>
        <w:shd w:val="clear" w:color="auto" w:fill="auto"/>
        <w:tabs>
          <w:tab w:pos="350" w:val="left"/>
        </w:tabs>
        <w:bidi w:val="0"/>
        <w:spacing w:before="0" w:after="0" w:line="317" w:lineRule="auto"/>
        <w:ind w:left="460" w:right="0" w:hanging="460"/>
        <w:jc w:val="left"/>
      </w:pPr>
      <w:r>
        <w:rPr>
          <w:color w:val="000000"/>
          <w:spacing w:val="0"/>
          <w:w w:val="100"/>
          <w:position w:val="0"/>
          <w:shd w:val="clear" w:color="auto" w:fill="auto"/>
          <w:lang w:val="pt-PT" w:eastAsia="pt-PT" w:bidi="pt-PT"/>
        </w:rPr>
        <w:t>Aumento abrupto das taxas de juros que provoque queda significativa no valor dos títulos públicos da carteira;</w:t>
      </w:r>
    </w:p>
    <w:p>
      <w:pPr>
        <w:pStyle w:val="Style13"/>
        <w:keepNext w:val="0"/>
        <w:keepLines w:val="0"/>
        <w:widowControl w:val="0"/>
        <w:numPr>
          <w:ilvl w:val="0"/>
          <w:numId w:val="7"/>
        </w:numPr>
        <w:shd w:val="clear" w:color="auto" w:fill="auto"/>
        <w:tabs>
          <w:tab w:pos="350" w:val="left"/>
        </w:tabs>
        <w:bidi w:val="0"/>
        <w:spacing w:before="0" w:after="0" w:line="317" w:lineRule="auto"/>
        <w:ind w:left="460" w:right="0" w:hanging="460"/>
        <w:jc w:val="left"/>
      </w:pPr>
      <w:r>
        <w:rPr>
          <w:color w:val="000000"/>
          <w:spacing w:val="0"/>
          <w:w w:val="100"/>
          <w:position w:val="0"/>
          <w:shd w:val="clear" w:color="auto" w:fill="auto"/>
          <w:lang w:val="pt-PT" w:eastAsia="pt-PT" w:bidi="pt-PT"/>
        </w:rPr>
        <w:t>Degradação de rating de emissores de crédito privado;</w:t>
      </w:r>
    </w:p>
    <w:p>
      <w:pPr>
        <w:pStyle w:val="Style13"/>
        <w:keepNext w:val="0"/>
        <w:keepLines w:val="0"/>
        <w:widowControl w:val="0"/>
        <w:numPr>
          <w:ilvl w:val="0"/>
          <w:numId w:val="7"/>
        </w:numPr>
        <w:shd w:val="clear" w:color="auto" w:fill="auto"/>
        <w:tabs>
          <w:tab w:pos="350" w:val="left"/>
        </w:tabs>
        <w:bidi w:val="0"/>
        <w:spacing w:before="0" w:line="317" w:lineRule="auto"/>
        <w:ind w:left="460" w:right="0" w:hanging="460"/>
        <w:jc w:val="left"/>
      </w:pPr>
      <w:r>
        <w:rPr>
          <w:color w:val="000000"/>
          <w:spacing w:val="0"/>
          <w:w w:val="100"/>
          <w:position w:val="0"/>
          <w:shd w:val="clear" w:color="auto" w:fill="auto"/>
          <w:lang w:val="pt-PT" w:eastAsia="pt-PT" w:bidi="pt-PT"/>
        </w:rPr>
        <w:t>Dificuldade de resgate em fundos de baixa liquidez.</w:t>
      </w:r>
    </w:p>
    <w:p>
      <w:pPr>
        <w:pStyle w:val="Style13"/>
        <w:keepNext w:val="0"/>
        <w:keepLines w:val="0"/>
        <w:widowControl w:val="0"/>
        <w:shd w:val="clear" w:color="auto" w:fill="auto"/>
        <w:bidi w:val="0"/>
        <w:spacing w:before="0" w:after="80" w:line="276" w:lineRule="auto"/>
        <w:ind w:left="0" w:right="0" w:firstLine="0"/>
        <w:jc w:val="left"/>
      </w:pPr>
      <w:r>
        <w:rPr>
          <w:color w:val="000000"/>
          <w:spacing w:val="0"/>
          <w:w w:val="100"/>
          <w:position w:val="0"/>
          <w:u w:val="single"/>
          <w:shd w:val="clear" w:color="auto" w:fill="auto"/>
          <w:lang w:val="pt-PT" w:eastAsia="pt-PT" w:bidi="pt-PT"/>
        </w:rPr>
        <w:t>Ação de Contingência:</w:t>
      </w:r>
    </w:p>
    <w:p>
      <w:pPr>
        <w:pStyle w:val="Style13"/>
        <w:keepNext w:val="0"/>
        <w:keepLines w:val="0"/>
        <w:widowControl w:val="0"/>
        <w:shd w:val="clear" w:color="auto" w:fill="auto"/>
        <w:bidi w:val="0"/>
        <w:spacing w:before="0" w:line="276" w:lineRule="auto"/>
        <w:ind w:left="0" w:right="0" w:firstLine="740"/>
        <w:jc w:val="both"/>
      </w:pPr>
      <w:r>
        <w:rPr>
          <w:color w:val="000000"/>
          <w:spacing w:val="0"/>
          <w:w w:val="100"/>
          <w:position w:val="0"/>
          <w:shd w:val="clear" w:color="auto" w:fill="auto"/>
          <w:lang w:val="pt-PT" w:eastAsia="pt-PT" w:bidi="pt-PT"/>
        </w:rPr>
        <w:t xml:space="preserve">Os responsáveis pela gestão dos recursos do RPPS deverão convocar reunião com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para análise detalhada da carteira e definição dos ajustes necessários, podendo incluir:</w:t>
      </w:r>
    </w:p>
    <w:p>
      <w:pPr>
        <w:pStyle w:val="Style13"/>
        <w:keepNext w:val="0"/>
        <w:keepLines w:val="0"/>
        <w:widowControl w:val="0"/>
        <w:numPr>
          <w:ilvl w:val="0"/>
          <w:numId w:val="7"/>
        </w:numPr>
        <w:shd w:val="clear" w:color="auto" w:fill="auto"/>
        <w:tabs>
          <w:tab w:pos="350" w:val="left"/>
        </w:tabs>
        <w:bidi w:val="0"/>
        <w:spacing w:before="0" w:after="0" w:line="276" w:lineRule="auto"/>
        <w:ind w:left="460" w:right="0" w:hanging="460"/>
        <w:jc w:val="left"/>
      </w:pPr>
      <w:r>
        <w:rPr>
          <w:color w:val="000000"/>
          <w:spacing w:val="0"/>
          <w:w w:val="100"/>
          <w:position w:val="0"/>
          <w:shd w:val="clear" w:color="auto" w:fill="auto"/>
          <w:lang w:val="pt-PT" w:eastAsia="pt-PT" w:bidi="pt-PT"/>
        </w:rPr>
        <w:t>Redução da exposição em ativos afetados;</w:t>
      </w:r>
    </w:p>
    <w:p>
      <w:pPr>
        <w:pStyle w:val="Style13"/>
        <w:keepNext w:val="0"/>
        <w:keepLines w:val="0"/>
        <w:widowControl w:val="0"/>
        <w:shd w:val="clear" w:color="auto" w:fill="auto"/>
        <w:bidi w:val="0"/>
        <w:spacing w:before="0" w:after="0" w:line="276" w:lineRule="auto"/>
        <w:ind w:left="460" w:right="0" w:firstLine="0"/>
        <w:jc w:val="left"/>
      </w:pPr>
      <w:r>
        <w:rPr>
          <w:color w:val="000000"/>
          <w:spacing w:val="0"/>
          <w:w w:val="100"/>
          <w:position w:val="0"/>
          <w:shd w:val="clear" w:color="auto" w:fill="auto"/>
          <w:lang w:val="pt-PT" w:eastAsia="pt-PT" w:bidi="pt-PT"/>
        </w:rPr>
        <w:t>Rebalanceamento entre segmentos;</w:t>
      </w:r>
    </w:p>
    <w:p>
      <w:pPr>
        <w:pStyle w:val="Style13"/>
        <w:keepNext w:val="0"/>
        <w:keepLines w:val="0"/>
        <w:widowControl w:val="0"/>
        <w:numPr>
          <w:ilvl w:val="0"/>
          <w:numId w:val="7"/>
        </w:numPr>
        <w:shd w:val="clear" w:color="auto" w:fill="auto"/>
        <w:tabs>
          <w:tab w:pos="350" w:val="left"/>
        </w:tabs>
        <w:bidi w:val="0"/>
        <w:spacing w:before="0" w:line="276" w:lineRule="auto"/>
        <w:ind w:left="460" w:right="0" w:hanging="460"/>
        <w:jc w:val="left"/>
      </w:pPr>
      <w:r>
        <w:rPr>
          <w:color w:val="000000"/>
          <w:spacing w:val="0"/>
          <w:w w:val="100"/>
          <w:position w:val="0"/>
          <w:shd w:val="clear" w:color="auto" w:fill="auto"/>
          <w:lang w:val="pt-PT" w:eastAsia="pt-PT" w:bidi="pt-PT"/>
        </w:rPr>
        <w:t>Migração parcial para ativos de maior liquidez e menor risco..</w:t>
      </w:r>
    </w:p>
    <w:p>
      <w:pPr>
        <w:pStyle w:val="Style13"/>
        <w:keepNext w:val="0"/>
        <w:keepLines w:val="0"/>
        <w:widowControl w:val="0"/>
        <w:shd w:val="clear" w:color="auto" w:fill="auto"/>
        <w:bidi w:val="0"/>
        <w:spacing w:before="0" w:after="0" w:line="410" w:lineRule="auto"/>
        <w:ind w:left="0" w:right="0" w:firstLine="740"/>
        <w:jc w:val="both"/>
      </w:pPr>
      <w:r>
        <w:rPr>
          <w:b/>
          <w:bCs/>
          <w:i/>
          <w:iCs/>
          <w:color w:val="000000"/>
          <w:spacing w:val="0"/>
          <w:w w:val="100"/>
          <w:position w:val="0"/>
          <w:shd w:val="clear" w:color="auto" w:fill="auto"/>
          <w:lang w:val="pt-PT" w:eastAsia="pt-PT" w:bidi="pt-PT"/>
        </w:rPr>
        <w:t xml:space="preserve">Ultrapassagem dos Limites de Risco (VaR e/ou Volatilidade - aceite de risco)-. </w:t>
      </w:r>
      <w:r>
        <w:rPr>
          <w:color w:val="000000"/>
          <w:spacing w:val="0"/>
          <w:w w:val="100"/>
          <w:position w:val="0"/>
          <w:shd w:val="clear" w:color="auto" w:fill="auto"/>
          <w:lang w:val="pt-PT" w:eastAsia="pt-PT" w:bidi="pt-PT"/>
        </w:rPr>
        <w:t>Exemplo:</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O relatório de risco mensal ou trimestral indicar VaR acima do limite de 4% para renda fixa ou 20% para renda variável, conforme parâmetro de aceite de risco definido pela Política.</w:t>
      </w:r>
    </w:p>
    <w:p>
      <w:pPr>
        <w:pStyle w:val="Style13"/>
        <w:keepNext w:val="0"/>
        <w:keepLines w:val="0"/>
        <w:widowControl w:val="0"/>
        <w:shd w:val="clear" w:color="auto" w:fill="auto"/>
        <w:bidi w:val="0"/>
        <w:spacing w:before="0" w:after="80" w:line="276" w:lineRule="auto"/>
        <w:ind w:left="0" w:right="0" w:firstLine="0"/>
        <w:jc w:val="left"/>
      </w:pPr>
      <w:r>
        <w:rPr>
          <w:color w:val="000000"/>
          <w:spacing w:val="0"/>
          <w:w w:val="100"/>
          <w:position w:val="0"/>
          <w:u w:val="single"/>
          <w:shd w:val="clear" w:color="auto" w:fill="auto"/>
          <w:lang w:val="pt-PT" w:eastAsia="pt-PT" w:bidi="pt-PT"/>
        </w:rPr>
        <w:t>Ação de Contingência:</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O Gestor de Recursos do RPPS deverá convocar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em até 10 dias úteis da divulgação do relatório, para deliberar sobre as medidas corretivas necessárias ao restabelecimento dos limites de risco.</w:t>
      </w:r>
    </w:p>
    <w:p>
      <w:pPr>
        <w:pStyle w:val="Style13"/>
        <w:keepNext w:val="0"/>
        <w:keepLines w:val="0"/>
        <w:widowControl w:val="0"/>
        <w:shd w:val="clear" w:color="auto" w:fill="auto"/>
        <w:bidi w:val="0"/>
        <w:spacing w:before="0" w:after="80" w:line="276" w:lineRule="auto"/>
        <w:ind w:left="0" w:right="0" w:firstLine="740"/>
        <w:jc w:val="both"/>
      </w:pPr>
      <w:r>
        <w:rPr>
          <w:color w:val="000000"/>
          <w:spacing w:val="0"/>
          <w:w w:val="100"/>
          <w:position w:val="0"/>
          <w:shd w:val="clear" w:color="auto" w:fill="auto"/>
          <w:lang w:val="pt-PT" w:eastAsia="pt-PT" w:bidi="pt-PT"/>
        </w:rPr>
        <w:t>As deliberações devem ser formalizadas em ata e monitoradas até a completa normalização.</w:t>
      </w:r>
    </w:p>
    <w:p>
      <w:pPr>
        <w:pStyle w:val="Style13"/>
        <w:keepNext w:val="0"/>
        <w:keepLines w:val="0"/>
        <w:widowControl w:val="0"/>
        <w:shd w:val="clear" w:color="auto" w:fill="auto"/>
        <w:bidi w:val="0"/>
        <w:spacing w:before="0" w:line="276" w:lineRule="auto"/>
        <w:ind w:left="0" w:right="0" w:firstLine="740"/>
        <w:jc w:val="both"/>
      </w:pPr>
      <w:r>
        <w:rPr>
          <w:b/>
          <w:bCs/>
          <w:i/>
          <w:iCs/>
          <w:color w:val="000000"/>
          <w:spacing w:val="0"/>
          <w:w w:val="100"/>
          <w:position w:val="0"/>
          <w:shd w:val="clear" w:color="auto" w:fill="auto"/>
          <w:lang w:val="pt-PT" w:eastAsia="pt-PT" w:bidi="pt-PT"/>
        </w:rPr>
        <w:t>Contingências Não Previstas</w:t>
      </w:r>
    </w:p>
    <w:p>
      <w:pPr>
        <w:pStyle w:val="Style13"/>
        <w:keepNext w:val="0"/>
        <w:keepLines w:val="0"/>
        <w:widowControl w:val="0"/>
        <w:shd w:val="clear" w:color="auto" w:fill="auto"/>
        <w:bidi w:val="0"/>
        <w:spacing w:before="0" w:line="276" w:lineRule="auto"/>
        <w:ind w:left="0" w:right="0" w:firstLine="0"/>
        <w:jc w:val="left"/>
      </w:pPr>
      <w:r>
        <w:rPr>
          <w:color w:val="000000"/>
          <w:spacing w:val="0"/>
          <w:w w:val="100"/>
          <w:position w:val="0"/>
          <w:u w:val="single"/>
          <w:shd w:val="clear" w:color="auto" w:fill="auto"/>
          <w:lang w:val="pt-PT" w:eastAsia="pt-PT" w:bidi="pt-PT"/>
        </w:rPr>
        <w:t>Exemplo:</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Eventos extraordinários, como crises </w:t>
      </w:r>
      <w:r>
        <w:rPr>
          <w:color w:val="000000"/>
          <w:spacing w:val="0"/>
          <w:w w:val="100"/>
          <w:position w:val="0"/>
          <w:shd w:val="clear" w:color="auto" w:fill="auto"/>
          <w:lang w:val="pt-BR" w:eastAsia="pt-BR" w:bidi="pt-BR"/>
        </w:rPr>
        <w:t xml:space="preserve">sistêmicas, </w:t>
      </w:r>
      <w:r>
        <w:rPr>
          <w:color w:val="000000"/>
          <w:spacing w:val="0"/>
          <w:w w:val="100"/>
          <w:position w:val="0"/>
          <w:shd w:val="clear" w:color="auto" w:fill="auto"/>
          <w:lang w:val="pt-PT" w:eastAsia="pt-PT" w:bidi="pt-PT"/>
        </w:rPr>
        <w:t xml:space="preserve">alterações bruscas na política monetária, mudanças legais com impacto imediato sobre limites de investimento, ou situações </w:t>
      </w:r>
      <w:r>
        <w:rPr>
          <w:color w:val="000000"/>
          <w:spacing w:val="0"/>
          <w:w w:val="100"/>
          <w:position w:val="0"/>
          <w:shd w:val="clear" w:color="auto" w:fill="auto"/>
          <w:lang w:val="pt-BR" w:eastAsia="pt-BR" w:bidi="pt-BR"/>
        </w:rPr>
        <w:t xml:space="preserve">excepcionais </w:t>
      </w:r>
      <w:r>
        <w:rPr>
          <w:color w:val="000000"/>
          <w:spacing w:val="0"/>
          <w:w w:val="100"/>
          <w:position w:val="0"/>
          <w:shd w:val="clear" w:color="auto" w:fill="auto"/>
          <w:lang w:val="pt-PT" w:eastAsia="pt-PT" w:bidi="pt-PT"/>
        </w:rPr>
        <w:t>de mercado.</w:t>
      </w:r>
    </w:p>
    <w:p>
      <w:pPr>
        <w:pStyle w:val="Style13"/>
        <w:keepNext w:val="0"/>
        <w:keepLines w:val="0"/>
        <w:widowControl w:val="0"/>
        <w:shd w:val="clear" w:color="auto" w:fill="auto"/>
        <w:bidi w:val="0"/>
        <w:spacing w:before="0" w:after="80" w:line="276" w:lineRule="auto"/>
        <w:ind w:left="0" w:right="0" w:firstLine="0"/>
        <w:jc w:val="left"/>
      </w:pPr>
      <w:r>
        <w:rPr>
          <w:color w:val="000000"/>
          <w:spacing w:val="0"/>
          <w:w w:val="100"/>
          <w:position w:val="0"/>
          <w:u w:val="single"/>
          <w:shd w:val="clear" w:color="auto" w:fill="auto"/>
          <w:lang w:val="pt-PT" w:eastAsia="pt-PT" w:bidi="pt-PT"/>
        </w:rPr>
        <w:t>Ação de Contingência:</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Essas situações deverão ser tratadas conjuntamente pelos gestores e órgãos colegiados, mediante deliberação extraordinária.</w:t>
      </w:r>
    </w:p>
    <w:p>
      <w:pPr>
        <w:pStyle w:val="Style13"/>
        <w:keepNext w:val="0"/>
        <w:keepLines w:val="0"/>
        <w:widowControl w:val="0"/>
        <w:shd w:val="clear" w:color="auto" w:fill="auto"/>
        <w:bidi w:val="0"/>
        <w:spacing w:before="0" w:after="80" w:line="276" w:lineRule="auto"/>
        <w:ind w:left="0" w:right="0" w:firstLine="740"/>
        <w:jc w:val="both"/>
      </w:pPr>
      <w:r>
        <w:rPr>
          <w:color w:val="000000"/>
          <w:spacing w:val="0"/>
          <w:w w:val="100"/>
          <w:position w:val="0"/>
          <w:shd w:val="clear" w:color="auto" w:fill="auto"/>
          <w:lang w:val="pt-PT" w:eastAsia="pt-PT" w:bidi="pt-PT"/>
        </w:rPr>
        <w:t>O objetivo é garantir decisões tempestivas e prudentes, considerando o contexto de risco e a sustentabilidade atuarial do RPPS.</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As contingências refletem fatos potenciais capazes de afetar 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do RPPS e dependem da ocorrência de diversos fatores internos e externos.</w:t>
      </w:r>
    </w:p>
    <w:p>
      <w:pPr>
        <w:pStyle w:val="Style13"/>
        <w:keepNext w:val="0"/>
        <w:keepLines w:val="0"/>
        <w:widowControl w:val="0"/>
        <w:shd w:val="clear" w:color="auto" w:fill="auto"/>
        <w:bidi w:val="0"/>
        <w:spacing w:before="0" w:line="269" w:lineRule="auto"/>
        <w:ind w:left="0" w:right="0" w:firstLine="740"/>
        <w:jc w:val="both"/>
      </w:pPr>
      <w:r>
        <w:drawing>
          <wp:anchor distT="0" distB="0" distL="12700" distR="12700" simplePos="0" relativeHeight="125829458" behindDoc="0" locked="0" layoutInCell="1" allowOverlap="1">
            <wp:simplePos x="0" y="0"/>
            <wp:positionH relativeFrom="page">
              <wp:posOffset>6618605</wp:posOffset>
            </wp:positionH>
            <wp:positionV relativeFrom="margin">
              <wp:posOffset>8069580</wp:posOffset>
            </wp:positionV>
            <wp:extent cx="713105" cy="670560"/>
            <wp:wrapSquare wrapText="bothSides"/>
            <wp:docPr id="208" name="Shape 208"/>
            <a:graphic xmlns:a="http://schemas.openxmlformats.org/drawingml/2006/main">
              <a:graphicData uri="http://schemas.openxmlformats.org/drawingml/2006/picture">
                <pic:pic xmlns:pic="http://schemas.openxmlformats.org/drawingml/2006/picture">
                  <pic:nvPicPr>
                    <pic:cNvPr id="209" name="Picture box 209"/>
                    <pic:cNvPicPr/>
                  </pic:nvPicPr>
                  <pic:blipFill>
                    <a:blip r:embed="rId106"/>
                    <a:stretch/>
                  </pic:blipFill>
                  <pic:spPr>
                    <a:xfrm>
                      <a:ext cx="713105" cy="670560"/>
                    </a:xfrm>
                    <a:prstGeom prst="rect"/>
                  </pic:spPr>
                </pic:pic>
              </a:graphicData>
            </a:graphic>
          </wp:anchor>
        </w:drawing>
      </w:r>
      <w:r>
        <w:drawing>
          <wp:anchor distT="63500" distB="0" distL="114300" distR="114300" simplePos="0" relativeHeight="125829459" behindDoc="0" locked="0" layoutInCell="1" allowOverlap="1">
            <wp:simplePos x="0" y="0"/>
            <wp:positionH relativeFrom="page">
              <wp:posOffset>6152515</wp:posOffset>
            </wp:positionH>
            <wp:positionV relativeFrom="margin">
              <wp:posOffset>8750935</wp:posOffset>
            </wp:positionV>
            <wp:extent cx="579120" cy="267970"/>
            <wp:wrapTopAndBottom/>
            <wp:docPr id="210" name="Shape 210"/>
            <a:graphic xmlns:a="http://schemas.openxmlformats.org/drawingml/2006/main">
              <a:graphicData uri="http://schemas.openxmlformats.org/drawingml/2006/picture">
                <pic:pic xmlns:pic="http://schemas.openxmlformats.org/drawingml/2006/picture">
                  <pic:nvPicPr>
                    <pic:cNvPr id="211" name="Picture box 211"/>
                    <pic:cNvPicPr/>
                  </pic:nvPicPr>
                  <pic:blipFill>
                    <a:blip r:embed="rId108"/>
                    <a:stretch/>
                  </pic:blipFill>
                  <pic:spPr>
                    <a:xfrm>
                      <a:ext cx="579120" cy="267970"/>
                    </a:xfrm>
                    <a:prstGeom prst="rect"/>
                  </pic:spPr>
                </pic:pic>
              </a:graphicData>
            </a:graphic>
          </wp:anchor>
        </w:drawing>
      </w:r>
      <w:r>
        <w:rPr>
          <w:color w:val="000000"/>
          <w:spacing w:val="0"/>
          <w:w w:val="100"/>
          <w:position w:val="0"/>
          <w:shd w:val="clear" w:color="auto" w:fill="auto"/>
          <w:lang w:val="pt-PT" w:eastAsia="pt-PT" w:bidi="pt-PT"/>
        </w:rPr>
        <w:t>O modelo de plano adotado contempla a possibilidade de resposta a essas situações com base na conjuntura atual e na análise histórica do comportamento da carteira.</w:t>
      </w:r>
      <w:r>
        <w:br w:type="page"/>
      </w:r>
    </w:p>
    <w:p>
      <w:pPr>
        <w:pStyle w:val="Style13"/>
        <w:keepNext w:val="0"/>
        <w:keepLines w:val="0"/>
        <w:widowControl w:val="0"/>
        <w:shd w:val="clear" w:color="auto" w:fill="auto"/>
        <w:bidi w:val="0"/>
        <w:spacing w:before="0" w:after="3960" w:line="276" w:lineRule="auto"/>
        <w:ind w:left="0" w:right="0" w:firstLine="740"/>
        <w:jc w:val="both"/>
      </w:pPr>
      <w:r>
        <w:rPr>
          <w:color w:val="000000"/>
          <w:spacing w:val="0"/>
          <w:w w:val="100"/>
          <w:position w:val="0"/>
          <w:shd w:val="clear" w:color="auto" w:fill="auto"/>
          <w:lang w:val="pt-PT" w:eastAsia="pt-PT" w:bidi="pt-PT"/>
        </w:rPr>
        <w:t>Situações imprevistas ou não contempladas deverão ser tratadas em conjunto pelos gestores, observando os princípios da prudência, governança, transparência e responsabilidade na gestão previdenciária.</w:t>
      </w:r>
    </w:p>
    <w:p>
      <w:pPr>
        <w:pStyle w:val="Style13"/>
        <w:keepNext w:val="0"/>
        <w:keepLines w:val="0"/>
        <w:widowControl w:val="0"/>
        <w:shd w:val="clear" w:color="auto" w:fill="auto"/>
        <w:bidi w:val="0"/>
        <w:spacing w:before="0" w:after="560" w:line="240" w:lineRule="auto"/>
        <w:ind w:left="0" w:right="0" w:firstLine="0"/>
        <w:jc w:val="right"/>
        <w:rPr>
          <w:sz w:val="20"/>
          <w:szCs w:val="20"/>
        </w:rPr>
      </w:pPr>
      <w:r>
        <w:rPr>
          <w:b/>
          <w:bCs/>
          <w:color w:val="4E6896"/>
          <w:spacing w:val="0"/>
          <w:w w:val="100"/>
          <w:position w:val="0"/>
          <w:sz w:val="20"/>
          <w:szCs w:val="20"/>
          <w:shd w:val="clear" w:color="auto" w:fill="auto"/>
          <w:lang w:val="pt-PT" w:eastAsia="pt-PT" w:bidi="pt-PT"/>
        </w:rPr>
        <w:t xml:space="preserve">&gt;DIRETRIZES PARA </w:t>
      </w:r>
      <w:r>
        <w:rPr>
          <w:b/>
          <w:bCs/>
          <w:color w:val="4E6896"/>
          <w:spacing w:val="0"/>
          <w:w w:val="100"/>
          <w:position w:val="0"/>
          <w:sz w:val="20"/>
          <w:szCs w:val="20"/>
          <w:shd w:val="clear" w:color="auto" w:fill="auto"/>
          <w:lang w:val="pt-BR" w:eastAsia="pt-BR" w:bidi="pt-BR"/>
        </w:rPr>
        <w:t xml:space="preserve">ALOCAÇÃO </w:t>
      </w:r>
      <w:r>
        <w:rPr>
          <w:b/>
          <w:bCs/>
          <w:color w:val="4E6896"/>
          <w:spacing w:val="0"/>
          <w:w w:val="100"/>
          <w:position w:val="0"/>
          <w:sz w:val="20"/>
          <w:szCs w:val="20"/>
          <w:shd w:val="clear" w:color="auto" w:fill="auto"/>
          <w:lang w:val="pt-PT" w:eastAsia="pt-PT" w:bidi="pt-PT"/>
        </w:rPr>
        <w:t>DOS RECURSOS</w:t>
      </w:r>
    </w:p>
    <w:p>
      <w:pPr>
        <w:pStyle w:val="Style16"/>
        <w:keepNext/>
        <w:keepLines/>
        <w:widowControl w:val="0"/>
        <w:shd w:val="clear" w:color="auto" w:fill="auto"/>
        <w:bidi w:val="0"/>
        <w:spacing w:before="0" w:after="160" w:line="240" w:lineRule="auto"/>
        <w:ind w:left="0" w:right="0" w:firstLine="0"/>
        <w:jc w:val="both"/>
      </w:pPr>
      <w:r>
        <w:drawing>
          <wp:anchor distT="0" distB="0" distL="12700" distR="12700" simplePos="0" relativeHeight="125829460" behindDoc="0" locked="0" layoutInCell="1" allowOverlap="1">
            <wp:simplePos x="0" y="0"/>
            <wp:positionH relativeFrom="page">
              <wp:posOffset>4428490</wp:posOffset>
            </wp:positionH>
            <wp:positionV relativeFrom="margin">
              <wp:posOffset>2866390</wp:posOffset>
            </wp:positionV>
            <wp:extent cx="286385" cy="304800"/>
            <wp:wrapSquare wrapText="left"/>
            <wp:docPr id="212" name="Shape 212"/>
            <a:graphic xmlns:a="http://schemas.openxmlformats.org/drawingml/2006/main">
              <a:graphicData uri="http://schemas.openxmlformats.org/drawingml/2006/picture">
                <pic:pic xmlns:pic="http://schemas.openxmlformats.org/drawingml/2006/picture">
                  <pic:nvPicPr>
                    <pic:cNvPr id="213" name="Picture box 213"/>
                    <pic:cNvPicPr/>
                  </pic:nvPicPr>
                  <pic:blipFill>
                    <a:blip r:embed="rId110"/>
                    <a:stretch/>
                  </pic:blipFill>
                  <pic:spPr>
                    <a:xfrm>
                      <a:ext cx="286385" cy="304800"/>
                    </a:xfrm>
                    <a:prstGeom prst="rect"/>
                  </pic:spPr>
                </pic:pic>
              </a:graphicData>
            </a:graphic>
          </wp:anchor>
        </w:drawing>
      </w:r>
      <w:bookmarkStart w:id="21" w:name="bookmark21"/>
      <w:r>
        <w:rPr>
          <w:color w:val="000000"/>
          <w:spacing w:val="0"/>
          <w:w w:val="100"/>
          <w:position w:val="0"/>
          <w:shd w:val="clear" w:color="auto" w:fill="auto"/>
          <w:lang w:val="pt-PT" w:eastAsia="pt-PT" w:bidi="pt-PT"/>
        </w:rPr>
        <w:t>Das Diretrizes</w:t>
      </w:r>
      <w:bookmarkEnd w:id="21"/>
    </w:p>
    <w:p>
      <w:pPr>
        <w:pStyle w:val="Style13"/>
        <w:keepNext w:val="0"/>
        <w:keepLines w:val="0"/>
        <w:widowControl w:val="0"/>
        <w:shd w:val="clear" w:color="auto" w:fill="auto"/>
        <w:bidi w:val="0"/>
        <w:spacing w:before="0" w:line="264" w:lineRule="auto"/>
        <w:ind w:left="0" w:right="0" w:firstLine="740"/>
        <w:jc w:val="both"/>
      </w:pPr>
      <w:r>
        <w:rPr>
          <w:color w:val="000000"/>
          <w:spacing w:val="0"/>
          <w:w w:val="100"/>
          <w:position w:val="0"/>
          <w:shd w:val="clear" w:color="auto" w:fill="auto"/>
          <w:lang w:val="pt-PT" w:eastAsia="pt-PT" w:bidi="pt-PT"/>
        </w:rPr>
        <w:t xml:space="preserve">Os cenários de investimento foram traçados a partir das </w:t>
      </w:r>
      <w:r>
        <w:rPr>
          <w:color w:val="000000"/>
          <w:spacing w:val="0"/>
          <w:w w:val="100"/>
          <w:position w:val="0"/>
          <w:shd w:val="clear" w:color="auto" w:fill="auto"/>
          <w:lang w:val="pt-BR" w:eastAsia="pt-BR" w:bidi="pt-BR"/>
        </w:rPr>
        <w:t xml:space="preserve">perspectivas </w:t>
      </w:r>
      <w:r>
        <w:rPr>
          <w:color w:val="000000"/>
          <w:spacing w:val="0"/>
          <w:w w:val="100"/>
          <w:position w:val="0"/>
          <w:shd w:val="clear" w:color="auto" w:fill="auto"/>
          <w:lang w:val="pt-PT" w:eastAsia="pt-PT" w:bidi="pt-PT"/>
        </w:rPr>
        <w:t xml:space="preserve">para o quadro nacional e internacional, da análise do panorama político e da visão para a condução da política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 xml:space="preserve">e do comportamento das principais variáveis </w:t>
      </w:r>
      <w:r>
        <w:rPr>
          <w:color w:val="000000"/>
          <w:spacing w:val="0"/>
          <w:w w:val="100"/>
          <w:position w:val="0"/>
          <w:shd w:val="clear" w:color="auto" w:fill="auto"/>
          <w:lang w:val="pt-BR" w:eastAsia="pt-BR" w:bidi="pt-BR"/>
        </w:rPr>
        <w:t>econômicas.</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No modelo de gestão 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 xml:space="preserve">Regime Próprio de Previdência Social deverá promover boas práticas de mercado. Isso inclui elevados padrões éticos na condução das operações relativas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aplicações dos seus recursos, bem como, eficiência nos procedimentos técnicos, operacionais e de controle das aplicações.</w:t>
      </w:r>
    </w:p>
    <w:p>
      <w:pPr>
        <w:pStyle w:val="Style13"/>
        <w:keepNext w:val="0"/>
        <w:keepLines w:val="0"/>
        <w:widowControl w:val="0"/>
        <w:shd w:val="clear" w:color="auto" w:fill="auto"/>
        <w:bidi w:val="0"/>
        <w:spacing w:before="0" w:line="266" w:lineRule="auto"/>
        <w:ind w:left="0" w:right="0" w:firstLine="740"/>
        <w:jc w:val="both"/>
        <w:rPr>
          <w:sz w:val="18"/>
          <w:szCs w:val="18"/>
        </w:rPr>
      </w:pPr>
      <w:r>
        <w:rPr>
          <w:color w:val="000000"/>
          <w:spacing w:val="0"/>
          <w:w w:val="100"/>
          <w:position w:val="0"/>
          <w:sz w:val="19"/>
          <w:szCs w:val="19"/>
          <w:shd w:val="clear" w:color="auto" w:fill="auto"/>
          <w:lang w:val="pt-PT" w:eastAsia="pt-PT" w:bidi="pt-PT"/>
        </w:rPr>
        <w:t xml:space="preserve">Para atender estritamente à legislação, alguns procedimentos precisarão ser instituídos nos casos omissos e mantidos permanentemente. Dessa forma, o </w:t>
      </w:r>
      <w:r>
        <w:rPr>
          <w:color w:val="000000"/>
          <w:spacing w:val="0"/>
          <w:w w:val="100"/>
          <w:position w:val="0"/>
          <w:sz w:val="19"/>
          <w:szCs w:val="19"/>
          <w:shd w:val="clear" w:color="auto" w:fill="auto"/>
          <w:lang w:val="pt-BR" w:eastAsia="pt-BR" w:bidi="pt-BR"/>
        </w:rPr>
        <w:t xml:space="preserve">Comitê </w:t>
      </w:r>
      <w:r>
        <w:rPr>
          <w:color w:val="000000"/>
          <w:spacing w:val="0"/>
          <w:w w:val="100"/>
          <w:position w:val="0"/>
          <w:sz w:val="19"/>
          <w:szCs w:val="19"/>
          <w:shd w:val="clear" w:color="auto" w:fill="auto"/>
          <w:lang w:val="pt-PT" w:eastAsia="pt-PT" w:bidi="pt-PT"/>
        </w:rPr>
        <w:t xml:space="preserve">de Investimentos ou o órgão competente, com auxílio dos serviços especializados, deverá observar a OBRIGAÇÃO DE ELABORAR RELATÓRIOS DETALHADOS, no mínimo, trimestral mente, SOBRE A RENTABILIDADE e OS RISCOS das diversas modalidades de operações realizadas nas aplicações dos recursos do RPPS e a aderência à política anual de investimentos e suas revisões e </w:t>
      </w:r>
      <w:r>
        <w:rPr>
          <w:color w:val="000000"/>
          <w:spacing w:val="0"/>
          <w:w w:val="100"/>
          <w:position w:val="0"/>
          <w:sz w:val="19"/>
          <w:szCs w:val="19"/>
          <w:shd w:val="clear" w:color="auto" w:fill="auto"/>
          <w:lang w:val="pt-BR" w:eastAsia="pt-BR" w:bidi="pt-BR"/>
        </w:rPr>
        <w:t xml:space="preserve">submetendo-os às </w:t>
      </w:r>
      <w:r>
        <w:rPr>
          <w:color w:val="000000"/>
          <w:spacing w:val="0"/>
          <w:w w:val="100"/>
          <w:position w:val="0"/>
          <w:sz w:val="19"/>
          <w:szCs w:val="19"/>
          <w:shd w:val="clear" w:color="auto" w:fill="auto"/>
          <w:lang w:val="pt-PT" w:eastAsia="pt-PT" w:bidi="pt-PT"/>
        </w:rPr>
        <w:t xml:space="preserve">instâncias superiores de deliberação e controle. Com isso, busca </w:t>
      </w:r>
      <w:r>
        <w:rPr>
          <w:color w:val="000000"/>
          <w:spacing w:val="0"/>
          <w:w w:val="100"/>
          <w:position w:val="0"/>
          <w:sz w:val="19"/>
          <w:szCs w:val="19"/>
          <w:shd w:val="clear" w:color="auto" w:fill="auto"/>
          <w:lang w:val="pt-BR" w:eastAsia="pt-BR" w:bidi="pt-BR"/>
        </w:rPr>
        <w:t xml:space="preserve">assegurar-se </w:t>
      </w:r>
      <w:r>
        <w:rPr>
          <w:color w:val="000000"/>
          <w:spacing w:val="0"/>
          <w:w w:val="100"/>
          <w:position w:val="0"/>
          <w:sz w:val="19"/>
          <w:szCs w:val="19"/>
          <w:shd w:val="clear" w:color="auto" w:fill="auto"/>
          <w:lang w:val="pt-PT" w:eastAsia="pt-PT" w:bidi="pt-PT"/>
        </w:rPr>
        <w:t xml:space="preserve">do desempenho positivo de qualquer entidade que mantiver relação de prestação de serviços e ou consultoria ao RPPS nas operações de aplicação dos recursos do </w:t>
      </w:r>
      <w:r>
        <w:rPr>
          <w:b/>
          <w:bCs/>
          <w:color w:val="000000"/>
          <w:spacing w:val="0"/>
          <w:w w:val="100"/>
          <w:position w:val="0"/>
          <w:sz w:val="18"/>
          <w:szCs w:val="18"/>
          <w:shd w:val="clear" w:color="auto" w:fill="auto"/>
          <w:lang w:val="pt-PT" w:eastAsia="pt-PT" w:bidi="pt-PT"/>
        </w:rPr>
        <w:t>RPPS.</w:t>
      </w:r>
    </w:p>
    <w:p>
      <w:pPr>
        <w:pStyle w:val="Style13"/>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pt-PT" w:eastAsia="pt-PT" w:bidi="pt-PT"/>
        </w:rPr>
        <w:t xml:space="preserve">Sempre, no modelo de gestão própria, antes da realização de qualquer operação, o RPPS deverá realizar o prévio cadastramento das instituições escolhidas para receber as aplicações, </w:t>
      </w:r>
      <w:r>
        <w:rPr>
          <w:b/>
          <w:bCs/>
          <w:color w:val="000000"/>
          <w:spacing w:val="0"/>
          <w:w w:val="100"/>
          <w:position w:val="0"/>
          <w:sz w:val="18"/>
          <w:szCs w:val="18"/>
          <w:shd w:val="clear" w:color="auto" w:fill="auto"/>
          <w:lang w:val="pt-PT" w:eastAsia="pt-PT" w:bidi="pt-PT"/>
        </w:rPr>
        <w:t xml:space="preserve">conforme </w:t>
      </w:r>
      <w:r>
        <w:rPr>
          <w:b/>
          <w:bCs/>
          <w:color w:val="000000"/>
          <w:spacing w:val="0"/>
          <w:w w:val="100"/>
          <w:position w:val="0"/>
          <w:sz w:val="18"/>
          <w:szCs w:val="18"/>
          <w:shd w:val="clear" w:color="auto" w:fill="auto"/>
          <w:lang w:val="pt-BR" w:eastAsia="pt-BR" w:bidi="pt-BR"/>
        </w:rPr>
        <w:t xml:space="preserve">art. </w:t>
      </w:r>
      <w:r>
        <w:rPr>
          <w:b/>
          <w:bCs/>
          <w:color w:val="000000"/>
          <w:spacing w:val="0"/>
          <w:w w:val="100"/>
          <w:position w:val="0"/>
          <w:sz w:val="18"/>
          <w:szCs w:val="18"/>
          <w:shd w:val="clear" w:color="auto" w:fill="auto"/>
          <w:lang w:val="pt-PT" w:eastAsia="pt-PT" w:bidi="pt-PT"/>
        </w:rPr>
        <w:t xml:space="preserve">103 da Portaria MTP n° 1.467, de 02 de junho de 2022.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adiante, há um tópico sobre o </w:t>
      </w:r>
      <w:r>
        <w:rPr>
          <w:color w:val="000000"/>
          <w:spacing w:val="0"/>
          <w:w w:val="100"/>
          <w:position w:val="0"/>
          <w:shd w:val="clear" w:color="auto" w:fill="auto"/>
          <w:lang w:val="pt-BR" w:eastAsia="pt-BR" w:bidi="pt-BR"/>
        </w:rPr>
        <w:t>credenciamento.</w:t>
      </w:r>
    </w:p>
    <w:p>
      <w:pPr>
        <w:pStyle w:val="Style16"/>
        <w:keepNext/>
        <w:keepLines/>
        <w:widowControl w:val="0"/>
        <w:shd w:val="clear" w:color="auto" w:fill="auto"/>
        <w:bidi w:val="0"/>
        <w:spacing w:before="0" w:after="0" w:line="240" w:lineRule="auto"/>
        <w:ind w:left="0" w:right="0" w:firstLine="0"/>
        <w:jc w:val="right"/>
      </w:pPr>
      <w:bookmarkStart w:id="22" w:name="bookmark22"/>
      <w:r>
        <w:rPr>
          <w:color w:val="000000"/>
          <w:spacing w:val="0"/>
          <w:w w:val="100"/>
          <w:position w:val="0"/>
          <w:shd w:val="clear" w:color="auto" w:fill="auto"/>
          <w:lang w:val="pt-PT" w:eastAsia="pt-PT" w:bidi="pt-PT"/>
        </w:rPr>
        <w:t>O FUNDO DE APOSENTADORIA E PENSÕES DOS SERVIDORES MUNICIPAIS DE</w:t>
      </w:r>
      <w:bookmarkEnd w:id="22"/>
    </w:p>
    <w:p>
      <w:pPr>
        <w:pStyle w:val="Style13"/>
        <w:keepNext w:val="0"/>
        <w:keepLines w:val="0"/>
        <w:widowControl w:val="0"/>
        <w:shd w:val="clear" w:color="auto" w:fill="auto"/>
        <w:bidi w:val="0"/>
        <w:spacing w:before="0" w:line="266" w:lineRule="auto"/>
        <w:ind w:left="0" w:right="0" w:firstLine="0"/>
        <w:jc w:val="both"/>
        <w:rPr>
          <w:sz w:val="18"/>
          <w:szCs w:val="18"/>
        </w:rPr>
        <w:sectPr>
          <w:headerReference w:type="default" r:id="rId112"/>
          <w:headerReference w:type="even" r:id="rId113"/>
          <w:footnotePr>
            <w:pos w:val="pageBottom"/>
            <w:numFmt w:val="decimal"/>
            <w:numRestart w:val="continuous"/>
          </w:footnotePr>
          <w:pgSz w:w="11900" w:h="16840"/>
          <w:pgMar w:top="2015" w:left="1542" w:right="1603" w:bottom="505" w:header="0" w:footer="77" w:gutter="0"/>
          <w:cols w:space="720"/>
          <w:noEndnote/>
          <w:rtlGutter w:val="0"/>
          <w:docGrid w:linePitch="360"/>
        </w:sectPr>
      </w:pPr>
      <w:r>
        <w:drawing>
          <wp:anchor distT="279400" distB="0" distL="114300" distR="114300" simplePos="0" relativeHeight="125829461" behindDoc="0" locked="0" layoutInCell="1" allowOverlap="1">
            <wp:simplePos x="0" y="0"/>
            <wp:positionH relativeFrom="page">
              <wp:posOffset>6111240</wp:posOffset>
            </wp:positionH>
            <wp:positionV relativeFrom="margin">
              <wp:posOffset>8769350</wp:posOffset>
            </wp:positionV>
            <wp:extent cx="494030" cy="250190"/>
            <wp:wrapTopAndBottom/>
            <wp:docPr id="218" name="Shape 218"/>
            <a:graphic xmlns:a="http://schemas.openxmlformats.org/drawingml/2006/main">
              <a:graphicData uri="http://schemas.openxmlformats.org/drawingml/2006/picture">
                <pic:pic xmlns:pic="http://schemas.openxmlformats.org/drawingml/2006/picture">
                  <pic:nvPicPr>
                    <pic:cNvPr id="219" name="Picture box 219"/>
                    <pic:cNvPicPr/>
                  </pic:nvPicPr>
                  <pic:blipFill>
                    <a:blip r:embed="rId114"/>
                    <a:stretch/>
                  </pic:blipFill>
                  <pic:spPr>
                    <a:xfrm>
                      <a:ext cx="494030" cy="250190"/>
                    </a:xfrm>
                    <a:prstGeom prst="rect"/>
                  </pic:spPr>
                </pic:pic>
              </a:graphicData>
            </a:graphic>
          </wp:anchor>
        </w:drawing>
      </w:r>
      <w:r>
        <w:drawing>
          <wp:anchor distT="0" distB="0" distL="76200" distR="76200" simplePos="0" relativeHeight="125829462" behindDoc="0" locked="0" layoutInCell="1" allowOverlap="1">
            <wp:simplePos x="0" y="0"/>
            <wp:positionH relativeFrom="page">
              <wp:posOffset>6668770</wp:posOffset>
            </wp:positionH>
            <wp:positionV relativeFrom="margin">
              <wp:posOffset>8220710</wp:posOffset>
            </wp:positionV>
            <wp:extent cx="743585" cy="835025"/>
            <wp:wrapSquare wrapText="bothSides"/>
            <wp:docPr id="220" name="Shape 220"/>
            <a:graphic xmlns:a="http://schemas.openxmlformats.org/drawingml/2006/main">
              <a:graphicData uri="http://schemas.openxmlformats.org/drawingml/2006/picture">
                <pic:pic xmlns:pic="http://schemas.openxmlformats.org/drawingml/2006/picture">
                  <pic:nvPicPr>
                    <pic:cNvPr id="221" name="Picture box 221"/>
                    <pic:cNvPicPr/>
                  </pic:nvPicPr>
                  <pic:blipFill>
                    <a:blip r:embed="rId116"/>
                    <a:stretch/>
                  </pic:blipFill>
                  <pic:spPr>
                    <a:xfrm>
                      <a:ext cx="743585" cy="835025"/>
                    </a:xfrm>
                    <a:prstGeom prst="rect"/>
                  </pic:spPr>
                </pic:pic>
              </a:graphicData>
            </a:graphic>
          </wp:anchor>
        </w:drawing>
      </w:r>
      <w:r>
        <w:rPr>
          <w:b/>
          <w:bCs/>
          <w:color w:val="000000"/>
          <w:spacing w:val="0"/>
          <w:w w:val="100"/>
          <w:position w:val="0"/>
          <w:sz w:val="18"/>
          <w:szCs w:val="18"/>
          <w:shd w:val="clear" w:color="auto" w:fill="auto"/>
          <w:lang w:val="pt-PT" w:eastAsia="pt-PT" w:bidi="pt-PT"/>
        </w:rPr>
        <w:t xml:space="preserve">ENVIRA </w:t>
      </w:r>
      <w:r>
        <w:rPr>
          <w:color w:val="000000"/>
          <w:spacing w:val="0"/>
          <w:w w:val="100"/>
          <w:position w:val="0"/>
          <w:sz w:val="19"/>
          <w:szCs w:val="19"/>
          <w:shd w:val="clear" w:color="auto" w:fill="auto"/>
          <w:lang w:val="pt-PT" w:eastAsia="pt-PT" w:bidi="pt-PT"/>
        </w:rPr>
        <w:t xml:space="preserve">deverá manter o </w:t>
      </w:r>
      <w:r>
        <w:rPr>
          <w:color w:val="000000"/>
          <w:spacing w:val="0"/>
          <w:w w:val="100"/>
          <w:position w:val="0"/>
          <w:sz w:val="19"/>
          <w:szCs w:val="19"/>
          <w:shd w:val="clear" w:color="auto" w:fill="auto"/>
          <w:lang w:val="pt-BR" w:eastAsia="pt-BR" w:bidi="pt-BR"/>
        </w:rPr>
        <w:t xml:space="preserve">Comitê </w:t>
      </w:r>
      <w:r>
        <w:rPr>
          <w:color w:val="000000"/>
          <w:spacing w:val="0"/>
          <w:w w:val="100"/>
          <w:position w:val="0"/>
          <w:sz w:val="19"/>
          <w:szCs w:val="19"/>
          <w:shd w:val="clear" w:color="auto" w:fill="auto"/>
          <w:lang w:val="pt-PT" w:eastAsia="pt-PT" w:bidi="pt-PT"/>
        </w:rPr>
        <w:t xml:space="preserve">de Investimentos dos seus </w:t>
      </w:r>
      <w:r>
        <w:rPr>
          <w:color w:val="000000"/>
          <w:spacing w:val="0"/>
          <w:w w:val="100"/>
          <w:position w:val="0"/>
          <w:sz w:val="19"/>
          <w:szCs w:val="19"/>
          <w:shd w:val="clear" w:color="auto" w:fill="auto"/>
          <w:lang w:val="pt-BR" w:eastAsia="pt-BR" w:bidi="pt-BR"/>
        </w:rPr>
        <w:t xml:space="preserve">respectivos </w:t>
      </w:r>
      <w:r>
        <w:rPr>
          <w:color w:val="000000"/>
          <w:spacing w:val="0"/>
          <w:w w:val="100"/>
          <w:position w:val="0"/>
          <w:sz w:val="19"/>
          <w:szCs w:val="19"/>
          <w:shd w:val="clear" w:color="auto" w:fill="auto"/>
          <w:lang w:val="pt-PT" w:eastAsia="pt-PT" w:bidi="pt-PT"/>
        </w:rPr>
        <w:t xml:space="preserve">recursos, como órgão participativo no processo decisório quanto à execução da Política de Investimentos, cujas decisões serão registradas em ata. O </w:t>
      </w:r>
      <w:r>
        <w:rPr>
          <w:color w:val="000000"/>
          <w:spacing w:val="0"/>
          <w:w w:val="100"/>
          <w:position w:val="0"/>
          <w:sz w:val="19"/>
          <w:szCs w:val="19"/>
          <w:shd w:val="clear" w:color="auto" w:fill="auto"/>
          <w:lang w:val="pt-BR" w:eastAsia="pt-BR" w:bidi="pt-BR"/>
        </w:rPr>
        <w:t xml:space="preserve">Comitê </w:t>
      </w:r>
      <w:r>
        <w:rPr>
          <w:color w:val="000000"/>
          <w:spacing w:val="0"/>
          <w:w w:val="100"/>
          <w:position w:val="0"/>
          <w:sz w:val="19"/>
          <w:szCs w:val="19"/>
          <w:shd w:val="clear" w:color="auto" w:fill="auto"/>
          <w:lang w:val="pt-PT" w:eastAsia="pt-PT" w:bidi="pt-PT"/>
        </w:rPr>
        <w:t xml:space="preserve">de Investimentos precisa ter se originado de ato normativo que preveja a sua estrutura, composição e funcionamento, respeitada a exigência de que seus membros mantenham vínculo com o RPPS, na forma definida na Portaria MTP n° 1.467, de 02 de junho de 2022. O </w:t>
      </w:r>
      <w:r>
        <w:rPr>
          <w:color w:val="000000"/>
          <w:spacing w:val="0"/>
          <w:w w:val="100"/>
          <w:position w:val="0"/>
          <w:sz w:val="19"/>
          <w:szCs w:val="19"/>
          <w:shd w:val="clear" w:color="auto" w:fill="auto"/>
          <w:lang w:val="pt-BR" w:eastAsia="pt-BR" w:bidi="pt-BR"/>
        </w:rPr>
        <w:t xml:space="preserve">Comitê </w:t>
      </w:r>
      <w:r>
        <w:rPr>
          <w:color w:val="000000"/>
          <w:spacing w:val="0"/>
          <w:w w:val="100"/>
          <w:position w:val="0"/>
          <w:sz w:val="19"/>
          <w:szCs w:val="19"/>
          <w:shd w:val="clear" w:color="auto" w:fill="auto"/>
          <w:lang w:val="pt-PT" w:eastAsia="pt-PT" w:bidi="pt-PT"/>
        </w:rPr>
        <w:t xml:space="preserve">de Investimentos deverá </w:t>
      </w:r>
      <w:r>
        <w:rPr>
          <w:color w:val="000000"/>
          <w:spacing w:val="0"/>
          <w:w w:val="100"/>
          <w:position w:val="0"/>
          <w:sz w:val="19"/>
          <w:szCs w:val="19"/>
          <w:shd w:val="clear" w:color="auto" w:fill="auto"/>
          <w:lang w:val="pt-BR" w:eastAsia="pt-BR" w:bidi="pt-BR"/>
        </w:rPr>
        <w:t xml:space="preserve">adequar-se às </w:t>
      </w:r>
      <w:r>
        <w:rPr>
          <w:color w:val="000000"/>
          <w:spacing w:val="0"/>
          <w:w w:val="100"/>
          <w:position w:val="0"/>
          <w:sz w:val="19"/>
          <w:szCs w:val="19"/>
          <w:shd w:val="clear" w:color="auto" w:fill="auto"/>
          <w:lang w:val="pt-PT" w:eastAsia="pt-PT" w:bidi="pt-PT"/>
        </w:rPr>
        <w:t xml:space="preserve">obrigatoriedades da Portaria n° 9.907, de 14 de abril de 2020, em relação ao </w:t>
      </w:r>
      <w:r>
        <w:rPr>
          <w:b/>
          <w:bCs/>
          <w:color w:val="000000"/>
          <w:spacing w:val="0"/>
          <w:w w:val="100"/>
          <w:position w:val="0"/>
          <w:sz w:val="18"/>
          <w:szCs w:val="18"/>
          <w:shd w:val="clear" w:color="auto" w:fill="auto"/>
          <w:lang w:val="pt-PT" w:eastAsia="pt-PT" w:bidi="pt-PT"/>
        </w:rPr>
        <w:t>Art. 8°-B, da Lei n° 9.717, de 1998.</w:t>
      </w:r>
    </w:p>
    <w:p>
      <w:pPr>
        <w:pStyle w:val="Style16"/>
        <w:keepNext/>
        <w:keepLines/>
        <w:widowControl w:val="0"/>
        <w:shd w:val="clear" w:color="auto" w:fill="auto"/>
        <w:bidi w:val="0"/>
        <w:spacing w:before="0" w:after="0" w:line="324" w:lineRule="auto"/>
        <w:ind w:left="0" w:right="0" w:firstLine="0"/>
        <w:jc w:val="left"/>
      </w:pPr>
      <w:r>
        <w:drawing>
          <wp:anchor distT="0" distB="0" distL="0" distR="0" simplePos="0" relativeHeight="62914737" behindDoc="1" locked="0" layoutInCell="1" allowOverlap="1">
            <wp:simplePos x="0" y="0"/>
            <wp:positionH relativeFrom="margin">
              <wp:posOffset>5063490</wp:posOffset>
            </wp:positionH>
            <wp:positionV relativeFrom="margin">
              <wp:posOffset>8215630</wp:posOffset>
            </wp:positionV>
            <wp:extent cx="1359535" cy="768350"/>
            <wp:wrapNone/>
            <wp:docPr id="222" name="Shape 222"/>
            <a:graphic xmlns:a="http://schemas.openxmlformats.org/drawingml/2006/main">
              <a:graphicData uri="http://schemas.openxmlformats.org/drawingml/2006/picture">
                <pic:pic xmlns:pic="http://schemas.openxmlformats.org/drawingml/2006/picture">
                  <pic:nvPicPr>
                    <pic:cNvPr id="223" name="Picture box 223"/>
                    <pic:cNvPicPr/>
                  </pic:nvPicPr>
                  <pic:blipFill>
                    <a:blip r:embed="rId118"/>
                    <a:stretch/>
                  </pic:blipFill>
                  <pic:spPr>
                    <a:xfrm>
                      <a:ext cx="1359535" cy="768350"/>
                    </a:xfrm>
                    <a:prstGeom prst="rect"/>
                  </pic:spPr>
                </pic:pic>
              </a:graphicData>
            </a:graphic>
          </wp:anchor>
        </w:drawing>
      </w:r>
      <w:bookmarkStart w:id="23" w:name="bookmark23"/>
      <w:r>
        <w:rPr>
          <w:color w:val="000000"/>
          <w:spacing w:val="0"/>
          <w:w w:val="100"/>
          <w:position w:val="0"/>
          <w:shd w:val="clear" w:color="auto" w:fill="auto"/>
          <w:lang w:val="pt-PT" w:eastAsia="pt-PT" w:bidi="pt-PT"/>
        </w:rPr>
        <w:t>Competência dos Órgãos envolvidos na Gestão dos recursos do RPPS</w:t>
      </w:r>
      <w:bookmarkEnd w:id="23"/>
    </w:p>
    <w:p>
      <w:pPr>
        <w:pStyle w:val="Style13"/>
        <w:keepNext w:val="0"/>
        <w:keepLines w:val="0"/>
        <w:widowControl w:val="0"/>
        <w:shd w:val="clear" w:color="auto" w:fill="auto"/>
        <w:bidi w:val="0"/>
        <w:spacing w:before="0" w:after="80" w:line="266" w:lineRule="auto"/>
        <w:ind w:left="0" w:right="0" w:firstLine="740"/>
        <w:jc w:val="both"/>
      </w:pPr>
      <w:r>
        <w:rPr>
          <w:color w:val="000000"/>
          <w:spacing w:val="0"/>
          <w:w w:val="100"/>
          <w:position w:val="0"/>
          <w:shd w:val="clear" w:color="auto" w:fill="auto"/>
          <w:lang w:val="pt-PT" w:eastAsia="pt-PT" w:bidi="pt-PT"/>
        </w:rPr>
        <w:t xml:space="preserve">Os órgãos envolvidos na gestão são: </w:t>
      </w:r>
      <w:r>
        <w:rPr>
          <w:b/>
          <w:bCs/>
          <w:color w:val="000000"/>
          <w:spacing w:val="0"/>
          <w:w w:val="100"/>
          <w:position w:val="0"/>
          <w:sz w:val="18"/>
          <w:szCs w:val="18"/>
          <w:shd w:val="clear" w:color="auto" w:fill="auto"/>
          <w:lang w:val="pt-PT" w:eastAsia="pt-PT" w:bidi="pt-PT"/>
        </w:rPr>
        <w:t xml:space="preserve">CONSELHO MUNICIPAL DE PREVIDÊNCIA - CMP </w:t>
      </w:r>
      <w:r>
        <w:rPr>
          <w:color w:val="000000"/>
          <w:spacing w:val="0"/>
          <w:w w:val="100"/>
          <w:position w:val="0"/>
          <w:shd w:val="clear" w:color="auto" w:fill="auto"/>
          <w:lang w:val="pt-PT" w:eastAsia="pt-PT" w:bidi="pt-PT"/>
        </w:rPr>
        <w:t xml:space="preserve">e o </w:t>
      </w:r>
      <w:r>
        <w:rPr>
          <w:b/>
          <w:bCs/>
          <w:color w:val="000000"/>
          <w:spacing w:val="0"/>
          <w:w w:val="100"/>
          <w:position w:val="0"/>
          <w:sz w:val="18"/>
          <w:szCs w:val="18"/>
          <w:shd w:val="clear" w:color="auto" w:fill="auto"/>
          <w:lang w:val="pt-PT" w:eastAsia="pt-PT" w:bidi="pt-PT"/>
        </w:rPr>
        <w:t xml:space="preserve">COMITÉ DE INVESTIMENTOS. </w:t>
      </w:r>
      <w:r>
        <w:rPr>
          <w:color w:val="000000"/>
          <w:spacing w:val="0"/>
          <w:w w:val="100"/>
          <w:position w:val="0"/>
          <w:shd w:val="clear" w:color="auto" w:fill="auto"/>
          <w:lang w:val="pt-PT" w:eastAsia="pt-PT" w:bidi="pt-PT"/>
        </w:rPr>
        <w:t xml:space="preserve">Em relação à elaboração e implementação da Política de Investimentos (PI), cada órgão possui competências específicas previstas na Lei Local do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 xml:space="preserve">RPPS. No entanto, considerando as boas práticas de governança, </w:t>
      </w:r>
      <w:r>
        <w:rPr>
          <w:color w:val="000000"/>
          <w:spacing w:val="0"/>
          <w:w w:val="100"/>
          <w:position w:val="0"/>
          <w:shd w:val="clear" w:color="auto" w:fill="auto"/>
          <w:lang w:val="pt-BR" w:eastAsia="pt-BR" w:bidi="pt-BR"/>
        </w:rPr>
        <w:t xml:space="preserve">destacam-se </w:t>
      </w:r>
      <w:r>
        <w:rPr>
          <w:color w:val="000000"/>
          <w:spacing w:val="0"/>
          <w:w w:val="100"/>
          <w:position w:val="0"/>
          <w:shd w:val="clear" w:color="auto" w:fill="auto"/>
          <w:lang w:val="pt-PT" w:eastAsia="pt-PT" w:bidi="pt-PT"/>
        </w:rPr>
        <w:t>as seguintes atribuições para cada um:</w:t>
      </w:r>
    </w:p>
    <w:p>
      <w:pPr>
        <w:pStyle w:val="Style13"/>
        <w:keepNext w:val="0"/>
        <w:keepLines w:val="0"/>
        <w:widowControl w:val="0"/>
        <w:shd w:val="clear" w:color="auto" w:fill="auto"/>
        <w:bidi w:val="0"/>
        <w:spacing w:before="0" w:after="80" w:line="307" w:lineRule="auto"/>
        <w:ind w:left="1020" w:right="0" w:hanging="280"/>
        <w:jc w:val="both"/>
      </w:pPr>
      <w:r>
        <w:rPr>
          <w:b/>
          <w:bCs/>
          <w:i/>
          <w:iCs/>
          <w:color w:val="000000"/>
          <w:spacing w:val="0"/>
          <w:w w:val="100"/>
          <w:position w:val="0"/>
          <w:shd w:val="clear" w:color="auto" w:fill="auto"/>
          <w:lang w:val="pt-PT" w:eastAsia="pt-PT" w:bidi="pt-PT"/>
        </w:rPr>
        <w:t>CONSELHO MUNICIPAL DE PREVIDÊNCIA - CMP</w:t>
      </w:r>
    </w:p>
    <w:p>
      <w:pPr>
        <w:pStyle w:val="Style13"/>
        <w:keepNext w:val="0"/>
        <w:keepLines w:val="0"/>
        <w:widowControl w:val="0"/>
        <w:shd w:val="clear" w:color="auto" w:fill="auto"/>
        <w:bidi w:val="0"/>
        <w:spacing w:before="0" w:after="0" w:line="312" w:lineRule="auto"/>
        <w:ind w:left="1020" w:right="0" w:hanging="28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Aprovar a Política de Investimentos com base na legislação vigente;</w:t>
      </w:r>
    </w:p>
    <w:p>
      <w:pPr>
        <w:pStyle w:val="Style13"/>
        <w:keepNext w:val="0"/>
        <w:keepLines w:val="0"/>
        <w:widowControl w:val="0"/>
        <w:numPr>
          <w:ilvl w:val="0"/>
          <w:numId w:val="7"/>
        </w:numPr>
        <w:shd w:val="clear" w:color="auto" w:fill="auto"/>
        <w:tabs>
          <w:tab w:pos="1024" w:val="left"/>
        </w:tabs>
        <w:bidi w:val="0"/>
        <w:spacing w:before="0" w:after="0" w:line="312" w:lineRule="auto"/>
        <w:ind w:left="1020" w:right="0" w:hanging="280"/>
        <w:jc w:val="both"/>
      </w:pPr>
      <w:r>
        <w:rPr>
          <w:color w:val="000000"/>
          <w:spacing w:val="0"/>
          <w:w w:val="100"/>
          <w:position w:val="0"/>
          <w:shd w:val="clear" w:color="auto" w:fill="auto"/>
          <w:lang w:val="pt-PT" w:eastAsia="pt-PT" w:bidi="pt-PT"/>
        </w:rPr>
        <w:t>Analisar a atual carteira do RPPS conforme proposta atual da Política de Investimentos;</w:t>
      </w:r>
    </w:p>
    <w:p>
      <w:pPr>
        <w:pStyle w:val="Style13"/>
        <w:keepNext w:val="0"/>
        <w:keepLines w:val="0"/>
        <w:widowControl w:val="0"/>
        <w:numPr>
          <w:ilvl w:val="0"/>
          <w:numId w:val="7"/>
        </w:numPr>
        <w:shd w:val="clear" w:color="auto" w:fill="auto"/>
        <w:tabs>
          <w:tab w:pos="1024" w:val="left"/>
        </w:tabs>
        <w:bidi w:val="0"/>
        <w:spacing w:before="0" w:after="0" w:line="312" w:lineRule="auto"/>
        <w:ind w:left="1020" w:right="0" w:hanging="280"/>
        <w:jc w:val="both"/>
      </w:pPr>
      <w:r>
        <w:rPr>
          <w:color w:val="000000"/>
          <w:spacing w:val="0"/>
          <w:w w:val="100"/>
          <w:position w:val="0"/>
          <w:shd w:val="clear" w:color="auto" w:fill="auto"/>
          <w:lang w:val="pt-PT" w:eastAsia="pt-PT" w:bidi="pt-PT"/>
        </w:rPr>
        <w:t>Aprovar os limites: "mínimos, alvos e superiores" por segmento (Renda Fixa, Renda Variável e Imóvel);</w:t>
      </w:r>
    </w:p>
    <w:p>
      <w:pPr>
        <w:pStyle w:val="Style13"/>
        <w:keepNext w:val="0"/>
        <w:keepLines w:val="0"/>
        <w:widowControl w:val="0"/>
        <w:shd w:val="clear" w:color="auto" w:fill="auto"/>
        <w:bidi w:val="0"/>
        <w:spacing w:before="0" w:after="0" w:line="312" w:lineRule="auto"/>
        <w:ind w:left="1020" w:right="0" w:hanging="28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Acompanhar, mensalmente, o enquadramento do RPPS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legislações vigentes;</w:t>
      </w:r>
    </w:p>
    <w:p>
      <w:pPr>
        <w:pStyle w:val="Style13"/>
        <w:keepNext w:val="0"/>
        <w:keepLines w:val="0"/>
        <w:widowControl w:val="0"/>
        <w:shd w:val="clear" w:color="auto" w:fill="auto"/>
        <w:bidi w:val="0"/>
        <w:spacing w:before="0" w:after="0" w:line="312" w:lineRule="auto"/>
        <w:ind w:left="720" w:right="0" w:firstLine="2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Apreciar periodicamente, o resultado da carteira de investimentos do RPPS; </w:t>
      </w:r>
      <w:r>
        <w:rPr>
          <w:b/>
          <w:bCs/>
          <w:i/>
          <w:iCs/>
          <w:color w:val="000000"/>
          <w:spacing w:val="0"/>
          <w:w w:val="100"/>
          <w:position w:val="0"/>
          <w:shd w:val="clear" w:color="auto" w:fill="auto"/>
          <w:lang w:val="pt-PT" w:eastAsia="pt-PT" w:bidi="pt-PT"/>
        </w:rPr>
        <w:t>s</w:t>
      </w:r>
      <w:r>
        <w:rPr>
          <w:color w:val="000000"/>
          <w:spacing w:val="0"/>
          <w:w w:val="100"/>
          <w:position w:val="0"/>
          <w:shd w:val="clear" w:color="auto" w:fill="auto"/>
          <w:lang w:val="pt-PT" w:eastAsia="pt-PT" w:bidi="pt-PT"/>
        </w:rPr>
        <w:t xml:space="preserve"> Aprovar as eventuais realocações de recursos da carteira sugeridas pelo </w:t>
      </w:r>
      <w:r>
        <w:rPr>
          <w:color w:val="000000"/>
          <w:spacing w:val="0"/>
          <w:w w:val="100"/>
          <w:position w:val="0"/>
          <w:shd w:val="clear" w:color="auto" w:fill="auto"/>
          <w:lang w:val="pt-BR" w:eastAsia="pt-BR" w:bidi="pt-BR"/>
        </w:rPr>
        <w:t>comitê;</w:t>
      </w:r>
    </w:p>
    <w:p>
      <w:pPr>
        <w:pStyle w:val="Style13"/>
        <w:keepNext w:val="0"/>
        <w:keepLines w:val="0"/>
        <w:widowControl w:val="0"/>
        <w:shd w:val="clear" w:color="auto" w:fill="auto"/>
        <w:bidi w:val="0"/>
        <w:spacing w:before="0" w:after="360" w:line="312" w:lineRule="auto"/>
        <w:ind w:left="1020" w:right="0" w:hanging="28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Deverão ser elaborados relatórios, no mínimo, semestral mente ( Art 129 I Portaria MTP n° 1.467/2022), que contemplem: as conclusões dos exames efetuados, inclusive sobre a aderência da gestão dos recursos do RPPS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em vigor e à Política de Investimentos.</w:t>
      </w:r>
    </w:p>
    <w:p>
      <w:pPr>
        <w:pStyle w:val="Style13"/>
        <w:keepNext w:val="0"/>
        <w:keepLines w:val="0"/>
        <w:widowControl w:val="0"/>
        <w:shd w:val="clear" w:color="auto" w:fill="auto"/>
        <w:bidi w:val="0"/>
        <w:spacing w:before="0" w:after="80" w:line="307" w:lineRule="auto"/>
        <w:ind w:left="1020" w:right="0" w:hanging="280"/>
        <w:jc w:val="both"/>
      </w:pPr>
      <w:r>
        <w:rPr>
          <w:b/>
          <w:bCs/>
          <w:i/>
          <w:iCs/>
          <w:color w:val="000000"/>
          <w:spacing w:val="0"/>
          <w:w w:val="100"/>
          <w:position w:val="0"/>
          <w:shd w:val="clear" w:color="auto" w:fill="auto"/>
          <w:lang w:val="pt-PT" w:eastAsia="pt-PT" w:bidi="pt-PT"/>
        </w:rPr>
        <w:t>COMITÉ DE INVESTIMENTOS</w:t>
      </w:r>
    </w:p>
    <w:p>
      <w:pPr>
        <w:pStyle w:val="Style13"/>
        <w:keepNext w:val="0"/>
        <w:keepLines w:val="0"/>
        <w:widowControl w:val="0"/>
        <w:shd w:val="clear" w:color="auto" w:fill="auto"/>
        <w:bidi w:val="0"/>
        <w:spacing w:before="0" w:after="0" w:line="307" w:lineRule="auto"/>
        <w:ind w:left="0" w:right="20" w:firstLine="0"/>
        <w:jc w:val="center"/>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Estabelecer as diretrizes gerais da Política de Investimentos de gestão financeira dos</w:t>
        <w:br/>
        <w:t xml:space="preserve">recursos do regime previdenciário, </w:t>
      </w:r>
      <w:r>
        <w:rPr>
          <w:color w:val="000000"/>
          <w:spacing w:val="0"/>
          <w:w w:val="100"/>
          <w:position w:val="0"/>
          <w:shd w:val="clear" w:color="auto" w:fill="auto"/>
          <w:lang w:val="pt-BR" w:eastAsia="pt-BR" w:bidi="pt-BR"/>
        </w:rPr>
        <w:t xml:space="preserve">submetendo-as </w:t>
      </w:r>
      <w:r>
        <w:rPr>
          <w:color w:val="000000"/>
          <w:spacing w:val="0"/>
          <w:w w:val="100"/>
          <w:position w:val="0"/>
          <w:shd w:val="clear" w:color="auto" w:fill="auto"/>
          <w:lang w:val="pt-PT" w:eastAsia="pt-PT" w:bidi="pt-PT"/>
        </w:rPr>
        <w:t>ao devido órgão para aprovação;</w:t>
      </w:r>
    </w:p>
    <w:p>
      <w:pPr>
        <w:pStyle w:val="Style13"/>
        <w:keepNext w:val="0"/>
        <w:keepLines w:val="0"/>
        <w:widowControl w:val="0"/>
        <w:numPr>
          <w:ilvl w:val="0"/>
          <w:numId w:val="7"/>
        </w:numPr>
        <w:shd w:val="clear" w:color="auto" w:fill="auto"/>
        <w:tabs>
          <w:tab w:pos="1024" w:val="left"/>
        </w:tabs>
        <w:bidi w:val="0"/>
        <w:spacing w:before="0" w:after="0" w:line="307" w:lineRule="auto"/>
        <w:ind w:left="1020" w:right="0" w:hanging="280"/>
        <w:jc w:val="both"/>
      </w:pPr>
      <w:r>
        <w:rPr>
          <w:color w:val="000000"/>
          <w:spacing w:val="0"/>
          <w:w w:val="100"/>
          <w:position w:val="0"/>
          <w:shd w:val="clear" w:color="auto" w:fill="auto"/>
          <w:lang w:val="pt-PT" w:eastAsia="pt-PT" w:bidi="pt-PT"/>
        </w:rPr>
        <w:t>Analisar a adoção de melhores estratégias para as aplicações dos recursos, visando o cumprimento da meta atuarial;</w:t>
      </w:r>
    </w:p>
    <w:p>
      <w:pPr>
        <w:pStyle w:val="Style13"/>
        <w:keepNext w:val="0"/>
        <w:keepLines w:val="0"/>
        <w:widowControl w:val="0"/>
        <w:shd w:val="clear" w:color="auto" w:fill="auto"/>
        <w:bidi w:val="0"/>
        <w:spacing w:before="0" w:after="0" w:line="307" w:lineRule="auto"/>
        <w:ind w:left="1020" w:right="0" w:hanging="28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Apreciar periodicamente o cenário Económico-Financeiro de curto, médio e longo prazo;</w:t>
      </w:r>
    </w:p>
    <w:p>
      <w:pPr>
        <w:pStyle w:val="Style13"/>
        <w:keepNext w:val="0"/>
        <w:keepLines w:val="0"/>
        <w:widowControl w:val="0"/>
        <w:numPr>
          <w:ilvl w:val="0"/>
          <w:numId w:val="7"/>
        </w:numPr>
        <w:shd w:val="clear" w:color="auto" w:fill="auto"/>
        <w:tabs>
          <w:tab w:pos="1024" w:val="left"/>
        </w:tabs>
        <w:bidi w:val="0"/>
        <w:spacing w:before="0" w:after="0" w:line="307" w:lineRule="auto"/>
        <w:ind w:left="1020" w:right="0" w:hanging="280"/>
        <w:jc w:val="both"/>
      </w:pPr>
      <w:r>
        <w:rPr>
          <w:color w:val="000000"/>
          <w:spacing w:val="0"/>
          <w:w w:val="100"/>
          <w:position w:val="0"/>
          <w:shd w:val="clear" w:color="auto" w:fill="auto"/>
          <w:lang w:val="pt-PT" w:eastAsia="pt-PT" w:bidi="pt-PT"/>
        </w:rPr>
        <w:t xml:space="preserve">Observar e aplicar os limites de </w:t>
      </w:r>
      <w:r>
        <w:rPr>
          <w:color w:val="000000"/>
          <w:spacing w:val="0"/>
          <w:w w:val="100"/>
          <w:position w:val="0"/>
          <w:shd w:val="clear" w:color="auto" w:fill="auto"/>
          <w:lang w:val="pt-BR" w:eastAsia="pt-BR" w:bidi="pt-BR"/>
        </w:rPr>
        <w:t xml:space="preserve">alocações </w:t>
      </w:r>
      <w:r>
        <w:rPr>
          <w:color w:val="000000"/>
          <w:spacing w:val="0"/>
          <w:w w:val="100"/>
          <w:position w:val="0"/>
          <w:shd w:val="clear" w:color="auto" w:fill="auto"/>
          <w:lang w:val="pt-PT" w:eastAsia="pt-PT" w:bidi="pt-PT"/>
        </w:rPr>
        <w:t>de acordo com a legislação vigente;</w:t>
      </w:r>
    </w:p>
    <w:p>
      <w:pPr>
        <w:pStyle w:val="Style13"/>
        <w:keepNext w:val="0"/>
        <w:keepLines w:val="0"/>
        <w:widowControl w:val="0"/>
        <w:shd w:val="clear" w:color="auto" w:fill="auto"/>
        <w:bidi w:val="0"/>
        <w:spacing w:before="0" w:after="0" w:line="307" w:lineRule="auto"/>
        <w:ind w:left="1020" w:right="0" w:hanging="280"/>
        <w:jc w:val="both"/>
      </w:pPr>
      <w:r>
        <w:rPr>
          <w:b/>
          <w:bCs/>
          <w:i/>
          <w:iCs/>
          <w:color w:val="000000"/>
          <w:spacing w:val="0"/>
          <w:w w:val="100"/>
          <w:position w:val="0"/>
          <w:shd w:val="clear" w:color="auto" w:fill="auto"/>
          <w:lang w:val="pt-PT" w:eastAsia="pt-PT" w:bidi="pt-PT"/>
        </w:rPr>
        <w:t>v</w:t>
      </w:r>
      <w:r>
        <w:rPr>
          <w:color w:val="000000"/>
          <w:spacing w:val="0"/>
          <w:w w:val="100"/>
          <w:position w:val="0"/>
          <w:shd w:val="clear" w:color="auto" w:fill="auto"/>
          <w:lang w:val="pt-PT" w:eastAsia="pt-PT" w:bidi="pt-PT"/>
        </w:rPr>
        <w:t xml:space="preserve"> Deliberar, após as devidas análises, sobre a renovação do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 xml:space="preserve">das instituições financeiras, e sugerir, se necessário, 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 novas instituições financeiras;</w:t>
      </w:r>
    </w:p>
    <w:p>
      <w:pPr>
        <w:pStyle w:val="Style13"/>
        <w:keepNext w:val="0"/>
        <w:keepLines w:val="0"/>
        <w:widowControl w:val="0"/>
        <w:numPr>
          <w:ilvl w:val="0"/>
          <w:numId w:val="7"/>
        </w:numPr>
        <w:shd w:val="clear" w:color="auto" w:fill="auto"/>
        <w:tabs>
          <w:tab w:pos="1024" w:val="left"/>
        </w:tabs>
        <w:bidi w:val="0"/>
        <w:spacing w:before="0" w:after="0" w:line="307" w:lineRule="auto"/>
        <w:ind w:left="1020" w:right="0" w:hanging="280"/>
        <w:jc w:val="both"/>
      </w:pPr>
      <w:r>
        <w:rPr>
          <w:color w:val="000000"/>
          <w:spacing w:val="0"/>
          <w:w w:val="100"/>
          <w:position w:val="0"/>
          <w:shd w:val="clear" w:color="auto" w:fill="auto"/>
          <w:lang w:val="pt-PT" w:eastAsia="pt-PT" w:bidi="pt-PT"/>
        </w:rPr>
        <w:t>Analisar taxas de juros, administração e de performance das aplicações existentes e as que vierem a ser realizadas;</w:t>
      </w:r>
    </w:p>
    <w:p>
      <w:pPr>
        <w:pStyle w:val="Style13"/>
        <w:keepNext w:val="0"/>
        <w:keepLines w:val="0"/>
        <w:widowControl w:val="0"/>
        <w:numPr>
          <w:ilvl w:val="0"/>
          <w:numId w:val="7"/>
        </w:numPr>
        <w:shd w:val="clear" w:color="auto" w:fill="auto"/>
        <w:tabs>
          <w:tab w:pos="1024" w:val="left"/>
        </w:tabs>
        <w:bidi w:val="0"/>
        <w:spacing w:before="0" w:after="0" w:line="307" w:lineRule="auto"/>
        <w:ind w:left="1020" w:right="0" w:hanging="280"/>
        <w:jc w:val="both"/>
      </w:pPr>
      <w:r>
        <w:rPr>
          <w:color w:val="000000"/>
          <w:spacing w:val="0"/>
          <w:w w:val="100"/>
          <w:position w:val="0"/>
          <w:shd w:val="clear" w:color="auto" w:fill="auto"/>
          <w:lang w:val="pt-PT" w:eastAsia="pt-PT" w:bidi="pt-PT"/>
        </w:rPr>
        <w:t>Fornecer subsídios aos Órgãos superiores, se necessário, recomendando eventual alteração e/ou realocação que julgar procedente referente a carteira de investimentos do RPPS;</w:t>
      </w:r>
    </w:p>
    <w:p>
      <w:pPr>
        <w:pStyle w:val="Style13"/>
        <w:keepNext w:val="0"/>
        <w:keepLines w:val="0"/>
        <w:widowControl w:val="0"/>
        <w:numPr>
          <w:ilvl w:val="0"/>
          <w:numId w:val="7"/>
        </w:numPr>
        <w:shd w:val="clear" w:color="auto" w:fill="auto"/>
        <w:tabs>
          <w:tab w:pos="1024" w:val="left"/>
        </w:tabs>
        <w:bidi w:val="0"/>
        <w:spacing w:before="0" w:after="0" w:line="307" w:lineRule="auto"/>
        <w:ind w:left="1020" w:right="0" w:hanging="280"/>
        <w:jc w:val="both"/>
      </w:pPr>
      <w:r>
        <w:rPr>
          <w:color w:val="000000"/>
          <w:spacing w:val="0"/>
          <w:w w:val="100"/>
          <w:position w:val="0"/>
          <w:shd w:val="clear" w:color="auto" w:fill="auto"/>
          <w:lang w:val="pt-PT" w:eastAsia="pt-PT" w:bidi="pt-PT"/>
        </w:rPr>
        <w:t xml:space="preserve">Elaborar, no mínimo, trimestralmente </w:t>
      </w:r>
      <w:r>
        <w:rPr>
          <w:b/>
          <w:bCs/>
          <w:color w:val="000000"/>
          <w:spacing w:val="0"/>
          <w:w w:val="100"/>
          <w:position w:val="0"/>
          <w:sz w:val="18"/>
          <w:szCs w:val="18"/>
          <w:shd w:val="clear" w:color="auto" w:fill="auto"/>
          <w:lang w:val="pt-PT" w:eastAsia="pt-PT" w:bidi="pt-PT"/>
        </w:rPr>
        <w:t xml:space="preserve">(Art. 136 Portaria MTP n° 1.467/2022), </w:t>
      </w:r>
      <w:r>
        <w:rPr>
          <w:color w:val="000000"/>
          <w:spacing w:val="0"/>
          <w:w w:val="100"/>
          <w:position w:val="0"/>
          <w:shd w:val="clear" w:color="auto" w:fill="auto"/>
          <w:lang w:val="pt-PT" w:eastAsia="pt-PT" w:bidi="pt-PT"/>
        </w:rPr>
        <w:t>relatórios detalhados sobre a rentabilidade, os riscos das diversas modalidades de operações realizadas nas aplicações dos recursos do regime e a aderência à Política de Investimentos, que deverão ser submetidos para avaliação e adoção de providências pelos órgãos responsáveis, conforme atribuições estabelecidas na forma do §2° do art. 86 da Portaria MTP 1.467/2022;</w:t>
      </w:r>
    </w:p>
    <w:p>
      <w:pPr>
        <w:pStyle w:val="Style13"/>
        <w:keepNext w:val="0"/>
        <w:keepLines w:val="0"/>
        <w:widowControl w:val="0"/>
        <w:shd w:val="clear" w:color="auto" w:fill="auto"/>
        <w:bidi w:val="0"/>
        <w:spacing w:before="0" w:after="80" w:line="307" w:lineRule="auto"/>
        <w:ind w:left="1020" w:right="0" w:hanging="280"/>
        <w:jc w:val="both"/>
      </w:pPr>
      <w:r>
        <w:rPr>
          <w:b/>
          <w:bCs/>
          <w:i/>
          <w:iCs/>
          <w:color w:val="000000"/>
          <w:spacing w:val="0"/>
          <w:w w:val="100"/>
          <w:position w:val="0"/>
          <w:shd w:val="clear" w:color="auto" w:fill="auto"/>
          <w:lang w:val="pt-PT" w:eastAsia="pt-PT" w:bidi="pt-PT"/>
        </w:rPr>
        <w:t>v</w:t>
      </w:r>
      <w:r>
        <w:rPr>
          <w:b/>
          <w:bCs/>
          <w:color w:val="000000"/>
          <w:spacing w:val="0"/>
          <w:w w:val="100"/>
          <w:position w:val="0"/>
          <w:sz w:val="18"/>
          <w:szCs w:val="18"/>
          <w:shd w:val="clear" w:color="auto" w:fill="auto"/>
          <w:lang w:val="pt-PT" w:eastAsia="pt-PT" w:bidi="pt-PT"/>
        </w:rPr>
        <w:t xml:space="preserve"> No início de cada exercício, </w:t>
      </w:r>
      <w:r>
        <w:rPr>
          <w:color w:val="000000"/>
          <w:spacing w:val="0"/>
          <w:w w:val="100"/>
          <w:position w:val="0"/>
          <w:shd w:val="clear" w:color="auto" w:fill="auto"/>
          <w:lang w:val="pt-PT" w:eastAsia="pt-PT" w:bidi="pt-PT"/>
        </w:rPr>
        <w:t>deverá apresentar aos conselhos o relatório de acompanhamento da execução da Política de Investimentos relativo ao ano anterior, conforme Art. 101, § 3</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de Portaria MTP n° 1.467/2022.</w:t>
      </w:r>
      <w:r>
        <w:br w:type="page"/>
      </w:r>
    </w:p>
    <w:p>
      <w:pPr>
        <w:pStyle w:val="Style16"/>
        <w:keepNext/>
        <w:keepLines/>
        <w:widowControl w:val="0"/>
        <w:shd w:val="clear" w:color="auto" w:fill="auto"/>
        <w:bidi w:val="0"/>
        <w:spacing w:before="0" w:after="0"/>
        <w:ind w:left="0" w:right="0" w:firstLine="0"/>
        <w:jc w:val="left"/>
      </w:pPr>
      <w:r>
        <w:drawing>
          <wp:anchor distT="0" distB="0" distL="0" distR="0" simplePos="0" relativeHeight="62914738" behindDoc="1" locked="0" layoutInCell="1" allowOverlap="1">
            <wp:simplePos x="0" y="0"/>
            <wp:positionH relativeFrom="margin">
              <wp:posOffset>5241925</wp:posOffset>
            </wp:positionH>
            <wp:positionV relativeFrom="margin">
              <wp:posOffset>8238490</wp:posOffset>
            </wp:positionV>
            <wp:extent cx="1182370" cy="682625"/>
            <wp:wrapNone/>
            <wp:docPr id="224" name="Shape 224"/>
            <a:graphic xmlns:a="http://schemas.openxmlformats.org/drawingml/2006/main">
              <a:graphicData uri="http://schemas.openxmlformats.org/drawingml/2006/picture">
                <pic:pic xmlns:pic="http://schemas.openxmlformats.org/drawingml/2006/picture">
                  <pic:nvPicPr>
                    <pic:cNvPr id="225" name="Picture box 225"/>
                    <pic:cNvPicPr/>
                  </pic:nvPicPr>
                  <pic:blipFill>
                    <a:blip r:embed="rId120"/>
                    <a:stretch/>
                  </pic:blipFill>
                  <pic:spPr>
                    <a:xfrm>
                      <a:ext cx="1182370" cy="682625"/>
                    </a:xfrm>
                    <a:prstGeom prst="rect"/>
                  </pic:spPr>
                </pic:pic>
              </a:graphicData>
            </a:graphic>
          </wp:anchor>
        </w:drawing>
      </w:r>
      <w:bookmarkStart w:id="24" w:name="bookmark24"/>
      <w:r>
        <w:rPr>
          <w:color w:val="000000"/>
          <w:spacing w:val="0"/>
          <w:w w:val="100"/>
          <w:position w:val="0"/>
          <w:shd w:val="clear" w:color="auto" w:fill="auto"/>
          <w:lang w:val="pt-PT" w:eastAsia="pt-PT" w:bidi="pt-PT"/>
        </w:rPr>
        <w:t xml:space="preserve">Objetivo de </w:t>
      </w:r>
      <w:r>
        <w:rPr>
          <w:color w:val="000000"/>
          <w:spacing w:val="0"/>
          <w:w w:val="100"/>
          <w:position w:val="0"/>
          <w:shd w:val="clear" w:color="auto" w:fill="auto"/>
          <w:lang w:val="pt-BR" w:eastAsia="pt-BR" w:bidi="pt-BR"/>
        </w:rPr>
        <w:t>Alocação</w:t>
      </w:r>
      <w:bookmarkEnd w:id="24"/>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O objetivo da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dos recursos do RPPS é garantir a sustentabilidade atuarial e financeira do Regime Próprio de Previdência Social, mediante uma distribuição equilibrada dos investimentos entre os diversos segmentos autorizados pela legislação vigente.</w:t>
      </w:r>
    </w:p>
    <w:p>
      <w:pPr>
        <w:pStyle w:val="Style13"/>
        <w:keepNext w:val="0"/>
        <w:keepLines w:val="0"/>
        <w:widowControl w:val="0"/>
        <w:shd w:val="clear" w:color="auto" w:fill="auto"/>
        <w:bidi w:val="0"/>
        <w:spacing w:before="0"/>
        <w:ind w:left="0" w:right="0" w:firstLine="740"/>
        <w:jc w:val="both"/>
      </w:pPr>
      <w:r>
        <w:rPr>
          <w:color w:val="000000"/>
          <w:spacing w:val="0"/>
          <w:w w:val="100"/>
          <w:position w:val="0"/>
          <w:shd w:val="clear" w:color="auto" w:fill="auto"/>
          <w:lang w:val="pt-PT" w:eastAsia="pt-PT" w:bidi="pt-PT"/>
        </w:rPr>
        <w:t xml:space="preserve">A definição da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tem como base o perfil de risco do RPPS, o estudo de Asset Liability Management (ALM - se houver) e a meta atuarial vigente - buscando conciliar a rentabilidade esperada, o risco assumido e a liquidez necessária para o cumprimento das obrigações previdenciárias.</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É importante ressaltar que, independentemente da estratégia de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adotada, o mercado financeiro está sujeito a períodos de volatilidade que podem impactar parte da carteira. Assim, o RPPS deve manter um horizonte de investimento de longo prazo, respeitando sua política definida e realizando ajustes de forma planejada.</w:t>
      </w:r>
    </w:p>
    <w:p>
      <w:pPr>
        <w:pStyle w:val="Style13"/>
        <w:keepNext w:val="0"/>
        <w:keepLines w:val="0"/>
        <w:widowControl w:val="0"/>
        <w:shd w:val="clear" w:color="auto" w:fill="auto"/>
        <w:bidi w:val="0"/>
        <w:spacing w:before="0" w:line="264" w:lineRule="auto"/>
        <w:ind w:left="0" w:right="0" w:firstLine="740"/>
        <w:jc w:val="both"/>
      </w:pPr>
      <w:r>
        <w:rPr>
          <w:color w:val="000000"/>
          <w:spacing w:val="0"/>
          <w:w w:val="100"/>
          <w:position w:val="0"/>
          <w:shd w:val="clear" w:color="auto" w:fill="auto"/>
          <w:lang w:val="pt-PT" w:eastAsia="pt-PT" w:bidi="pt-PT"/>
        </w:rPr>
        <w:t>Nos momentos de valorização, o RPPS poderá realizar realocações (vendas) para consolidar ganhos; em períodos de desvalorização, poderá realizar novos aportes (compras), sempre com o objetivo de rebalancear a carteira de investimentos.</w:t>
      </w:r>
    </w:p>
    <w:p>
      <w:pPr>
        <w:pStyle w:val="Style13"/>
        <w:keepNext w:val="0"/>
        <w:keepLines w:val="0"/>
        <w:widowControl w:val="0"/>
        <w:shd w:val="clear" w:color="auto" w:fill="auto"/>
        <w:bidi w:val="0"/>
        <w:spacing w:before="0" w:after="480" w:line="276" w:lineRule="auto"/>
        <w:ind w:left="0" w:right="0" w:firstLine="740"/>
        <w:jc w:val="both"/>
        <w:rPr>
          <w:sz w:val="18"/>
          <w:szCs w:val="18"/>
        </w:rPr>
      </w:pPr>
      <w:r>
        <w:rPr>
          <w:color w:val="000000"/>
          <w:spacing w:val="0"/>
          <w:w w:val="100"/>
          <w:position w:val="0"/>
          <w:sz w:val="19"/>
          <w:szCs w:val="19"/>
          <w:shd w:val="clear" w:color="auto" w:fill="auto"/>
          <w:lang w:val="pt-PT" w:eastAsia="pt-PT" w:bidi="pt-PT"/>
        </w:rPr>
        <w:t xml:space="preserve">Três virtudes essenciais devem orientar a conduta do investidor institucional previdenciário: </w:t>
      </w:r>
      <w:r>
        <w:rPr>
          <w:b/>
          <w:bCs/>
          <w:color w:val="000000"/>
          <w:spacing w:val="0"/>
          <w:w w:val="100"/>
          <w:position w:val="0"/>
          <w:sz w:val="18"/>
          <w:szCs w:val="18"/>
          <w:shd w:val="clear" w:color="auto" w:fill="auto"/>
          <w:lang w:val="pt-PT" w:eastAsia="pt-PT" w:bidi="pt-PT"/>
        </w:rPr>
        <w:t>disciplina, paciência e diversificação.</w:t>
      </w:r>
    </w:p>
    <w:p>
      <w:pPr>
        <w:pStyle w:val="Style16"/>
        <w:keepNext/>
        <w:keepLines/>
        <w:widowControl w:val="0"/>
        <w:shd w:val="clear" w:color="auto" w:fill="auto"/>
        <w:bidi w:val="0"/>
        <w:spacing w:before="0"/>
        <w:ind w:left="0" w:right="0" w:firstLine="0"/>
        <w:jc w:val="left"/>
      </w:pPr>
      <w:bookmarkStart w:id="25" w:name="bookmark25"/>
      <w:r>
        <w:rPr>
          <w:color w:val="000000"/>
          <w:spacing w:val="0"/>
          <w:w w:val="100"/>
          <w:position w:val="0"/>
          <w:shd w:val="clear" w:color="auto" w:fill="auto"/>
          <w:lang w:val="pt-PT" w:eastAsia="pt-PT" w:bidi="pt-PT"/>
        </w:rPr>
        <w:t xml:space="preserve">Das </w:t>
      </w:r>
      <w:r>
        <w:rPr>
          <w:color w:val="000000"/>
          <w:spacing w:val="0"/>
          <w:w w:val="100"/>
          <w:position w:val="0"/>
          <w:shd w:val="clear" w:color="auto" w:fill="auto"/>
          <w:lang w:val="pt-BR" w:eastAsia="pt-BR" w:bidi="pt-BR"/>
        </w:rPr>
        <w:t xml:space="preserve">Alocações </w:t>
      </w:r>
      <w:r>
        <w:rPr>
          <w:color w:val="000000"/>
          <w:spacing w:val="0"/>
          <w:w w:val="100"/>
          <w:position w:val="0"/>
          <w:shd w:val="clear" w:color="auto" w:fill="auto"/>
          <w:lang w:val="pt-PT" w:eastAsia="pt-PT" w:bidi="pt-PT"/>
        </w:rPr>
        <w:t>dos Recursos</w:t>
      </w:r>
      <w:bookmarkEnd w:id="25"/>
    </w:p>
    <w:p>
      <w:pPr>
        <w:pStyle w:val="Style13"/>
        <w:keepNext w:val="0"/>
        <w:keepLines w:val="0"/>
        <w:widowControl w:val="0"/>
        <w:shd w:val="clear" w:color="auto" w:fill="auto"/>
        <w:bidi w:val="0"/>
        <w:spacing w:before="0" w:line="266" w:lineRule="auto"/>
        <w:ind w:left="0" w:right="0" w:firstLine="740"/>
        <w:jc w:val="both"/>
      </w:pPr>
      <w:r>
        <w:rPr>
          <w:color w:val="000000"/>
          <w:spacing w:val="0"/>
          <w:w w:val="100"/>
          <w:position w:val="0"/>
          <w:shd w:val="clear" w:color="auto" w:fill="auto"/>
          <w:lang w:val="pt-PT" w:eastAsia="pt-PT" w:bidi="pt-PT"/>
        </w:rPr>
        <w:t>Dos Segmentos</w:t>
      </w:r>
    </w:p>
    <w:p>
      <w:pPr>
        <w:pStyle w:val="Style13"/>
        <w:keepNext w:val="0"/>
        <w:keepLines w:val="0"/>
        <w:widowControl w:val="0"/>
        <w:shd w:val="clear" w:color="auto" w:fill="auto"/>
        <w:bidi w:val="0"/>
        <w:spacing w:before="0" w:line="266" w:lineRule="auto"/>
        <w:ind w:left="0" w:right="0" w:firstLine="740"/>
        <w:jc w:val="both"/>
      </w:pPr>
      <w:r>
        <w:rPr>
          <w:b/>
          <w:bCs/>
          <w:i/>
          <w:iCs/>
          <w:color w:val="000000"/>
          <w:spacing w:val="0"/>
          <w:w w:val="100"/>
          <w:position w:val="0"/>
          <w:shd w:val="clear" w:color="auto" w:fill="auto"/>
          <w:lang w:val="pt-PT" w:eastAsia="pt-PT" w:bidi="pt-PT"/>
        </w:rPr>
        <w:t>Segmento de Renda Fixa</w:t>
      </w:r>
    </w:p>
    <w:p>
      <w:pPr>
        <w:pStyle w:val="Style13"/>
        <w:keepNext w:val="0"/>
        <w:keepLines w:val="0"/>
        <w:widowControl w:val="0"/>
        <w:shd w:val="clear" w:color="auto" w:fill="auto"/>
        <w:bidi w:val="0"/>
        <w:spacing w:before="0" w:line="266" w:lineRule="auto"/>
        <w:ind w:left="0" w:right="0" w:firstLine="740"/>
        <w:jc w:val="both"/>
      </w:pPr>
      <w:r>
        <w:rPr>
          <w:color w:val="000000"/>
          <w:spacing w:val="0"/>
          <w:w w:val="100"/>
          <w:position w:val="0"/>
          <w:shd w:val="clear" w:color="auto" w:fill="auto"/>
          <w:lang w:val="pt-BR" w:eastAsia="pt-BR" w:bidi="pt-BR"/>
        </w:rPr>
        <w:t xml:space="preserve">Benchmark. </w:t>
      </w:r>
      <w:r>
        <w:rPr>
          <w:b/>
          <w:bCs/>
          <w:color w:val="000000"/>
          <w:spacing w:val="0"/>
          <w:w w:val="100"/>
          <w:position w:val="0"/>
          <w:sz w:val="18"/>
          <w:szCs w:val="18"/>
          <w:shd w:val="clear" w:color="auto" w:fill="auto"/>
          <w:lang w:val="pt-PT" w:eastAsia="pt-PT" w:bidi="pt-PT"/>
        </w:rPr>
        <w:t xml:space="preserve">IPCA + 6,00% a.a., </w:t>
      </w:r>
      <w:r>
        <w:rPr>
          <w:color w:val="000000"/>
          <w:spacing w:val="0"/>
          <w:w w:val="100"/>
          <w:position w:val="0"/>
          <w:shd w:val="clear" w:color="auto" w:fill="auto"/>
          <w:lang w:val="pt-PT" w:eastAsia="pt-PT" w:bidi="pt-PT"/>
        </w:rPr>
        <w:t>equivalente à meta atuarial.</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Ativos Elegíveis: Serão considerados elegíveis os títulos e valores mobiliários permitidos pela legislação vigente, </w:t>
      </w:r>
      <w:r>
        <w:rPr>
          <w:color w:val="000000"/>
          <w:spacing w:val="0"/>
          <w:w w:val="100"/>
          <w:position w:val="0"/>
          <w:shd w:val="clear" w:color="auto" w:fill="auto"/>
          <w:lang w:val="pt-BR" w:eastAsia="pt-BR" w:bidi="pt-BR"/>
        </w:rPr>
        <w:t xml:space="preserve">observando-se </w:t>
      </w:r>
      <w:r>
        <w:rPr>
          <w:color w:val="000000"/>
          <w:spacing w:val="0"/>
          <w:w w:val="100"/>
          <w:position w:val="0"/>
          <w:shd w:val="clear" w:color="auto" w:fill="auto"/>
          <w:lang w:val="pt-PT" w:eastAsia="pt-PT" w:bidi="pt-PT"/>
        </w:rPr>
        <w:t xml:space="preserve">os limites e categorias definidos na Resolução CMN n° 5.272/2025 e nesta Política de Investimentos. </w:t>
      </w:r>
      <w:r>
        <w:rPr>
          <w:color w:val="000000"/>
          <w:spacing w:val="0"/>
          <w:w w:val="100"/>
          <w:position w:val="0"/>
          <w:shd w:val="clear" w:color="auto" w:fill="auto"/>
          <w:lang w:val="pt-BR" w:eastAsia="pt-BR" w:bidi="pt-BR"/>
        </w:rPr>
        <w:t xml:space="preserve">Incluem-se </w:t>
      </w:r>
      <w:r>
        <w:rPr>
          <w:color w:val="000000"/>
          <w:spacing w:val="0"/>
          <w:w w:val="100"/>
          <w:position w:val="0"/>
          <w:shd w:val="clear" w:color="auto" w:fill="auto"/>
          <w:lang w:val="pt-PT" w:eastAsia="pt-PT" w:bidi="pt-PT"/>
        </w:rPr>
        <w:t>títulos públicos federais, operações compromissadas, cotas de fundos de investimento e demais instrumentos de renda fixa autorizados.</w:t>
      </w:r>
    </w:p>
    <w:p>
      <w:pPr>
        <w:pStyle w:val="Style13"/>
        <w:keepNext w:val="0"/>
        <w:keepLines w:val="0"/>
        <w:widowControl w:val="0"/>
        <w:shd w:val="clear" w:color="auto" w:fill="auto"/>
        <w:bidi w:val="0"/>
        <w:spacing w:before="0" w:line="269" w:lineRule="auto"/>
        <w:ind w:left="0" w:right="0" w:firstLine="740"/>
        <w:jc w:val="both"/>
      </w:pPr>
      <w:r>
        <w:rPr>
          <w:color w:val="000000"/>
          <w:spacing w:val="0"/>
          <w:w w:val="100"/>
          <w:position w:val="0"/>
          <w:shd w:val="clear" w:color="auto" w:fill="auto"/>
          <w:lang w:val="pt-PT" w:eastAsia="pt-PT" w:bidi="pt-PT"/>
        </w:rPr>
        <w:t xml:space="preserve">Nas operações com títulos públicos no mercado secundário, o RPPS deverá acompanhar os preços e taxas praticados, comparando-os aos parâmetros de referência da ANBIMA e do Tesouro Nacional, assegurando transparência e aderência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de mercado.</w:t>
      </w:r>
    </w:p>
    <w:p>
      <w:pPr>
        <w:pStyle w:val="Style13"/>
        <w:keepNext w:val="0"/>
        <w:keepLines w:val="0"/>
        <w:widowControl w:val="0"/>
        <w:shd w:val="clear" w:color="auto" w:fill="auto"/>
        <w:bidi w:val="0"/>
        <w:spacing w:before="0" w:line="266" w:lineRule="auto"/>
        <w:ind w:left="0" w:right="0" w:firstLine="740"/>
        <w:jc w:val="both"/>
      </w:pPr>
      <w:r>
        <w:rPr>
          <w:color w:val="000000"/>
          <w:spacing w:val="0"/>
          <w:w w:val="100"/>
          <w:position w:val="0"/>
          <w:shd w:val="clear" w:color="auto" w:fill="auto"/>
          <w:lang w:val="pt-PT" w:eastAsia="pt-PT" w:bidi="pt-PT"/>
        </w:rPr>
        <w:t>Da Avaliação de Desempenho das Aplicações</w:t>
      </w:r>
    </w:p>
    <w:p>
      <w:pPr>
        <w:pStyle w:val="Style13"/>
        <w:keepNext w:val="0"/>
        <w:keepLines w:val="0"/>
        <w:widowControl w:val="0"/>
        <w:shd w:val="clear" w:color="auto" w:fill="auto"/>
        <w:bidi w:val="0"/>
        <w:spacing w:before="0" w:line="266" w:lineRule="auto"/>
        <w:ind w:left="0" w:right="0" w:firstLine="740"/>
        <w:jc w:val="both"/>
      </w:pPr>
      <w:r>
        <w:rPr>
          <w:color w:val="000000"/>
          <w:spacing w:val="0"/>
          <w:w w:val="100"/>
          <w:position w:val="0"/>
          <w:shd w:val="clear" w:color="auto" w:fill="auto"/>
          <w:lang w:val="pt-PT" w:eastAsia="pt-PT" w:bidi="pt-PT"/>
        </w:rPr>
        <w:t>As aplicações serão avaliadas por meio da elaboração de relatórios mensais, sendo acompanhadas pelo gestor diariamente. Mensalmente, elaborar-se-á o relatório de avaliação de desempenho, adotando medidas cabíveis no caso de constatação de desempenho insatisfatório, segundo os objetivos e estratégias da gestão e exposição a riscos acentuados diante de cenários de conjuntura adversa.</w:t>
      </w:r>
    </w:p>
    <w:p>
      <w:pPr>
        <w:pStyle w:val="Style13"/>
        <w:keepNext w:val="0"/>
        <w:keepLines w:val="0"/>
        <w:widowControl w:val="0"/>
        <w:shd w:val="clear" w:color="auto" w:fill="auto"/>
        <w:bidi w:val="0"/>
        <w:spacing w:before="0" w:line="264" w:lineRule="auto"/>
        <w:ind w:left="0" w:right="0" w:firstLine="740"/>
        <w:jc w:val="both"/>
      </w:pPr>
      <w:r>
        <w:rPr>
          <w:color w:val="000000"/>
          <w:spacing w:val="0"/>
          <w:w w:val="100"/>
          <w:position w:val="0"/>
          <w:shd w:val="clear" w:color="auto" w:fill="auto"/>
          <w:lang w:val="pt-PT" w:eastAsia="pt-PT" w:bidi="pt-PT"/>
        </w:rPr>
        <w:t xml:space="preserve">Os relatórios de desempenho compreenderão a comparação com os principais índices de mercado, sendo eles: para a renda fixa, os índices IMA ou CDI e para a renda variável, o Ibovespa. A volatilidade da carteira será controlada periodicamente. Para 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do risco de mercado, utilizar-se-á o cálculo do </w:t>
      </w:r>
      <w:r>
        <w:rPr>
          <w:b/>
          <w:bCs/>
          <w:i/>
          <w:iCs/>
          <w:color w:val="000000"/>
          <w:spacing w:val="0"/>
          <w:w w:val="100"/>
          <w:position w:val="0"/>
          <w:shd w:val="clear" w:color="auto" w:fill="auto"/>
          <w:lang w:val="pt-PT" w:eastAsia="pt-PT" w:bidi="pt-PT"/>
        </w:rPr>
        <w:t>Va/ue at Risk</w:t>
      </w:r>
      <w:r>
        <w:rPr>
          <w:color w:val="000000"/>
          <w:spacing w:val="0"/>
          <w:w w:val="100"/>
          <w:position w:val="0"/>
          <w:shd w:val="clear" w:color="auto" w:fill="auto"/>
          <w:lang w:val="pt-PT" w:eastAsia="pt-PT" w:bidi="pt-PT"/>
        </w:rPr>
        <w:t xml:space="preserve"> (VAR), com um grau de confiança de 95%, que sintetiza a maior </w:t>
      </w:r>
      <w:r>
        <w:rPr>
          <w:color w:val="000000"/>
          <w:spacing w:val="0"/>
          <w:w w:val="100"/>
          <w:position w:val="0"/>
          <w:shd w:val="clear" w:color="auto" w:fill="auto"/>
          <w:lang w:val="pt-BR" w:eastAsia="pt-BR" w:bidi="pt-BR"/>
        </w:rPr>
        <w:t xml:space="preserve">perda </w:t>
      </w:r>
      <w:r>
        <w:rPr>
          <w:color w:val="000000"/>
          <w:spacing w:val="0"/>
          <w:w w:val="100"/>
          <w:position w:val="0"/>
          <w:shd w:val="clear" w:color="auto" w:fill="auto"/>
          <w:lang w:val="pt-PT" w:eastAsia="pt-PT" w:bidi="pt-PT"/>
        </w:rPr>
        <w:t>esperada da carteira em condições normais de mercado.</w:t>
      </w:r>
    </w:p>
    <w:p>
      <w:pPr>
        <w:pStyle w:val="Style13"/>
        <w:keepNext w:val="0"/>
        <w:keepLines w:val="0"/>
        <w:widowControl w:val="0"/>
        <w:shd w:val="clear" w:color="auto" w:fill="auto"/>
        <w:bidi w:val="0"/>
        <w:spacing w:before="0" w:line="266" w:lineRule="auto"/>
        <w:ind w:left="0" w:right="0" w:firstLine="740"/>
        <w:jc w:val="both"/>
        <w:sectPr>
          <w:headerReference w:type="default" r:id="rId122"/>
          <w:headerReference w:type="even" r:id="rId123"/>
          <w:footnotePr>
            <w:pos w:val="pageBottom"/>
            <w:numFmt w:val="decimal"/>
            <w:numRestart w:val="continuous"/>
          </w:footnotePr>
          <w:pgSz w:w="11900" w:h="16840"/>
          <w:pgMar w:top="2015" w:left="1542" w:right="1603" w:bottom="505" w:header="0" w:footer="77" w:gutter="0"/>
          <w:cols w:space="720"/>
          <w:noEndnote/>
          <w:rtlGutter w:val="0"/>
          <w:docGrid w:linePitch="360"/>
        </w:sectPr>
      </w:pPr>
      <w:r>
        <w:rPr>
          <w:color w:val="000000"/>
          <w:spacing w:val="0"/>
          <w:w w:val="100"/>
          <w:position w:val="0"/>
          <w:shd w:val="clear" w:color="auto" w:fill="auto"/>
          <w:lang w:val="pt-PT" w:eastAsia="pt-PT" w:bidi="pt-PT"/>
        </w:rPr>
        <w:t xml:space="preserve">O RISCO DE CRÉDITO será controlado por meio da diversificação da carteira, da observação dos limites de crédito para as emissões privadas, pela consideração de classificação de risco das emissões ou dos emissores realizadas por agências classificadoras de risco e pelo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da exposição ao risco, em conformidade com o cumprimento diário da Política de</w:t>
      </w:r>
    </w:p>
    <w:p>
      <w:pPr>
        <w:pStyle w:val="Style13"/>
        <w:keepNext w:val="0"/>
        <w:keepLines w:val="0"/>
        <w:widowControl w:val="0"/>
        <w:shd w:val="clear" w:color="auto" w:fill="auto"/>
        <w:bidi w:val="0"/>
        <w:spacing w:before="0" w:after="1180" w:line="276" w:lineRule="auto"/>
        <w:ind w:left="0" w:right="0" w:firstLine="0"/>
        <w:jc w:val="both"/>
      </w:pPr>
      <w:r>
        <w:rPr>
          <w:color w:val="000000"/>
          <w:spacing w:val="0"/>
          <w:w w:val="100"/>
          <w:position w:val="0"/>
          <w:shd w:val="clear" w:color="auto" w:fill="auto"/>
          <w:lang w:val="pt-PT" w:eastAsia="pt-PT" w:bidi="pt-PT"/>
        </w:rPr>
        <w:t>Investimentos. O RISCO DE LIQUIDEZ não é preponderante no curto prazo, porém avaliar-se-á a concentração dos investimentos e a liquidez dos ativos financeiros de acordo com as obrigações futuras.</w:t>
      </w:r>
    </w:p>
    <w:p>
      <w:pPr>
        <w:pStyle w:val="Style13"/>
        <w:keepNext w:val="0"/>
        <w:keepLines w:val="0"/>
        <w:widowControl w:val="0"/>
        <w:shd w:val="clear" w:color="auto" w:fill="auto"/>
        <w:bidi w:val="0"/>
        <w:spacing w:before="0" w:line="269" w:lineRule="auto"/>
        <w:ind w:left="0" w:right="0" w:firstLine="760"/>
        <w:jc w:val="left"/>
      </w:pPr>
      <w:r>
        <w:rPr>
          <w:color w:val="000000"/>
          <w:spacing w:val="0"/>
          <w:w w:val="100"/>
          <w:position w:val="0"/>
          <w:shd w:val="clear" w:color="auto" w:fill="auto"/>
          <w:lang w:val="pt-PT" w:eastAsia="pt-PT" w:bidi="pt-PT"/>
        </w:rPr>
        <w:t>Dos Riscos de Mercado e Crédito</w:t>
      </w:r>
    </w:p>
    <w:p>
      <w:pPr>
        <w:pStyle w:val="Style13"/>
        <w:keepNext w:val="0"/>
        <w:keepLines w:val="0"/>
        <w:widowControl w:val="0"/>
        <w:shd w:val="clear" w:color="auto" w:fill="auto"/>
        <w:bidi w:val="0"/>
        <w:spacing w:before="0" w:line="266" w:lineRule="auto"/>
        <w:ind w:left="0" w:right="0" w:firstLine="700"/>
        <w:jc w:val="both"/>
      </w:pPr>
      <w:r>
        <w:rPr>
          <w:color w:val="000000"/>
          <w:spacing w:val="0"/>
          <w:w w:val="100"/>
          <w:position w:val="0"/>
          <w:shd w:val="clear" w:color="auto" w:fill="auto"/>
          <w:lang w:val="pt-PT" w:eastAsia="pt-PT" w:bidi="pt-PT"/>
        </w:rPr>
        <w:t xml:space="preserve">A gestão dos riscos do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tem como objetivo assegurar que as aplicações dos recursos previdenciários sejam conduzidas de forma prudente, preservando o equilíbrio entre segurança, rentabilidade, solvência e liquidez, conforme disposto na Resolução CMN n° 5.272/2025, no Art. 15, §1°, e na Portaria MTP n° 1.467/2022, especialmente nos Arts. 90 a 94.</w:t>
      </w:r>
    </w:p>
    <w:p>
      <w:pPr>
        <w:pStyle w:val="Style13"/>
        <w:keepNext w:val="0"/>
        <w:keepLines w:val="0"/>
        <w:widowControl w:val="0"/>
        <w:shd w:val="clear" w:color="auto" w:fill="auto"/>
        <w:bidi w:val="0"/>
        <w:spacing w:before="0" w:line="269" w:lineRule="auto"/>
        <w:ind w:left="0" w:right="0" w:firstLine="700"/>
        <w:jc w:val="both"/>
      </w:pPr>
      <w:r>
        <w:rPr>
          <w:color w:val="000000"/>
          <w:spacing w:val="0"/>
          <w:w w:val="100"/>
          <w:position w:val="0"/>
          <w:shd w:val="clear" w:color="auto" w:fill="auto"/>
          <w:lang w:val="pt-PT" w:eastAsia="pt-PT" w:bidi="pt-PT"/>
        </w:rPr>
        <w:t>O controle dos riscos é parte integrante do processo de gestão e acompanhamento dos investimentos, sendo utilizado para subsidiar decisões estratégicas e garantir o cumprimento das metas e limites desta Política de Investimentos.</w:t>
      </w:r>
    </w:p>
    <w:p>
      <w:pPr>
        <w:pStyle w:val="Style13"/>
        <w:keepNext w:val="0"/>
        <w:keepLines w:val="0"/>
        <w:widowControl w:val="0"/>
        <w:shd w:val="clear" w:color="auto" w:fill="auto"/>
        <w:bidi w:val="0"/>
        <w:spacing w:before="0" w:line="269" w:lineRule="auto"/>
        <w:ind w:left="0" w:right="0" w:firstLine="0"/>
        <w:jc w:val="both"/>
      </w:pPr>
      <w:r>
        <w:rPr>
          <w:b/>
          <w:bCs/>
          <w:i/>
          <w:iCs/>
          <w:color w:val="000000"/>
          <w:spacing w:val="0"/>
          <w:w w:val="100"/>
          <w:position w:val="0"/>
          <w:shd w:val="clear" w:color="auto" w:fill="auto"/>
          <w:lang w:val="pt-PT" w:eastAsia="pt-PT" w:bidi="pt-PT"/>
        </w:rPr>
        <w:t>Risco de Mercado</w:t>
      </w:r>
    </w:p>
    <w:p>
      <w:pPr>
        <w:pStyle w:val="Style13"/>
        <w:keepNext w:val="0"/>
        <w:keepLines w:val="0"/>
        <w:widowControl w:val="0"/>
        <w:shd w:val="clear" w:color="auto" w:fill="auto"/>
        <w:bidi w:val="0"/>
        <w:spacing w:before="0" w:line="269" w:lineRule="auto"/>
        <w:ind w:left="0" w:right="0" w:firstLine="760"/>
        <w:jc w:val="left"/>
      </w:pPr>
      <w:r>
        <w:rPr>
          <w:color w:val="000000"/>
          <w:spacing w:val="0"/>
          <w:w w:val="100"/>
          <w:position w:val="0"/>
          <w:shd w:val="clear" w:color="auto" w:fill="auto"/>
          <w:lang w:val="pt-PT" w:eastAsia="pt-PT" w:bidi="pt-PT"/>
        </w:rPr>
        <w:t xml:space="preserve">O risco de mercado consiste na possibilidade de </w:t>
      </w:r>
      <w:r>
        <w:rPr>
          <w:color w:val="000000"/>
          <w:spacing w:val="0"/>
          <w:w w:val="100"/>
          <w:position w:val="0"/>
          <w:shd w:val="clear" w:color="auto" w:fill="auto"/>
          <w:lang w:val="pt-BR" w:eastAsia="pt-BR" w:bidi="pt-BR"/>
        </w:rPr>
        <w:t xml:space="preserve">perdas </w:t>
      </w:r>
      <w:r>
        <w:rPr>
          <w:color w:val="000000"/>
          <w:spacing w:val="0"/>
          <w:w w:val="100"/>
          <w:position w:val="0"/>
          <w:shd w:val="clear" w:color="auto" w:fill="auto"/>
          <w:lang w:val="pt-PT" w:eastAsia="pt-PT" w:bidi="pt-PT"/>
        </w:rPr>
        <w:t>decorrentes da oscilação adversa dos preços e taxas de juros que impactam o valor dos ativos da carteira.</w:t>
      </w:r>
    </w:p>
    <w:p>
      <w:pPr>
        <w:pStyle w:val="Style13"/>
        <w:keepNext w:val="0"/>
        <w:keepLines w:val="0"/>
        <w:widowControl w:val="0"/>
        <w:shd w:val="clear" w:color="auto" w:fill="auto"/>
        <w:bidi w:val="0"/>
        <w:spacing w:before="0" w:line="276" w:lineRule="auto"/>
        <w:ind w:left="0" w:right="0" w:firstLine="760"/>
        <w:jc w:val="left"/>
      </w:pPr>
      <w:r>
        <w:rPr>
          <w:color w:val="000000"/>
          <w:spacing w:val="0"/>
          <w:w w:val="100"/>
          <w:position w:val="0"/>
          <w:shd w:val="clear" w:color="auto" w:fill="auto"/>
          <w:lang w:val="pt-PT" w:eastAsia="pt-PT" w:bidi="pt-PT"/>
        </w:rPr>
        <w:t>Para monitorar e controlar esse risco, o RPPS adotará o Value-at-Risk (VaR) como principal métrica, utilizando os seguintes parâmetros técnicos:</w:t>
      </w:r>
    </w:p>
    <w:p>
      <w:pPr>
        <w:pStyle w:val="Style13"/>
        <w:keepNext w:val="0"/>
        <w:keepLines w:val="0"/>
        <w:widowControl w:val="0"/>
        <w:shd w:val="clear" w:color="auto" w:fill="auto"/>
        <w:bidi w:val="0"/>
        <w:spacing w:before="0" w:after="0" w:line="317" w:lineRule="auto"/>
        <w:ind w:left="1020" w:right="0" w:hanging="3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Modelo: Não paramétrico (Histórico);</w:t>
      </w:r>
    </w:p>
    <w:p>
      <w:pPr>
        <w:pStyle w:val="Style13"/>
        <w:keepNext w:val="0"/>
        <w:keepLines w:val="0"/>
        <w:widowControl w:val="0"/>
        <w:shd w:val="clear" w:color="auto" w:fill="auto"/>
        <w:bidi w:val="0"/>
        <w:spacing w:before="0" w:after="0" w:line="317" w:lineRule="auto"/>
        <w:ind w:left="1020" w:right="0" w:hanging="320"/>
        <w:jc w:val="both"/>
      </w:pPr>
      <w:r>
        <w:rPr>
          <w:color w:val="000000"/>
          <w:spacing w:val="0"/>
          <w:w w:val="100"/>
          <w:position w:val="0"/>
          <w:shd w:val="clear" w:color="auto" w:fill="auto"/>
          <w:lang w:val="pt-PT" w:eastAsia="pt-PT" w:bidi="pt-PT"/>
        </w:rPr>
        <w:t>✓ Intervalo de Confiança: 95%;</w:t>
      </w:r>
    </w:p>
    <w:p>
      <w:pPr>
        <w:pStyle w:val="Style13"/>
        <w:keepNext w:val="0"/>
        <w:keepLines w:val="0"/>
        <w:widowControl w:val="0"/>
        <w:shd w:val="clear" w:color="auto" w:fill="auto"/>
        <w:bidi w:val="0"/>
        <w:spacing w:before="0" w:after="0" w:line="317" w:lineRule="auto"/>
        <w:ind w:left="1020" w:right="0" w:hanging="320"/>
        <w:jc w:val="both"/>
      </w:pPr>
      <w:r>
        <w:rPr>
          <w:color w:val="000000"/>
          <w:spacing w:val="0"/>
          <w:w w:val="100"/>
          <w:position w:val="0"/>
          <w:shd w:val="clear" w:color="auto" w:fill="auto"/>
          <w:lang w:val="pt-PT" w:eastAsia="pt-PT" w:bidi="pt-PT"/>
        </w:rPr>
        <w:t>v' Horizonte de Tempo: 21 dias úteis;</w:t>
      </w:r>
    </w:p>
    <w:p>
      <w:pPr>
        <w:pStyle w:val="Style13"/>
        <w:keepNext w:val="0"/>
        <w:keepLines w:val="0"/>
        <w:widowControl w:val="0"/>
        <w:shd w:val="clear" w:color="auto" w:fill="auto"/>
        <w:bidi w:val="0"/>
        <w:spacing w:before="0" w:line="317" w:lineRule="auto"/>
        <w:ind w:left="1020" w:right="0" w:firstLine="20"/>
        <w:jc w:val="both"/>
      </w:pPr>
      <w:r>
        <w:rPr>
          <w:color w:val="000000"/>
          <w:spacing w:val="0"/>
          <w:w w:val="100"/>
          <w:position w:val="0"/>
          <w:shd w:val="clear" w:color="auto" w:fill="auto"/>
          <w:lang w:val="pt-PT" w:eastAsia="pt-PT" w:bidi="pt-PT"/>
        </w:rPr>
        <w:t xml:space="preserve">Periodicidade de Cálculo: Mensal (ou inferior, caso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julgue necessário).</w:t>
      </w:r>
    </w:p>
    <w:p>
      <w:pPr>
        <w:pStyle w:val="Style13"/>
        <w:keepNext w:val="0"/>
        <w:keepLines w:val="0"/>
        <w:widowControl w:val="0"/>
        <w:shd w:val="clear" w:color="auto" w:fill="auto"/>
        <w:bidi w:val="0"/>
        <w:spacing w:before="0" w:line="269" w:lineRule="auto"/>
        <w:ind w:left="1020" w:right="0" w:hanging="320"/>
        <w:jc w:val="both"/>
      </w:pPr>
      <w:r>
        <w:rPr>
          <w:color w:val="000000"/>
          <w:spacing w:val="0"/>
          <w:w w:val="100"/>
          <w:position w:val="0"/>
          <w:shd w:val="clear" w:color="auto" w:fill="auto"/>
          <w:lang w:val="pt-PT" w:eastAsia="pt-PT" w:bidi="pt-PT"/>
        </w:rPr>
        <w:t>Os limites de VaR definidos por segmento de aplicação são os seguintes:</w:t>
      </w:r>
    </w:p>
    <w:p>
      <w:pPr>
        <w:pStyle w:val="Style13"/>
        <w:keepNext w:val="0"/>
        <w:keepLines w:val="0"/>
        <w:widowControl w:val="0"/>
        <w:shd w:val="clear" w:color="auto" w:fill="auto"/>
        <w:bidi w:val="0"/>
        <w:spacing w:before="0" w:after="0" w:line="269" w:lineRule="auto"/>
        <w:ind w:left="1020" w:right="0" w:hanging="320"/>
        <w:jc w:val="both"/>
      </w:pPr>
      <w:r>
        <w:rPr>
          <w:color w:val="000000"/>
          <w:spacing w:val="0"/>
          <w:w w:val="100"/>
          <w:position w:val="0"/>
          <w:shd w:val="clear" w:color="auto" w:fill="auto"/>
          <w:lang w:val="pt-PT" w:eastAsia="pt-PT" w:bidi="pt-PT"/>
        </w:rPr>
        <w:t>v' Renda Fixa: até 4,00%;</w:t>
      </w:r>
    </w:p>
    <w:p>
      <w:pPr>
        <w:pStyle w:val="Style13"/>
        <w:keepNext w:val="0"/>
        <w:keepLines w:val="0"/>
        <w:widowControl w:val="0"/>
        <w:shd w:val="clear" w:color="auto" w:fill="auto"/>
        <w:bidi w:val="0"/>
        <w:spacing w:before="0" w:after="140" w:line="269" w:lineRule="auto"/>
        <w:ind w:left="1020" w:right="0" w:hanging="320"/>
        <w:jc w:val="both"/>
      </w:pPr>
      <w:r>
        <w:rPr>
          <w:color w:val="000000"/>
          <w:spacing w:val="0"/>
          <w:w w:val="100"/>
          <w:position w:val="0"/>
          <w:shd w:val="clear" w:color="auto" w:fill="auto"/>
          <w:lang w:val="pt-PT" w:eastAsia="pt-PT" w:bidi="pt-PT"/>
        </w:rPr>
        <w:t>v' Renda Variável: até 20,00%.</w:t>
      </w:r>
    </w:p>
    <w:p>
      <w:pPr>
        <w:pStyle w:val="Style13"/>
        <w:keepNext w:val="0"/>
        <w:keepLines w:val="0"/>
        <w:widowControl w:val="0"/>
        <w:shd w:val="clear" w:color="auto" w:fill="auto"/>
        <w:bidi w:val="0"/>
        <w:spacing w:before="0" w:line="269" w:lineRule="auto"/>
        <w:ind w:left="0" w:right="0" w:firstLine="700"/>
        <w:jc w:val="both"/>
      </w:pPr>
      <w:r>
        <w:rPr>
          <w:color w:val="000000"/>
          <w:spacing w:val="0"/>
          <w:w w:val="100"/>
          <w:position w:val="0"/>
          <w:shd w:val="clear" w:color="auto" w:fill="auto"/>
          <w:lang w:val="pt-PT" w:eastAsia="pt-PT" w:bidi="pt-PT"/>
        </w:rPr>
        <w:t xml:space="preserve">Sempre que o VaR apurado ultrapassar o limite estabelecido, será acionado o Plano de Contingência, com convocação do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Investimentos para análise e definição das medidas corretivas, conforme metodologia descrita no </w:t>
      </w:r>
      <w:r>
        <w:rPr>
          <w:color w:val="000000"/>
          <w:spacing w:val="0"/>
          <w:w w:val="100"/>
          <w:position w:val="0"/>
          <w:shd w:val="clear" w:color="auto" w:fill="auto"/>
          <w:lang w:val="pt-BR" w:eastAsia="pt-BR" w:bidi="pt-BR"/>
        </w:rPr>
        <w:t xml:space="preserve">respectivo </w:t>
      </w:r>
      <w:r>
        <w:rPr>
          <w:color w:val="000000"/>
          <w:spacing w:val="0"/>
          <w:w w:val="100"/>
          <w:position w:val="0"/>
          <w:shd w:val="clear" w:color="auto" w:fill="auto"/>
          <w:lang w:val="pt-PT" w:eastAsia="pt-PT" w:bidi="pt-PT"/>
        </w:rPr>
        <w:t>capítulo desta Política.</w:t>
      </w:r>
    </w:p>
    <w:p>
      <w:pPr>
        <w:pStyle w:val="Style13"/>
        <w:keepNext w:val="0"/>
        <w:keepLines w:val="0"/>
        <w:widowControl w:val="0"/>
        <w:shd w:val="clear" w:color="auto" w:fill="auto"/>
        <w:bidi w:val="0"/>
        <w:spacing w:before="0" w:after="480" w:line="269" w:lineRule="auto"/>
        <w:ind w:left="0" w:right="0" w:firstLine="700"/>
        <w:jc w:val="both"/>
      </w:pPr>
      <w:r>
        <w:rPr>
          <w:color w:val="000000"/>
          <w:spacing w:val="0"/>
          <w:w w:val="100"/>
          <w:position w:val="0"/>
          <w:shd w:val="clear" w:color="auto" w:fill="auto"/>
          <w:lang w:val="pt-PT" w:eastAsia="pt-PT" w:bidi="pt-PT"/>
        </w:rPr>
        <w:t>Além do VaR, poderão ser utilizados indicadores complementares, como volatilidade histórica, duration e outros, para simular diferentes cenários de mercado e avaliar a sensibilidade da carteira a choques de taxa, câmbio e inflação.</w:t>
      </w:r>
    </w:p>
    <w:p>
      <w:pPr>
        <w:pStyle w:val="Style13"/>
        <w:keepNext w:val="0"/>
        <w:keepLines w:val="0"/>
        <w:widowControl w:val="0"/>
        <w:shd w:val="clear" w:color="auto" w:fill="auto"/>
        <w:bidi w:val="0"/>
        <w:spacing w:before="0" w:line="262" w:lineRule="auto"/>
        <w:ind w:left="0" w:right="0" w:firstLine="0"/>
        <w:jc w:val="both"/>
      </w:pPr>
      <w:r>
        <w:rPr>
          <w:b/>
          <w:bCs/>
          <w:i/>
          <w:iCs/>
          <w:color w:val="000000"/>
          <w:spacing w:val="0"/>
          <w:w w:val="100"/>
          <w:position w:val="0"/>
          <w:shd w:val="clear" w:color="auto" w:fill="auto"/>
          <w:lang w:val="pt-PT" w:eastAsia="pt-PT" w:bidi="pt-PT"/>
        </w:rPr>
        <w:t>Risco de Crédito</w:t>
      </w:r>
    </w:p>
    <w:p>
      <w:pPr>
        <w:pStyle w:val="Style13"/>
        <w:keepNext w:val="0"/>
        <w:keepLines w:val="0"/>
        <w:widowControl w:val="0"/>
        <w:shd w:val="clear" w:color="auto" w:fill="auto"/>
        <w:bidi w:val="0"/>
        <w:spacing w:before="0" w:after="480" w:line="262" w:lineRule="auto"/>
        <w:ind w:left="0" w:right="0" w:firstLine="760"/>
        <w:jc w:val="left"/>
      </w:pPr>
      <w:r>
        <w:rPr>
          <w:color w:val="000000"/>
          <w:spacing w:val="0"/>
          <w:w w:val="100"/>
          <w:position w:val="0"/>
          <w:shd w:val="clear" w:color="auto" w:fill="auto"/>
          <w:lang w:val="pt-PT" w:eastAsia="pt-PT" w:bidi="pt-PT"/>
        </w:rPr>
        <w:t>O risco de crédito é definido como a possibilidade de inadimplemento total ou parcial das obrigações financeiras por parte dos emissores ou contraparte das operações realizadas.</w:t>
      </w:r>
    </w:p>
    <w:p>
      <w:pPr>
        <w:pStyle w:val="Style13"/>
        <w:keepNext w:val="0"/>
        <w:keepLines w:val="0"/>
        <w:widowControl w:val="0"/>
        <w:shd w:val="clear" w:color="auto" w:fill="auto"/>
        <w:bidi w:val="0"/>
        <w:spacing w:before="0" w:line="312" w:lineRule="auto"/>
        <w:ind w:left="0" w:right="0" w:firstLine="760"/>
        <w:jc w:val="left"/>
      </w:pPr>
      <w:r>
        <w:rPr>
          <w:color w:val="000000"/>
          <w:spacing w:val="0"/>
          <w:w w:val="100"/>
          <w:position w:val="0"/>
          <w:shd w:val="clear" w:color="auto" w:fill="auto"/>
          <w:lang w:val="pt-PT" w:eastAsia="pt-PT" w:bidi="pt-PT"/>
        </w:rPr>
        <w:t>Para controle desse risco, o RPPS adotará os seguintes critérios:</w:t>
      </w:r>
    </w:p>
    <w:p>
      <w:pPr>
        <w:pStyle w:val="Style13"/>
        <w:keepNext w:val="0"/>
        <w:keepLines w:val="0"/>
        <w:widowControl w:val="0"/>
        <w:shd w:val="clear" w:color="auto" w:fill="auto"/>
        <w:bidi w:val="0"/>
        <w:spacing w:before="0" w:after="260" w:line="324" w:lineRule="auto"/>
        <w:ind w:left="1020" w:right="0" w:hanging="320"/>
        <w:jc w:val="both"/>
        <w:rPr>
          <w:sz w:val="18"/>
          <w:szCs w:val="18"/>
        </w:rPr>
      </w:pPr>
      <w:r>
        <w:rPr>
          <w:color w:val="000000"/>
          <w:spacing w:val="0"/>
          <w:w w:val="100"/>
          <w:position w:val="0"/>
          <w:sz w:val="19"/>
          <w:szCs w:val="19"/>
          <w:shd w:val="clear" w:color="auto" w:fill="auto"/>
          <w:lang w:val="pt-PT" w:eastAsia="pt-PT" w:bidi="pt-PT"/>
        </w:rPr>
        <w:t xml:space="preserve">v' O investimento somente será realizado em ativos que apresentem </w:t>
      </w:r>
      <w:r>
        <w:rPr>
          <w:b/>
          <w:bCs/>
          <w:color w:val="000000"/>
          <w:spacing w:val="0"/>
          <w:w w:val="100"/>
          <w:position w:val="0"/>
          <w:sz w:val="18"/>
          <w:szCs w:val="18"/>
          <w:shd w:val="clear" w:color="auto" w:fill="auto"/>
          <w:lang w:val="pt-PT" w:eastAsia="pt-PT" w:bidi="pt-PT"/>
        </w:rPr>
        <w:t xml:space="preserve">qualidade mínima de crédito </w:t>
      </w:r>
      <w:r>
        <w:rPr>
          <w:color w:val="000000"/>
          <w:spacing w:val="0"/>
          <w:w w:val="100"/>
          <w:position w:val="0"/>
          <w:sz w:val="19"/>
          <w:szCs w:val="19"/>
          <w:shd w:val="clear" w:color="auto" w:fill="auto"/>
          <w:lang w:val="pt-PT" w:eastAsia="pt-PT" w:bidi="pt-PT"/>
        </w:rPr>
        <w:t xml:space="preserve">compatível com a legislação vigente, conforme previsto na </w:t>
      </w:r>
      <w:r>
        <w:rPr>
          <w:b/>
          <w:bCs/>
          <w:color w:val="000000"/>
          <w:spacing w:val="0"/>
          <w:w w:val="100"/>
          <w:position w:val="0"/>
          <w:sz w:val="18"/>
          <w:szCs w:val="18"/>
          <w:shd w:val="clear" w:color="auto" w:fill="auto"/>
          <w:lang w:val="pt-PT" w:eastAsia="pt-PT" w:bidi="pt-PT"/>
        </w:rPr>
        <w:t>Resolução CMN n° 5.272/2025;</w:t>
      </w:r>
    </w:p>
    <w:p>
      <w:pPr>
        <w:widowControl w:val="0"/>
        <w:jc w:val="right"/>
        <w:rPr>
          <w:sz w:val="2"/>
          <w:szCs w:val="2"/>
        </w:rPr>
      </w:pPr>
      <w:r>
        <w:drawing>
          <wp:inline>
            <wp:extent cx="518160" cy="267970"/>
            <wp:docPr id="230" name="Picutre 230"/>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124"/>
                    <a:stretch/>
                  </pic:blipFill>
                  <pic:spPr>
                    <a:xfrm>
                      <a:ext cx="518160" cy="267970"/>
                    </a:xfrm>
                    <a:prstGeom prst="rect"/>
                  </pic:spPr>
                </pic:pic>
              </a:graphicData>
            </a:graphic>
          </wp:inline>
        </w:drawing>
      </w:r>
    </w:p>
    <w:p>
      <w:pPr>
        <w:pStyle w:val="Style13"/>
        <w:keepNext w:val="0"/>
        <w:keepLines w:val="0"/>
        <w:widowControl w:val="0"/>
        <w:shd w:val="clear" w:color="auto" w:fill="auto"/>
        <w:bidi w:val="0"/>
        <w:spacing w:before="0" w:after="0" w:line="312" w:lineRule="auto"/>
        <w:ind w:left="980" w:right="0" w:hanging="340"/>
        <w:jc w:val="both"/>
      </w:pPr>
      <w:r>
        <w:rPr>
          <w:b/>
          <w:bCs/>
          <w:i/>
          <w:iCs/>
          <w:color w:val="000000"/>
          <w:spacing w:val="0"/>
          <w:w w:val="100"/>
          <w:position w:val="0"/>
          <w:shd w:val="clear" w:color="auto" w:fill="auto"/>
          <w:lang w:val="pt-PT" w:eastAsia="pt-PT" w:bidi="pt-PT"/>
        </w:rPr>
        <w:t>J k</w:t>
      </w:r>
      <w:r>
        <w:rPr>
          <w:color w:val="000000"/>
          <w:spacing w:val="0"/>
          <w:w w:val="100"/>
          <w:position w:val="0"/>
          <w:shd w:val="clear" w:color="auto" w:fill="auto"/>
          <w:lang w:val="pt-PT" w:eastAsia="pt-PT" w:bidi="pt-PT"/>
        </w:rPr>
        <w:t xml:space="preserve"> aceitação do ativo estará condicionada à existência de </w:t>
      </w:r>
      <w:r>
        <w:rPr>
          <w:b/>
          <w:bCs/>
          <w:color w:val="000000"/>
          <w:spacing w:val="0"/>
          <w:w w:val="100"/>
          <w:position w:val="0"/>
          <w:sz w:val="18"/>
          <w:szCs w:val="18"/>
          <w:shd w:val="clear" w:color="auto" w:fill="auto"/>
          <w:lang w:val="pt-PT" w:eastAsia="pt-PT" w:bidi="pt-PT"/>
        </w:rPr>
        <w:t xml:space="preserve">classificação de risco </w:t>
      </w:r>
      <w:r>
        <w:rPr>
          <w:b/>
          <w:bCs/>
          <w:i/>
          <w:iCs/>
          <w:color w:val="000000"/>
          <w:spacing w:val="0"/>
          <w:w w:val="100"/>
          <w:position w:val="0"/>
          <w:shd w:val="clear" w:color="auto" w:fill="auto"/>
          <w:lang w:val="pt-PT" w:eastAsia="pt-PT" w:bidi="pt-PT"/>
        </w:rPr>
        <w:t>(rating)</w:t>
      </w:r>
      <w:r>
        <w:rPr>
          <w:color w:val="000000"/>
          <w:spacing w:val="0"/>
          <w:w w:val="100"/>
          <w:position w:val="0"/>
          <w:shd w:val="clear" w:color="auto" w:fill="auto"/>
          <w:lang w:val="pt-PT" w:eastAsia="pt-PT" w:bidi="pt-PT"/>
        </w:rPr>
        <w:t xml:space="preserve"> emitida por empresa reconhecida pela CVM ou pelo Banco Central;</w:t>
      </w:r>
    </w:p>
    <w:p>
      <w:pPr>
        <w:pStyle w:val="Style13"/>
        <w:keepNext w:val="0"/>
        <w:keepLines w:val="0"/>
        <w:widowControl w:val="0"/>
        <w:shd w:val="clear" w:color="auto" w:fill="auto"/>
        <w:bidi w:val="0"/>
        <w:spacing w:before="0" w:after="0" w:line="312" w:lineRule="auto"/>
        <w:ind w:left="980" w:right="0" w:hanging="34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Quando não houver rating formal, deverá ser apresentada </w:t>
      </w:r>
      <w:r>
        <w:rPr>
          <w:b/>
          <w:bCs/>
          <w:color w:val="000000"/>
          <w:spacing w:val="0"/>
          <w:w w:val="100"/>
          <w:position w:val="0"/>
          <w:sz w:val="18"/>
          <w:szCs w:val="18"/>
          <w:shd w:val="clear" w:color="auto" w:fill="auto"/>
          <w:lang w:val="pt-PT" w:eastAsia="pt-PT" w:bidi="pt-PT"/>
        </w:rPr>
        <w:t xml:space="preserve">análise técnica fundamentada, </w:t>
      </w:r>
      <w:r>
        <w:rPr>
          <w:color w:val="000000"/>
          <w:spacing w:val="0"/>
          <w:w w:val="100"/>
          <w:position w:val="0"/>
          <w:shd w:val="clear" w:color="auto" w:fill="auto"/>
          <w:lang w:val="pt-PT" w:eastAsia="pt-PT" w:bidi="pt-PT"/>
        </w:rPr>
        <w:t>elaborada pela gestora, consultoria de investimentos ou instituição credenciada, contendo parâmetros equivalentes de solvência e risco;</w:t>
      </w:r>
    </w:p>
    <w:p>
      <w:pPr>
        <w:pStyle w:val="Style13"/>
        <w:keepNext w:val="0"/>
        <w:keepLines w:val="0"/>
        <w:widowControl w:val="0"/>
        <w:numPr>
          <w:ilvl w:val="0"/>
          <w:numId w:val="7"/>
        </w:numPr>
        <w:shd w:val="clear" w:color="auto" w:fill="auto"/>
        <w:tabs>
          <w:tab w:pos="986" w:val="left"/>
        </w:tabs>
        <w:bidi w:val="0"/>
        <w:spacing w:before="0" w:after="0" w:line="312" w:lineRule="auto"/>
        <w:ind w:left="980" w:right="0" w:hanging="340"/>
        <w:jc w:val="both"/>
      </w:pPr>
      <w:r>
        <w:rPr>
          <w:color w:val="000000"/>
          <w:spacing w:val="0"/>
          <w:w w:val="100"/>
          <w:position w:val="0"/>
          <w:shd w:val="clear" w:color="auto" w:fill="auto"/>
          <w:lang w:val="pt-PT" w:eastAsia="pt-PT" w:bidi="pt-PT"/>
        </w:rPr>
        <w:t xml:space="preserve">O RPPS observará </w:t>
      </w:r>
      <w:r>
        <w:rPr>
          <w:b/>
          <w:bCs/>
          <w:color w:val="000000"/>
          <w:spacing w:val="0"/>
          <w:w w:val="100"/>
          <w:position w:val="0"/>
          <w:sz w:val="18"/>
          <w:szCs w:val="18"/>
          <w:shd w:val="clear" w:color="auto" w:fill="auto"/>
          <w:lang w:val="pt-PT" w:eastAsia="pt-PT" w:bidi="pt-PT"/>
        </w:rPr>
        <w:t xml:space="preserve">limites de concentração por emissor </w:t>
      </w:r>
      <w:r>
        <w:rPr>
          <w:color w:val="000000"/>
          <w:spacing w:val="0"/>
          <w:w w:val="100"/>
          <w:position w:val="0"/>
          <w:shd w:val="clear" w:color="auto" w:fill="auto"/>
          <w:lang w:val="pt-PT" w:eastAsia="pt-PT" w:bidi="pt-PT"/>
        </w:rPr>
        <w:t xml:space="preserve">e diversificação por tipo de ativo, de forma a evitar concentração excessiva em emissores de um mesmo grupo </w:t>
      </w:r>
      <w:r>
        <w:rPr>
          <w:color w:val="000000"/>
          <w:spacing w:val="0"/>
          <w:w w:val="100"/>
          <w:position w:val="0"/>
          <w:shd w:val="clear" w:color="auto" w:fill="auto"/>
          <w:lang w:val="pt-BR" w:eastAsia="pt-BR" w:bidi="pt-BR"/>
        </w:rPr>
        <w:t>econômico;</w:t>
      </w:r>
    </w:p>
    <w:p>
      <w:pPr>
        <w:pStyle w:val="Style13"/>
        <w:keepNext w:val="0"/>
        <w:keepLines w:val="0"/>
        <w:widowControl w:val="0"/>
        <w:numPr>
          <w:ilvl w:val="0"/>
          <w:numId w:val="7"/>
        </w:numPr>
        <w:shd w:val="clear" w:color="auto" w:fill="auto"/>
        <w:tabs>
          <w:tab w:pos="986" w:val="left"/>
        </w:tabs>
        <w:bidi w:val="0"/>
        <w:spacing w:before="0" w:after="460" w:line="317" w:lineRule="auto"/>
        <w:ind w:left="980" w:right="0" w:hanging="340"/>
        <w:jc w:val="both"/>
      </w:pPr>
      <w:r>
        <w:rPr>
          <w:color w:val="000000"/>
          <w:spacing w:val="0"/>
          <w:w w:val="100"/>
          <w:position w:val="0"/>
          <w:shd w:val="clear" w:color="auto" w:fill="auto"/>
          <w:lang w:val="pt-PT" w:eastAsia="pt-PT" w:bidi="pt-PT"/>
        </w:rPr>
        <w:t xml:space="preserve">Serão periodicamente avaliados os </w:t>
      </w:r>
      <w:r>
        <w:rPr>
          <w:b/>
          <w:bCs/>
          <w:color w:val="000000"/>
          <w:spacing w:val="0"/>
          <w:w w:val="100"/>
          <w:position w:val="0"/>
          <w:sz w:val="18"/>
          <w:szCs w:val="18"/>
          <w:shd w:val="clear" w:color="auto" w:fill="auto"/>
          <w:lang w:val="pt-PT" w:eastAsia="pt-PT" w:bidi="pt-PT"/>
        </w:rPr>
        <w:t xml:space="preserve">relatórios de </w:t>
      </w:r>
      <w:r>
        <w:rPr>
          <w:b/>
          <w:bCs/>
          <w:i/>
          <w:iCs/>
          <w:color w:val="000000"/>
          <w:spacing w:val="0"/>
          <w:w w:val="100"/>
          <w:position w:val="0"/>
          <w:shd w:val="clear" w:color="auto" w:fill="auto"/>
          <w:lang w:val="pt-PT" w:eastAsia="pt-PT" w:bidi="pt-PT"/>
        </w:rPr>
        <w:t>rating,</w:t>
      </w:r>
      <w:r>
        <w:rPr>
          <w:color w:val="000000"/>
          <w:spacing w:val="0"/>
          <w:w w:val="100"/>
          <w:position w:val="0"/>
          <w:shd w:val="clear" w:color="auto" w:fill="auto"/>
          <w:lang w:val="pt-PT" w:eastAsia="pt-PT" w:bidi="pt-PT"/>
        </w:rPr>
        <w:t xml:space="preserve"> variações de classificação e eventos de crédito que possam afetar a segurança das aplicações.</w:t>
      </w:r>
    </w:p>
    <w:p>
      <w:pPr>
        <w:pStyle w:val="Style13"/>
        <w:keepNext w:val="0"/>
        <w:keepLines w:val="0"/>
        <w:widowControl w:val="0"/>
        <w:shd w:val="clear" w:color="auto" w:fill="auto"/>
        <w:bidi w:val="0"/>
        <w:spacing w:before="0" w:line="276" w:lineRule="auto"/>
        <w:ind w:left="0" w:right="0"/>
        <w:jc w:val="both"/>
        <w:rPr>
          <w:sz w:val="18"/>
          <w:szCs w:val="18"/>
        </w:rPr>
      </w:pPr>
      <w:r>
        <w:rPr>
          <w:color w:val="000000"/>
          <w:spacing w:val="0"/>
          <w:w w:val="100"/>
          <w:position w:val="0"/>
          <w:sz w:val="19"/>
          <w:szCs w:val="19"/>
          <w:shd w:val="clear" w:color="auto" w:fill="auto"/>
          <w:lang w:val="pt-PT" w:eastAsia="pt-PT" w:bidi="pt-PT"/>
        </w:rPr>
        <w:t xml:space="preserve">Em caso de </w:t>
      </w:r>
      <w:r>
        <w:rPr>
          <w:b/>
          <w:bCs/>
          <w:color w:val="000000"/>
          <w:spacing w:val="0"/>
          <w:w w:val="100"/>
          <w:position w:val="0"/>
          <w:sz w:val="18"/>
          <w:szCs w:val="18"/>
          <w:shd w:val="clear" w:color="auto" w:fill="auto"/>
          <w:lang w:val="pt-PT" w:eastAsia="pt-PT" w:bidi="pt-PT"/>
        </w:rPr>
        <w:t xml:space="preserve">rebaixamento relevante de rating </w:t>
      </w:r>
      <w:r>
        <w:rPr>
          <w:color w:val="000000"/>
          <w:spacing w:val="0"/>
          <w:w w:val="100"/>
          <w:position w:val="0"/>
          <w:sz w:val="19"/>
          <w:szCs w:val="19"/>
          <w:shd w:val="clear" w:color="auto" w:fill="auto"/>
          <w:lang w:val="pt-PT" w:eastAsia="pt-PT" w:bidi="pt-PT"/>
        </w:rPr>
        <w:t xml:space="preserve">ou de constatação de </w:t>
      </w:r>
      <w:r>
        <w:rPr>
          <w:b/>
          <w:bCs/>
          <w:color w:val="000000"/>
          <w:spacing w:val="0"/>
          <w:w w:val="100"/>
          <w:position w:val="0"/>
          <w:sz w:val="18"/>
          <w:szCs w:val="18"/>
          <w:shd w:val="clear" w:color="auto" w:fill="auto"/>
          <w:lang w:val="pt-PT" w:eastAsia="pt-PT" w:bidi="pt-PT"/>
        </w:rPr>
        <w:t xml:space="preserve">deterioração financeira do emissor, </w:t>
      </w:r>
      <w:r>
        <w:rPr>
          <w:color w:val="000000"/>
          <w:spacing w:val="0"/>
          <w:w w:val="100"/>
          <w:position w:val="0"/>
          <w:sz w:val="19"/>
          <w:szCs w:val="19"/>
          <w:shd w:val="clear" w:color="auto" w:fill="auto"/>
          <w:lang w:val="pt-PT" w:eastAsia="pt-PT" w:bidi="pt-PT"/>
        </w:rPr>
        <w:t xml:space="preserve">o </w:t>
      </w:r>
      <w:r>
        <w:rPr>
          <w:color w:val="000000"/>
          <w:spacing w:val="0"/>
          <w:w w:val="100"/>
          <w:position w:val="0"/>
          <w:sz w:val="19"/>
          <w:szCs w:val="19"/>
          <w:shd w:val="clear" w:color="auto" w:fill="auto"/>
          <w:lang w:val="pt-BR" w:eastAsia="pt-BR" w:bidi="pt-BR"/>
        </w:rPr>
        <w:t xml:space="preserve">Comitê </w:t>
      </w:r>
      <w:r>
        <w:rPr>
          <w:color w:val="000000"/>
          <w:spacing w:val="0"/>
          <w:w w:val="100"/>
          <w:position w:val="0"/>
          <w:sz w:val="19"/>
          <w:szCs w:val="19"/>
          <w:shd w:val="clear" w:color="auto" w:fill="auto"/>
          <w:lang w:val="pt-PT" w:eastAsia="pt-PT" w:bidi="pt-PT"/>
        </w:rPr>
        <w:t xml:space="preserve">de Investimentos deverá ser imediatamente comunicado para deliberação sobre readequação ou desinvestimento, observando os princípios do </w:t>
      </w:r>
      <w:r>
        <w:rPr>
          <w:b/>
          <w:bCs/>
          <w:color w:val="000000"/>
          <w:spacing w:val="0"/>
          <w:w w:val="100"/>
          <w:position w:val="0"/>
          <w:sz w:val="18"/>
          <w:szCs w:val="18"/>
          <w:shd w:val="clear" w:color="auto" w:fill="auto"/>
          <w:lang w:val="pt-PT" w:eastAsia="pt-PT" w:bidi="pt-PT"/>
        </w:rPr>
        <w:t>Plano de Contingência.</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BR" w:eastAsia="pt-BR" w:bidi="pt-BR"/>
        </w:rPr>
        <w:t xml:space="preserve">monitoramento </w:t>
      </w:r>
      <w:r>
        <w:rPr>
          <w:b/>
          <w:bCs/>
          <w:color w:val="000000"/>
          <w:spacing w:val="0"/>
          <w:w w:val="100"/>
          <w:position w:val="0"/>
          <w:sz w:val="18"/>
          <w:szCs w:val="18"/>
          <w:shd w:val="clear" w:color="auto" w:fill="auto"/>
          <w:lang w:val="pt-PT" w:eastAsia="pt-PT" w:bidi="pt-PT"/>
        </w:rPr>
        <w:t xml:space="preserve">contínuo dos riscos </w:t>
      </w:r>
      <w:r>
        <w:rPr>
          <w:color w:val="000000"/>
          <w:spacing w:val="0"/>
          <w:w w:val="100"/>
          <w:position w:val="0"/>
          <w:shd w:val="clear" w:color="auto" w:fill="auto"/>
          <w:lang w:val="pt-PT" w:eastAsia="pt-PT" w:bidi="pt-PT"/>
        </w:rPr>
        <w:t xml:space="preserve">de mercado e de crédito será conduzido de forma coordenada entre a Unidade Gestora, a Consultoria de Investimentos (se houver) e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garantindo que a exposição da carteira permaneça compatível com o perfil de risco do RPPS e com as diretrizes desta Política de Investimentos.</w:t>
      </w:r>
    </w:p>
    <w:p>
      <w:pPr>
        <w:pStyle w:val="Style13"/>
        <w:keepNext w:val="0"/>
        <w:keepLines w:val="0"/>
        <w:widowControl w:val="0"/>
        <w:shd w:val="clear" w:color="auto" w:fill="auto"/>
        <w:bidi w:val="0"/>
        <w:spacing w:before="0" w:after="480" w:line="276" w:lineRule="auto"/>
        <w:ind w:left="0" w:right="0"/>
        <w:jc w:val="both"/>
      </w:pPr>
      <w:r>
        <w:rPr>
          <w:color w:val="000000"/>
          <w:spacing w:val="0"/>
          <w:w w:val="100"/>
          <w:position w:val="0"/>
          <w:shd w:val="clear" w:color="auto" w:fill="auto"/>
          <w:lang w:val="pt-PT" w:eastAsia="pt-PT" w:bidi="pt-PT"/>
        </w:rPr>
        <w:t xml:space="preserve">Essas práticas visam consolidar um modelo de gestão ativa, prudente e transparente, em consonância com as melhores práticas de </w:t>
      </w:r>
      <w:r>
        <w:rPr>
          <w:b/>
          <w:bCs/>
          <w:color w:val="000000"/>
          <w:spacing w:val="0"/>
          <w:w w:val="100"/>
          <w:position w:val="0"/>
          <w:sz w:val="18"/>
          <w:szCs w:val="18"/>
          <w:shd w:val="clear" w:color="auto" w:fill="auto"/>
          <w:lang w:val="pt-PT" w:eastAsia="pt-PT" w:bidi="pt-PT"/>
        </w:rPr>
        <w:t xml:space="preserve">governança e controle </w:t>
      </w:r>
      <w:r>
        <w:rPr>
          <w:color w:val="000000"/>
          <w:spacing w:val="0"/>
          <w:w w:val="100"/>
          <w:position w:val="0"/>
          <w:shd w:val="clear" w:color="auto" w:fill="auto"/>
          <w:lang w:val="pt-PT" w:eastAsia="pt-PT" w:bidi="pt-PT"/>
        </w:rPr>
        <w:t>dos regimes próprios de previdência social.</w:t>
      </w:r>
    </w:p>
    <w:p>
      <w:pPr>
        <w:pStyle w:val="Style16"/>
        <w:keepNext/>
        <w:keepLines/>
        <w:widowControl w:val="0"/>
        <w:shd w:val="clear" w:color="auto" w:fill="auto"/>
        <w:bidi w:val="0"/>
        <w:spacing w:before="0"/>
        <w:ind w:left="980" w:right="0" w:hanging="260"/>
        <w:jc w:val="both"/>
      </w:pPr>
      <w:bookmarkStart w:id="26" w:name="bookmark26"/>
      <w:r>
        <w:rPr>
          <w:color w:val="000000"/>
          <w:spacing w:val="0"/>
          <w:w w:val="100"/>
          <w:position w:val="0"/>
          <w:shd w:val="clear" w:color="auto" w:fill="auto"/>
          <w:lang w:val="pt-PT" w:eastAsia="pt-PT" w:bidi="pt-PT"/>
        </w:rPr>
        <w:t xml:space="preserve">Do </w:t>
      </w:r>
      <w:r>
        <w:rPr>
          <w:color w:val="000000"/>
          <w:spacing w:val="0"/>
          <w:w w:val="100"/>
          <w:position w:val="0"/>
          <w:shd w:val="clear" w:color="auto" w:fill="auto"/>
          <w:lang w:val="pt-BR" w:eastAsia="pt-BR" w:bidi="pt-BR"/>
        </w:rPr>
        <w:t>Credenciamento</w:t>
      </w:r>
      <w:bookmarkEnd w:id="26"/>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FFUNDO DE APOSENTADORIA E PENSÕES DOS SERVIDORES MUNICIPAIS DE ENVIRA </w:t>
      </w:r>
      <w:r>
        <w:rPr>
          <w:color w:val="000000"/>
          <w:spacing w:val="0"/>
          <w:w w:val="100"/>
          <w:position w:val="0"/>
          <w:shd w:val="clear" w:color="auto" w:fill="auto"/>
          <w:lang w:val="pt-BR" w:eastAsia="pt-BR" w:bidi="pt-BR"/>
        </w:rPr>
        <w:t xml:space="preserve">encontra-se </w:t>
      </w:r>
      <w:r>
        <w:rPr>
          <w:color w:val="000000"/>
          <w:spacing w:val="0"/>
          <w:w w:val="100"/>
          <w:position w:val="0"/>
          <w:shd w:val="clear" w:color="auto" w:fill="auto"/>
          <w:lang w:val="pt-PT" w:eastAsia="pt-PT" w:bidi="pt-PT"/>
        </w:rPr>
        <w:t xml:space="preserve">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medidas necessárias para a implementação do processo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 instituições financeiras, conforme previsto na Portaria MPS n° 300/2015, na Portaria MTP n° 1.467/2022 (arts. 103 a 106) e na Resolução CMN n° 5.272/2025.</w:t>
      </w:r>
    </w:p>
    <w:p>
      <w:pPr>
        <w:pStyle w:val="Style13"/>
        <w:keepNext w:val="0"/>
        <w:keepLines w:val="0"/>
        <w:widowControl w:val="0"/>
        <w:shd w:val="clear" w:color="auto" w:fill="auto"/>
        <w:bidi w:val="0"/>
        <w:spacing w:before="0" w:line="264" w:lineRule="auto"/>
        <w:ind w:left="0" w:right="0"/>
        <w:jc w:val="both"/>
      </w:pP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tem por finalidade habilitar instituições financeiras, gestoras e administradoras de fundos de investimento a receber aplicações dos recursos do RPPS, mediante análise técnica e documental formalizada nos seguintes instrumentos:</w:t>
      </w:r>
    </w:p>
    <w:p>
      <w:pPr>
        <w:pStyle w:val="Style13"/>
        <w:keepNext w:val="0"/>
        <w:keepLines w:val="0"/>
        <w:widowControl w:val="0"/>
        <w:shd w:val="clear" w:color="auto" w:fill="auto"/>
        <w:bidi w:val="0"/>
        <w:spacing w:before="0" w:after="260" w:line="310" w:lineRule="auto"/>
        <w:ind w:left="980" w:right="0" w:hanging="340"/>
        <w:jc w:val="both"/>
      </w:pPr>
      <w:r>
        <w:rPr>
          <w:color w:val="000000"/>
          <w:spacing w:val="0"/>
          <w:w w:val="100"/>
          <w:position w:val="0"/>
          <w:shd w:val="clear" w:color="auto" w:fill="auto"/>
          <w:lang w:val="pt-PT" w:eastAsia="pt-PT" w:bidi="pt-PT"/>
        </w:rPr>
        <w:t xml:space="preserve">v' </w:t>
      </w:r>
      <w:r>
        <w:rPr>
          <w:color w:val="000000"/>
          <w:spacing w:val="0"/>
          <w:w w:val="100"/>
          <w:position w:val="0"/>
          <w:u w:val="single"/>
          <w:shd w:val="clear" w:color="auto" w:fill="auto"/>
          <w:lang w:val="pt-PT" w:eastAsia="pt-PT" w:bidi="pt-PT"/>
        </w:rPr>
        <w:t xml:space="preserve">Termo de Análise de </w:t>
      </w:r>
      <w:r>
        <w:rPr>
          <w:color w:val="000000"/>
          <w:spacing w:val="0"/>
          <w:w w:val="100"/>
          <w:position w:val="0"/>
          <w:u w:val="single"/>
          <w:shd w:val="clear" w:color="auto" w:fill="auto"/>
          <w:lang w:val="pt-BR" w:eastAsia="pt-BR" w:bidi="pt-BR"/>
        </w:rPr>
        <w:t>Credenciamento,</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que registra a verificação dos requisitos legais e técnicos;</w:t>
      </w:r>
    </w:p>
    <w:p>
      <w:pPr>
        <w:pStyle w:val="Style13"/>
        <w:keepNext w:val="0"/>
        <w:keepLines w:val="0"/>
        <w:widowControl w:val="0"/>
        <w:shd w:val="clear" w:color="auto" w:fill="auto"/>
        <w:bidi w:val="0"/>
        <w:spacing w:before="0" w:after="460" w:line="310" w:lineRule="auto"/>
        <w:ind w:left="980" w:right="0" w:hanging="340"/>
        <w:jc w:val="both"/>
      </w:pPr>
      <w:r>
        <w:rPr>
          <w:color w:val="000000"/>
          <w:spacing w:val="0"/>
          <w:w w:val="100"/>
          <w:position w:val="0"/>
          <w:shd w:val="clear" w:color="auto" w:fill="auto"/>
          <w:lang w:val="pt-PT" w:eastAsia="pt-PT" w:bidi="pt-PT"/>
        </w:rPr>
        <w:t xml:space="preserve">✓ </w:t>
      </w:r>
      <w:r>
        <w:rPr>
          <w:color w:val="000000"/>
          <w:spacing w:val="0"/>
          <w:w w:val="100"/>
          <w:position w:val="0"/>
          <w:u w:val="single"/>
          <w:shd w:val="clear" w:color="auto" w:fill="auto"/>
          <w:lang w:val="pt-PT" w:eastAsia="pt-PT" w:bidi="pt-PT"/>
        </w:rPr>
        <w:t xml:space="preserve">Termo de Declaração de </w:t>
      </w:r>
      <w:r>
        <w:rPr>
          <w:color w:val="000000"/>
          <w:spacing w:val="0"/>
          <w:w w:val="100"/>
          <w:position w:val="0"/>
          <w:u w:val="single"/>
          <w:shd w:val="clear" w:color="auto" w:fill="auto"/>
          <w:lang w:val="pt-BR" w:eastAsia="pt-BR" w:bidi="pt-BR"/>
        </w:rPr>
        <w:t>Credenciamento,</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lang w:val="pt-PT" w:eastAsia="pt-PT" w:bidi="pt-PT"/>
        </w:rPr>
        <w:t xml:space="preserve">que formaliza a decisão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pela autoridade competente.</w:t>
      </w:r>
    </w:p>
    <w:p>
      <w:pPr>
        <w:pStyle w:val="Style13"/>
        <w:keepNext w:val="0"/>
        <w:keepLines w:val="0"/>
        <w:widowControl w:val="0"/>
        <w:shd w:val="clear" w:color="auto" w:fill="auto"/>
        <w:bidi w:val="0"/>
        <w:spacing w:before="0" w:line="312" w:lineRule="auto"/>
        <w:ind w:left="0" w:right="0" w:firstLine="0"/>
        <w:jc w:val="left"/>
      </w:pPr>
      <w:r>
        <w:rPr>
          <w:color w:val="000000"/>
          <w:spacing w:val="0"/>
          <w:w w:val="100"/>
          <w:position w:val="0"/>
          <w:shd w:val="clear" w:color="auto" w:fill="auto"/>
          <w:lang w:val="pt-PT" w:eastAsia="pt-PT" w:bidi="pt-PT"/>
        </w:rPr>
        <w:t>Objetivo e Princípios</w:t>
      </w:r>
    </w:p>
    <w:p>
      <w:pPr>
        <w:pStyle w:val="Style13"/>
        <w:keepNext w:val="0"/>
        <w:keepLines w:val="0"/>
        <w:widowControl w:val="0"/>
        <w:shd w:val="clear" w:color="auto" w:fill="auto"/>
        <w:bidi w:val="0"/>
        <w:spacing w:before="0" w:line="262" w:lineRule="auto"/>
        <w:ind w:left="0" w:right="0"/>
        <w:jc w:val="both"/>
      </w:pPr>
      <w:r>
        <w:rPr>
          <w:color w:val="000000"/>
          <w:spacing w:val="0"/>
          <w:w w:val="100"/>
          <w:position w:val="0"/>
          <w:shd w:val="clear" w:color="auto" w:fill="auto"/>
          <w:lang w:val="pt-PT" w:eastAsia="pt-PT" w:bidi="pt-PT"/>
        </w:rPr>
        <w:t xml:space="preserve">O processo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visa promover uniformidade, transparência e racionalização na análise e seleção das instituições que atuarão com o RPPS, assegurando:</w:t>
      </w:r>
    </w:p>
    <w:p>
      <w:pPr>
        <w:pStyle w:val="Style13"/>
        <w:keepNext w:val="0"/>
        <w:keepLines w:val="0"/>
        <w:widowControl w:val="0"/>
        <w:numPr>
          <w:ilvl w:val="0"/>
          <w:numId w:val="7"/>
        </w:numPr>
        <w:shd w:val="clear" w:color="auto" w:fill="auto"/>
        <w:tabs>
          <w:tab w:pos="990" w:val="left"/>
        </w:tabs>
        <w:bidi w:val="0"/>
        <w:spacing w:before="0" w:after="0" w:line="312" w:lineRule="auto"/>
        <w:ind w:left="980" w:right="0" w:hanging="260"/>
        <w:jc w:val="both"/>
      </w:pPr>
      <w:r>
        <w:rPr>
          <w:color w:val="000000"/>
          <w:spacing w:val="0"/>
          <w:w w:val="100"/>
          <w:position w:val="0"/>
          <w:shd w:val="clear" w:color="auto" w:fill="auto"/>
          <w:lang w:val="pt-PT" w:eastAsia="pt-PT" w:bidi="pt-PT"/>
        </w:rPr>
        <w:t>A observância dos princípios de segurança, rentabilidade, solvência e liquidez;</w:t>
      </w:r>
    </w:p>
    <w:p>
      <w:pPr>
        <w:pStyle w:val="Style13"/>
        <w:keepNext w:val="0"/>
        <w:keepLines w:val="0"/>
        <w:widowControl w:val="0"/>
        <w:numPr>
          <w:ilvl w:val="0"/>
          <w:numId w:val="7"/>
        </w:numPr>
        <w:shd w:val="clear" w:color="auto" w:fill="auto"/>
        <w:tabs>
          <w:tab w:pos="990" w:val="left"/>
        </w:tabs>
        <w:bidi w:val="0"/>
        <w:spacing w:before="0" w:after="0" w:line="312" w:lineRule="auto"/>
        <w:ind w:left="980" w:right="0" w:hanging="260"/>
        <w:jc w:val="both"/>
      </w:pPr>
      <w:r>
        <w:rPr>
          <w:color w:val="000000"/>
          <w:spacing w:val="0"/>
          <w:w w:val="100"/>
          <w:position w:val="0"/>
          <w:shd w:val="clear" w:color="auto" w:fill="auto"/>
          <w:lang w:val="pt-PT" w:eastAsia="pt-PT" w:bidi="pt-PT"/>
        </w:rPr>
        <w:t xml:space="preserve">A redução da burocracia e de documentos em papel, </w:t>
      </w:r>
      <w:r>
        <w:rPr>
          <w:color w:val="000000"/>
          <w:spacing w:val="0"/>
          <w:w w:val="100"/>
          <w:position w:val="0"/>
          <w:shd w:val="clear" w:color="auto" w:fill="auto"/>
          <w:lang w:val="pt-BR" w:eastAsia="pt-BR" w:bidi="pt-BR"/>
        </w:rPr>
        <w:t xml:space="preserve">priorizando </w:t>
      </w:r>
      <w:r>
        <w:rPr>
          <w:color w:val="000000"/>
          <w:spacing w:val="0"/>
          <w:w w:val="100"/>
          <w:position w:val="0"/>
          <w:shd w:val="clear" w:color="auto" w:fill="auto"/>
          <w:lang w:val="pt-PT" w:eastAsia="pt-PT" w:bidi="pt-PT"/>
        </w:rPr>
        <w:t xml:space="preserve">a </w:t>
      </w:r>
      <w:r>
        <w:rPr>
          <w:color w:val="000000"/>
          <w:spacing w:val="0"/>
          <w:w w:val="100"/>
          <w:position w:val="0"/>
          <w:shd w:val="clear" w:color="auto" w:fill="auto"/>
          <w:lang w:val="pt-BR" w:eastAsia="pt-BR" w:bidi="pt-BR"/>
        </w:rPr>
        <w:t xml:space="preserve">digitalização </w:t>
      </w:r>
      <w:r>
        <w:rPr>
          <w:color w:val="000000"/>
          <w:spacing w:val="0"/>
          <w:w w:val="100"/>
          <w:position w:val="0"/>
          <w:shd w:val="clear" w:color="auto" w:fill="auto"/>
          <w:lang w:val="pt-PT" w:eastAsia="pt-PT" w:bidi="pt-PT"/>
        </w:rPr>
        <w:t xml:space="preserve">e o arquivamento </w:t>
      </w:r>
      <w:r>
        <w:rPr>
          <w:color w:val="000000"/>
          <w:spacing w:val="0"/>
          <w:w w:val="100"/>
          <w:position w:val="0"/>
          <w:shd w:val="clear" w:color="auto" w:fill="auto"/>
          <w:lang w:val="pt-BR" w:eastAsia="pt-BR" w:bidi="pt-BR"/>
        </w:rPr>
        <w:t>eletrônico;</w:t>
      </w:r>
    </w:p>
    <w:p>
      <w:pPr>
        <w:pStyle w:val="Style13"/>
        <w:keepNext w:val="0"/>
        <w:keepLines w:val="0"/>
        <w:widowControl w:val="0"/>
        <w:shd w:val="clear" w:color="auto" w:fill="auto"/>
        <w:bidi w:val="0"/>
        <w:spacing w:before="0" w:line="312" w:lineRule="auto"/>
        <w:ind w:left="980" w:right="0" w:firstLine="20"/>
        <w:jc w:val="both"/>
        <w:sectPr>
          <w:headerReference w:type="default" r:id="rId126"/>
          <w:headerReference w:type="even" r:id="rId127"/>
          <w:headerReference w:type="first" r:id="rId128"/>
          <w:footnotePr>
            <w:pos w:val="pageBottom"/>
            <w:numFmt w:val="decimal"/>
            <w:numRestart w:val="continuous"/>
          </w:footnotePr>
          <w:pgSz w:w="11900" w:h="16840"/>
          <w:pgMar w:top="2015" w:left="1542" w:right="1603" w:bottom="505" w:header="0" w:footer="3" w:gutter="0"/>
          <w:cols w:space="720"/>
          <w:noEndnote/>
          <w:titlePg/>
          <w:rtlGutter w:val="0"/>
          <w:docGrid w:linePitch="360"/>
        </w:sectPr>
      </w:pPr>
      <w:r>
        <w:rPr>
          <w:color w:val="000000"/>
          <w:spacing w:val="0"/>
          <w:w w:val="100"/>
          <w:position w:val="0"/>
          <w:shd w:val="clear" w:color="auto" w:fill="auto"/>
          <w:lang w:val="pt-PT" w:eastAsia="pt-PT" w:bidi="pt-PT"/>
        </w:rPr>
        <w:t>A análise com base em padrões mínimos de informação e diligência definidos pela legislação e pelos órgãos de controle.</w:t>
      </w:r>
    </w:p>
    <w:p>
      <w:pPr>
        <w:pStyle w:val="Style13"/>
        <w:keepNext w:val="0"/>
        <w:keepLines w:val="0"/>
        <w:widowControl w:val="0"/>
        <w:shd w:val="clear" w:color="auto" w:fill="auto"/>
        <w:bidi w:val="0"/>
        <w:spacing w:before="0" w:after="500" w:line="269" w:lineRule="auto"/>
        <w:ind w:left="0" w:right="0" w:firstLine="760"/>
        <w:jc w:val="both"/>
      </w:pPr>
      <w:r>
        <w:rPr>
          <w:color w:val="000000"/>
          <w:spacing w:val="0"/>
          <w:w w:val="100"/>
          <w:position w:val="0"/>
          <w:shd w:val="clear" w:color="auto" w:fill="auto"/>
          <w:lang w:val="pt-PT" w:eastAsia="pt-PT" w:bidi="pt-PT"/>
        </w:rPr>
        <w:t xml:space="preserve">Essas práticas têm como finalidade garantir a idoneidade, solidez e competência técnica das instituições credenciadas, além de mitigar riscos operacionais, reputacionais e de </w:t>
      </w:r>
      <w:r>
        <w:rPr>
          <w:b/>
          <w:bCs/>
          <w:i/>
          <w:iCs/>
          <w:color w:val="000000"/>
          <w:spacing w:val="0"/>
          <w:w w:val="100"/>
          <w:position w:val="0"/>
          <w:shd w:val="clear" w:color="auto" w:fill="auto"/>
          <w:lang w:val="pt-BR" w:eastAsia="pt-BR" w:bidi="pt-BR"/>
        </w:rPr>
        <w:t>compHance.</w:t>
      </w:r>
    </w:p>
    <w:p>
      <w:pPr>
        <w:pStyle w:val="Style13"/>
        <w:keepNext w:val="0"/>
        <w:keepLines w:val="0"/>
        <w:widowControl w:val="0"/>
        <w:shd w:val="clear" w:color="auto" w:fill="auto"/>
        <w:bidi w:val="0"/>
        <w:spacing w:before="0" w:after="40" w:line="341" w:lineRule="auto"/>
        <w:ind w:left="0" w:right="0" w:firstLine="0"/>
        <w:jc w:val="left"/>
      </w:pPr>
      <w:r>
        <w:rPr>
          <w:color w:val="000000"/>
          <w:spacing w:val="0"/>
          <w:w w:val="100"/>
          <w:position w:val="0"/>
          <w:shd w:val="clear" w:color="auto" w:fill="auto"/>
          <w:lang w:val="pt-PT" w:eastAsia="pt-PT" w:bidi="pt-PT"/>
        </w:rPr>
        <w:t>Base Legal</w:t>
      </w:r>
    </w:p>
    <w:p>
      <w:pPr>
        <w:pStyle w:val="Style13"/>
        <w:keepNext w:val="0"/>
        <w:keepLines w:val="0"/>
        <w:widowControl w:val="0"/>
        <w:shd w:val="clear" w:color="auto" w:fill="auto"/>
        <w:bidi w:val="0"/>
        <w:spacing w:before="0" w:after="0" w:line="410" w:lineRule="auto"/>
        <w:ind w:left="720" w:right="0" w:firstLine="40"/>
        <w:jc w:val="left"/>
      </w:pP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e o acompanhamento das instituições estão previstos: v' Na Resolução CMN n° 5.272/2025;</w:t>
      </w:r>
    </w:p>
    <w:p>
      <w:pPr>
        <w:pStyle w:val="Style13"/>
        <w:keepNext w:val="0"/>
        <w:keepLines w:val="0"/>
        <w:widowControl w:val="0"/>
        <w:shd w:val="clear" w:color="auto" w:fill="auto"/>
        <w:bidi w:val="0"/>
        <w:spacing w:before="0" w:after="40" w:line="240" w:lineRule="auto"/>
        <w:ind w:left="0" w:right="0" w:firstLine="760"/>
        <w:jc w:val="both"/>
      </w:pPr>
      <w:r>
        <w:rPr>
          <w:color w:val="000000"/>
          <w:spacing w:val="0"/>
          <w:w w:val="100"/>
          <w:position w:val="0"/>
          <w:shd w:val="clear" w:color="auto" w:fill="auto"/>
          <w:lang w:val="pt-PT" w:eastAsia="pt-PT" w:bidi="pt-PT"/>
        </w:rPr>
        <w:t>✓ Nos arts. 103 a 106 da Portaria MTP n° 1.467/2022;</w:t>
      </w:r>
    </w:p>
    <w:p>
      <w:pPr>
        <w:pStyle w:val="Style13"/>
        <w:keepNext w:val="0"/>
        <w:keepLines w:val="0"/>
        <w:widowControl w:val="0"/>
        <w:shd w:val="clear" w:color="auto" w:fill="auto"/>
        <w:bidi w:val="0"/>
        <w:spacing w:before="0" w:after="40" w:line="240" w:lineRule="auto"/>
        <w:ind w:left="0" w:right="0" w:firstLine="76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Na Portaria MPS n° 300/2015, que instituiu os modelos de Termo de Análise e Termo</w:t>
      </w:r>
    </w:p>
    <w:p>
      <w:pPr>
        <w:pStyle w:val="Style13"/>
        <w:keepNext w:val="0"/>
        <w:keepLines w:val="0"/>
        <w:widowControl w:val="0"/>
        <w:shd w:val="clear" w:color="auto" w:fill="auto"/>
        <w:bidi w:val="0"/>
        <w:spacing w:before="0" w:after="520" w:line="240" w:lineRule="auto"/>
        <w:ind w:left="1020" w:right="0" w:firstLine="20"/>
        <w:jc w:val="both"/>
      </w:pPr>
      <w:r>
        <w:rPr>
          <w:color w:val="000000"/>
          <w:spacing w:val="0"/>
          <w:w w:val="100"/>
          <w:position w:val="0"/>
          <w:shd w:val="clear" w:color="auto" w:fill="auto"/>
          <w:lang w:val="pt-PT" w:eastAsia="pt-PT" w:bidi="pt-PT"/>
        </w:rPr>
        <w:t>de Declaração.</w:t>
      </w:r>
    </w:p>
    <w:p>
      <w:pPr>
        <w:pStyle w:val="Style13"/>
        <w:keepNext w:val="0"/>
        <w:keepLines w:val="0"/>
        <w:widowControl w:val="0"/>
        <w:shd w:val="clear" w:color="auto" w:fill="auto"/>
        <w:bidi w:val="0"/>
        <w:spacing w:before="0" w:after="40" w:line="307" w:lineRule="auto"/>
        <w:ind w:left="0" w:right="0" w:firstLine="0"/>
        <w:jc w:val="left"/>
      </w:pPr>
      <w:r>
        <w:rPr>
          <w:color w:val="000000"/>
          <w:spacing w:val="0"/>
          <w:w w:val="100"/>
          <w:position w:val="0"/>
          <w:u w:val="single"/>
          <w:shd w:val="clear" w:color="auto" w:fill="auto"/>
          <w:lang w:val="pt-PT" w:eastAsia="pt-PT" w:bidi="pt-PT"/>
        </w:rPr>
        <w:t xml:space="preserve">Parâmetros Mínimos de </w:t>
      </w:r>
      <w:r>
        <w:rPr>
          <w:color w:val="000000"/>
          <w:spacing w:val="0"/>
          <w:w w:val="100"/>
          <w:position w:val="0"/>
          <w:u w:val="single"/>
          <w:shd w:val="clear" w:color="auto" w:fill="auto"/>
          <w:lang w:val="pt-BR" w:eastAsia="pt-BR" w:bidi="pt-BR"/>
        </w:rPr>
        <w:t>Credenciamento</w:t>
      </w:r>
    </w:p>
    <w:p>
      <w:pPr>
        <w:pStyle w:val="Style13"/>
        <w:keepNext w:val="0"/>
        <w:keepLines w:val="0"/>
        <w:widowControl w:val="0"/>
        <w:shd w:val="clear" w:color="auto" w:fill="auto"/>
        <w:bidi w:val="0"/>
        <w:spacing w:before="0" w:line="276" w:lineRule="auto"/>
        <w:ind w:left="0" w:right="0" w:firstLine="760"/>
        <w:jc w:val="both"/>
      </w:pPr>
      <w:r>
        <w:rPr>
          <w:color w:val="000000"/>
          <w:spacing w:val="0"/>
          <w:w w:val="100"/>
          <w:position w:val="0"/>
          <w:shd w:val="clear" w:color="auto" w:fill="auto"/>
          <w:lang w:val="pt-PT" w:eastAsia="pt-PT" w:bidi="pt-PT"/>
        </w:rPr>
        <w:t xml:space="preserve">Em conformidade com a Portaria MTP n° 1.467/2022, deverão ser observados, no mínimo, os seguintes parâmetros para análise e aprovação de </w:t>
      </w:r>
      <w:r>
        <w:rPr>
          <w:color w:val="000000"/>
          <w:spacing w:val="0"/>
          <w:w w:val="100"/>
          <w:position w:val="0"/>
          <w:shd w:val="clear" w:color="auto" w:fill="auto"/>
          <w:lang w:val="pt-BR" w:eastAsia="pt-BR" w:bidi="pt-BR"/>
        </w:rPr>
        <w:t>credenciamento:</w:t>
      </w:r>
    </w:p>
    <w:p>
      <w:pPr>
        <w:pStyle w:val="Style13"/>
        <w:keepNext w:val="0"/>
        <w:keepLines w:val="0"/>
        <w:widowControl w:val="0"/>
        <w:shd w:val="clear" w:color="auto" w:fill="auto"/>
        <w:bidi w:val="0"/>
        <w:spacing w:before="0" w:after="0" w:line="307" w:lineRule="auto"/>
        <w:ind w:left="1020" w:right="0" w:firstLine="20"/>
        <w:jc w:val="both"/>
      </w:pPr>
      <w:r>
        <w:rPr>
          <w:color w:val="000000"/>
          <w:spacing w:val="0"/>
          <w:w w:val="100"/>
          <w:position w:val="0"/>
          <w:shd w:val="clear" w:color="auto" w:fill="auto"/>
          <w:lang w:val="pt-PT" w:eastAsia="pt-PT" w:bidi="pt-PT"/>
        </w:rPr>
        <w:t>Atos de registro ou autorização para funcionamento, expedidos pelo Banco Central e/ou Comissão de Valores Mobiliários (CVM) ou órgão competente;</w:t>
      </w:r>
    </w:p>
    <w:p>
      <w:pPr>
        <w:pStyle w:val="Style13"/>
        <w:keepNext w:val="0"/>
        <w:keepLines w:val="0"/>
        <w:widowControl w:val="0"/>
        <w:shd w:val="clear" w:color="auto" w:fill="auto"/>
        <w:bidi w:val="0"/>
        <w:spacing w:before="0" w:after="0" w:line="307" w:lineRule="auto"/>
        <w:ind w:left="0" w:right="0" w:firstLine="76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Certidões que o RPPS julgar pertinente;</w:t>
      </w:r>
    </w:p>
    <w:p>
      <w:pPr>
        <w:pStyle w:val="Style13"/>
        <w:keepNext w:val="0"/>
        <w:keepLines w:val="0"/>
        <w:widowControl w:val="0"/>
        <w:shd w:val="clear" w:color="auto" w:fill="auto"/>
        <w:bidi w:val="0"/>
        <w:spacing w:before="0" w:after="0" w:line="307" w:lineRule="auto"/>
        <w:ind w:left="1020" w:right="0" w:hanging="260"/>
        <w:jc w:val="both"/>
      </w:pPr>
      <w:r>
        <w:rPr>
          <w:color w:val="000000"/>
          <w:spacing w:val="0"/>
          <w:w w:val="100"/>
          <w:position w:val="0"/>
          <w:shd w:val="clear" w:color="auto" w:fill="auto"/>
          <w:lang w:val="pt-PT" w:eastAsia="pt-PT" w:bidi="pt-PT"/>
        </w:rPr>
        <w:t>z A Instituição deverá ser filiada à ANBIMA - Associação Brasileira das Entidades dos Mercados Financeiros e de Capitais ou ser aderente ao Código de Regulação e Melhores Práticas para Fundos de Investimentos. No caso de conglomerado ou grupo financeiro (considerando qualquer sociedade controlada, controladora ou sob controle comum), conforme determinado no artigo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do Código de Regulação e Melhores Práticas ANBIMA para os Fundos de Investimentos, a filiação e/ou adesão de uma entidade aproveita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demais;</w:t>
      </w:r>
    </w:p>
    <w:p>
      <w:pPr>
        <w:pStyle w:val="Style13"/>
        <w:keepNext w:val="0"/>
        <w:keepLines w:val="0"/>
        <w:widowControl w:val="0"/>
        <w:shd w:val="clear" w:color="auto" w:fill="auto"/>
        <w:bidi w:val="0"/>
        <w:spacing w:before="0" w:after="0" w:line="307" w:lineRule="auto"/>
        <w:ind w:left="720" w:right="0" w:firstLine="40"/>
        <w:jc w:val="left"/>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Questionário Padrão Due Diligence ANBIMA Seção 1 e 3 e seus anexos; z Relatórios de Ratings de Qualidade de Gestão e Ambiente de Controle;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Solidez Patrimonial; z Risco Reputacional;</w:t>
      </w:r>
    </w:p>
    <w:p>
      <w:pPr>
        <w:pStyle w:val="Style13"/>
        <w:keepNext w:val="0"/>
        <w:keepLines w:val="0"/>
        <w:widowControl w:val="0"/>
        <w:shd w:val="clear" w:color="auto" w:fill="auto"/>
        <w:bidi w:val="0"/>
        <w:spacing w:before="0" w:after="0" w:line="307" w:lineRule="auto"/>
        <w:ind w:left="0" w:right="0" w:firstLine="76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Padrão Ético de Conduta;</w:t>
      </w:r>
    </w:p>
    <w:p>
      <w:pPr>
        <w:pStyle w:val="Style13"/>
        <w:keepNext w:val="0"/>
        <w:keepLines w:val="0"/>
        <w:widowControl w:val="0"/>
        <w:shd w:val="clear" w:color="auto" w:fill="auto"/>
        <w:bidi w:val="0"/>
        <w:spacing w:before="0" w:after="0" w:line="307" w:lineRule="auto"/>
        <w:ind w:left="0" w:right="0" w:firstLine="76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Histórico e experiência de atuação;</w:t>
      </w:r>
    </w:p>
    <w:p>
      <w:pPr>
        <w:pStyle w:val="Style13"/>
        <w:keepNext w:val="0"/>
        <w:keepLines w:val="0"/>
        <w:widowControl w:val="0"/>
        <w:shd w:val="clear" w:color="auto" w:fill="auto"/>
        <w:bidi w:val="0"/>
        <w:spacing w:before="0" w:after="480" w:line="307" w:lineRule="auto"/>
        <w:ind w:left="720" w:right="0" w:firstLine="40"/>
        <w:jc w:val="left"/>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Volume de recursos sob administração/gestão; ■/ Avaliação da rentabilidade dos fundos sob sua administração/gestão; </w:t>
      </w: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Penalidades: Pesquisa CVM, BACEN e mercado.</w:t>
      </w:r>
    </w:p>
    <w:p>
      <w:pPr>
        <w:pStyle w:val="Style13"/>
        <w:keepNext w:val="0"/>
        <w:keepLines w:val="0"/>
        <w:widowControl w:val="0"/>
        <w:shd w:val="clear" w:color="auto" w:fill="auto"/>
        <w:bidi w:val="0"/>
        <w:spacing w:before="0" w:after="40" w:line="307" w:lineRule="auto"/>
        <w:ind w:left="0" w:right="0" w:firstLine="0"/>
        <w:jc w:val="left"/>
      </w:pPr>
      <w:r>
        <w:rPr>
          <w:color w:val="000000"/>
          <w:spacing w:val="0"/>
          <w:w w:val="100"/>
          <w:position w:val="0"/>
          <w:shd w:val="clear" w:color="auto" w:fill="auto"/>
          <w:lang w:val="pt-PT" w:eastAsia="pt-PT" w:bidi="pt-PT"/>
        </w:rPr>
        <w:t>Procedimentos e Responsabilidades</w:t>
      </w:r>
    </w:p>
    <w:p>
      <w:pPr>
        <w:pStyle w:val="Style13"/>
        <w:keepNext w:val="0"/>
        <w:keepLines w:val="0"/>
        <w:widowControl w:val="0"/>
        <w:shd w:val="clear" w:color="auto" w:fill="auto"/>
        <w:bidi w:val="0"/>
        <w:spacing w:before="0" w:after="420" w:line="307" w:lineRule="auto"/>
        <w:ind w:left="720" w:right="0" w:firstLine="40"/>
        <w:jc w:val="left"/>
      </w:pPr>
      <w:r>
        <w:rPr>
          <w:color w:val="000000"/>
          <w:spacing w:val="0"/>
          <w:w w:val="100"/>
          <w:position w:val="0"/>
          <w:shd w:val="clear" w:color="auto" w:fill="auto"/>
          <w:lang w:val="pt-PT" w:eastAsia="pt-PT" w:bidi="pt-PT"/>
        </w:rPr>
        <w:t xml:space="preserve">O processo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deverá observar as seguintes etapas:</w:t>
      </w:r>
    </w:p>
    <w:p>
      <w:pPr>
        <w:pStyle w:val="Style13"/>
        <w:keepNext w:val="0"/>
        <w:keepLines w:val="0"/>
        <w:widowControl w:val="0"/>
        <w:numPr>
          <w:ilvl w:val="0"/>
          <w:numId w:val="9"/>
        </w:numPr>
        <w:shd w:val="clear" w:color="auto" w:fill="auto"/>
        <w:tabs>
          <w:tab w:pos="1414" w:val="left"/>
        </w:tabs>
        <w:bidi w:val="0"/>
        <w:spacing w:before="0" w:after="0" w:line="314" w:lineRule="auto"/>
        <w:ind w:left="0" w:right="0" w:firstLine="760"/>
        <w:jc w:val="both"/>
      </w:pPr>
      <w:r>
        <w:rPr>
          <w:color w:val="000000"/>
          <w:spacing w:val="0"/>
          <w:w w:val="100"/>
          <w:position w:val="0"/>
          <w:u w:val="single"/>
          <w:shd w:val="clear" w:color="auto" w:fill="auto"/>
          <w:lang w:val="pt-PT" w:eastAsia="pt-PT" w:bidi="pt-PT"/>
        </w:rPr>
        <w:t>Análise Técnica e Documental</w:t>
      </w:r>
      <w:r>
        <w:rPr>
          <w:color w:val="000000"/>
          <w:spacing w:val="0"/>
          <w:w w:val="100"/>
          <w:position w:val="0"/>
          <w:shd w:val="clear" w:color="auto" w:fill="auto"/>
          <w:lang w:val="pt-PT" w:eastAsia="pt-PT" w:bidi="pt-PT"/>
        </w:rPr>
        <w:t xml:space="preserve">: conduzida pelos gestores do RPPS, com registro no Termo de Análise de </w:t>
      </w:r>
      <w:r>
        <w:rPr>
          <w:color w:val="000000"/>
          <w:spacing w:val="0"/>
          <w:w w:val="100"/>
          <w:position w:val="0"/>
          <w:shd w:val="clear" w:color="auto" w:fill="auto"/>
          <w:lang w:val="pt-BR" w:eastAsia="pt-BR" w:bidi="pt-BR"/>
        </w:rPr>
        <w:t>Credenciamento;</w:t>
      </w:r>
    </w:p>
    <w:p>
      <w:pPr>
        <w:pStyle w:val="Style13"/>
        <w:keepNext w:val="0"/>
        <w:keepLines w:val="0"/>
        <w:widowControl w:val="0"/>
        <w:numPr>
          <w:ilvl w:val="0"/>
          <w:numId w:val="9"/>
        </w:numPr>
        <w:shd w:val="clear" w:color="auto" w:fill="auto"/>
        <w:tabs>
          <w:tab w:pos="1414" w:val="left"/>
        </w:tabs>
        <w:bidi w:val="0"/>
        <w:spacing w:before="0" w:after="0" w:line="314" w:lineRule="auto"/>
        <w:ind w:left="0" w:right="0" w:firstLine="760"/>
        <w:jc w:val="both"/>
      </w:pPr>
      <w:r>
        <w:rPr>
          <w:color w:val="000000"/>
          <w:spacing w:val="0"/>
          <w:w w:val="100"/>
          <w:position w:val="0"/>
          <w:u w:val="single"/>
          <w:shd w:val="clear" w:color="auto" w:fill="auto"/>
          <w:lang w:val="pt-PT" w:eastAsia="pt-PT" w:bidi="pt-PT"/>
        </w:rPr>
        <w:t>Deliberação e Aprovação:</w:t>
      </w:r>
      <w:r>
        <w:rPr>
          <w:color w:val="000000"/>
          <w:spacing w:val="0"/>
          <w:w w:val="100"/>
          <w:position w:val="0"/>
          <w:shd w:val="clear" w:color="auto" w:fill="auto"/>
          <w:lang w:val="pt-PT" w:eastAsia="pt-PT" w:bidi="pt-PT"/>
        </w:rPr>
        <w:t xml:space="preserve"> realizada pelo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Investimentos, com posterior formalização no Termo de Declaração de </w:t>
      </w:r>
      <w:r>
        <w:rPr>
          <w:color w:val="000000"/>
          <w:spacing w:val="0"/>
          <w:w w:val="100"/>
          <w:position w:val="0"/>
          <w:shd w:val="clear" w:color="auto" w:fill="auto"/>
          <w:lang w:val="pt-BR" w:eastAsia="pt-BR" w:bidi="pt-BR"/>
        </w:rPr>
        <w:t>Credenciamento;</w:t>
      </w:r>
    </w:p>
    <w:p>
      <w:pPr>
        <w:pStyle w:val="Style13"/>
        <w:keepNext w:val="0"/>
        <w:keepLines w:val="0"/>
        <w:widowControl w:val="0"/>
        <w:numPr>
          <w:ilvl w:val="0"/>
          <w:numId w:val="9"/>
        </w:numPr>
        <w:shd w:val="clear" w:color="auto" w:fill="auto"/>
        <w:tabs>
          <w:tab w:pos="1414" w:val="left"/>
        </w:tabs>
        <w:bidi w:val="0"/>
        <w:spacing w:before="0" w:after="480" w:line="314" w:lineRule="auto"/>
        <w:ind w:left="0" w:right="0" w:firstLine="760"/>
        <w:jc w:val="both"/>
      </w:pPr>
      <w:r>
        <w:drawing>
          <wp:anchor distT="0" distB="0" distL="114300" distR="114300" simplePos="0" relativeHeight="125829463" behindDoc="0" locked="0" layoutInCell="1" allowOverlap="1">
            <wp:simplePos x="0" y="0"/>
            <wp:positionH relativeFrom="page">
              <wp:posOffset>6451600</wp:posOffset>
            </wp:positionH>
            <wp:positionV relativeFrom="paragraph">
              <wp:posOffset>304800</wp:posOffset>
            </wp:positionV>
            <wp:extent cx="725170" cy="768350"/>
            <wp:wrapSquare wrapText="bothSides"/>
            <wp:docPr id="237" name="Shape 237"/>
            <a:graphic xmlns:a="http://schemas.openxmlformats.org/drawingml/2006/main">
              <a:graphicData uri="http://schemas.openxmlformats.org/drawingml/2006/picture">
                <pic:pic xmlns:pic="http://schemas.openxmlformats.org/drawingml/2006/picture">
                  <pic:nvPicPr>
                    <pic:cNvPr id="238" name="Picture box 238"/>
                    <pic:cNvPicPr/>
                  </pic:nvPicPr>
                  <pic:blipFill>
                    <a:blip r:embed="rId129"/>
                    <a:stretch/>
                  </pic:blipFill>
                  <pic:spPr>
                    <a:xfrm>
                      <a:ext cx="725170" cy="768350"/>
                    </a:xfrm>
                    <a:prstGeom prst="rect"/>
                  </pic:spPr>
                </pic:pic>
              </a:graphicData>
            </a:graphic>
          </wp:anchor>
        </w:drawing>
      </w:r>
      <w:r>
        <w:rPr>
          <w:color w:val="000000"/>
          <w:spacing w:val="0"/>
          <w:w w:val="100"/>
          <w:position w:val="0"/>
          <w:u w:val="single"/>
          <w:shd w:val="clear" w:color="auto" w:fill="auto"/>
          <w:lang w:val="pt-PT" w:eastAsia="pt-PT" w:bidi="pt-PT"/>
        </w:rPr>
        <w:t>Registro e Arquivamento</w:t>
      </w:r>
      <w:r>
        <w:rPr>
          <w:color w:val="000000"/>
          <w:spacing w:val="0"/>
          <w:w w:val="100"/>
          <w:position w:val="0"/>
          <w:shd w:val="clear" w:color="auto" w:fill="auto"/>
          <w:lang w:val="pt-PT" w:eastAsia="pt-PT" w:bidi="pt-PT"/>
        </w:rPr>
        <w:t xml:space="preserve">: os documentos e decisões deverão ser arquivados digitalmente, compondo o dossiê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do RPPS;</w:t>
      </w:r>
    </w:p>
    <w:p>
      <w:pPr>
        <w:widowControl w:val="0"/>
        <w:jc w:val="center"/>
        <w:rPr>
          <w:sz w:val="2"/>
          <w:szCs w:val="2"/>
        </w:rPr>
      </w:pPr>
      <w:r>
        <w:drawing>
          <wp:inline>
            <wp:extent cx="475615" cy="262255"/>
            <wp:docPr id="239" name="Picutre 239"/>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131"/>
                    <a:stretch/>
                  </pic:blipFill>
                  <pic:spPr>
                    <a:xfrm>
                      <a:ext cx="475615" cy="262255"/>
                    </a:xfrm>
                    <a:prstGeom prst="rect"/>
                  </pic:spPr>
                </pic:pic>
              </a:graphicData>
            </a:graphic>
          </wp:inline>
        </w:drawing>
      </w:r>
      <w:r>
        <w:br w:type="page"/>
      </w:r>
    </w:p>
    <w:p>
      <w:pPr>
        <w:pStyle w:val="Style13"/>
        <w:keepNext w:val="0"/>
        <w:keepLines w:val="0"/>
        <w:widowControl w:val="0"/>
        <w:numPr>
          <w:ilvl w:val="0"/>
          <w:numId w:val="9"/>
        </w:numPr>
        <w:shd w:val="clear" w:color="auto" w:fill="auto"/>
        <w:tabs>
          <w:tab w:pos="1411" w:val="left"/>
        </w:tabs>
        <w:bidi w:val="0"/>
        <w:spacing w:before="0" w:after="480" w:line="310" w:lineRule="auto"/>
        <w:ind w:left="0" w:right="0"/>
        <w:jc w:val="both"/>
      </w:pPr>
      <w:r>
        <w:rPr>
          <w:color w:val="000000"/>
          <w:spacing w:val="0"/>
          <w:w w:val="100"/>
          <w:position w:val="0"/>
          <w:u w:val="single"/>
          <w:shd w:val="clear" w:color="auto" w:fill="auto"/>
          <w:lang w:val="pt-PT" w:eastAsia="pt-PT" w:bidi="pt-PT"/>
        </w:rPr>
        <w:t>Acompanhamento e Reavaliação</w:t>
      </w:r>
      <w:r>
        <w:rPr>
          <w:color w:val="000000"/>
          <w:spacing w:val="0"/>
          <w:w w:val="100"/>
          <w:position w:val="0"/>
          <w:shd w:val="clear" w:color="auto" w:fill="auto"/>
          <w:lang w:val="pt-PT" w:eastAsia="pt-PT" w:bidi="pt-PT"/>
        </w:rPr>
        <w:t xml:space="preserve">: 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deverá ser revisto a cada dois anos ou sempre que houver alteração na estrutura da instituição, mudanças regulatórias ou fatos relevantes que possam afetar sua capacidade operacional ou reputacional.</w:t>
      </w:r>
    </w:p>
    <w:p>
      <w:pPr>
        <w:pStyle w:val="Style13"/>
        <w:keepNext w:val="0"/>
        <w:keepLines w:val="0"/>
        <w:widowControl w:val="0"/>
        <w:shd w:val="clear" w:color="auto" w:fill="auto"/>
        <w:bidi w:val="0"/>
        <w:spacing w:before="0"/>
        <w:ind w:left="0" w:right="0" w:firstLine="0"/>
        <w:jc w:val="left"/>
      </w:pPr>
      <w:r>
        <w:rPr>
          <w:color w:val="000000"/>
          <w:spacing w:val="0"/>
          <w:w w:val="100"/>
          <w:position w:val="0"/>
          <w:shd w:val="clear" w:color="auto" w:fill="auto"/>
          <w:lang w:val="pt-PT" w:eastAsia="pt-PT" w:bidi="pt-PT"/>
        </w:rPr>
        <w:t>Recredenciamento e Descredenciamento</w:t>
      </w:r>
    </w:p>
    <w:p>
      <w:pPr>
        <w:pStyle w:val="Style13"/>
        <w:keepNext w:val="0"/>
        <w:keepLines w:val="0"/>
        <w:widowControl w:val="0"/>
        <w:shd w:val="clear" w:color="auto" w:fill="auto"/>
        <w:bidi w:val="0"/>
        <w:spacing w:before="0" w:line="276" w:lineRule="auto"/>
        <w:ind w:left="0" w:right="0"/>
        <w:jc w:val="both"/>
      </w:pPr>
      <w:r>
        <w:rPr>
          <w:color w:val="000000"/>
          <w:spacing w:val="0"/>
          <w:w w:val="100"/>
          <w:position w:val="0"/>
          <w:shd w:val="clear" w:color="auto" w:fill="auto"/>
          <w:lang w:val="pt-PT" w:eastAsia="pt-PT" w:bidi="pt-PT"/>
        </w:rPr>
        <w:t xml:space="preserve">O RPPS poderá promover recredenciamento periódico das instituições já habilitadas, mediante atualização documental e análise de conformidade - observando que o prazo de validade do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é de dois anos.</w:t>
      </w:r>
    </w:p>
    <w:p>
      <w:pPr>
        <w:pStyle w:val="Style13"/>
        <w:keepNext w:val="0"/>
        <w:keepLines w:val="0"/>
        <w:widowControl w:val="0"/>
        <w:shd w:val="clear" w:color="auto" w:fill="auto"/>
        <w:bidi w:val="0"/>
        <w:spacing w:before="0" w:after="460"/>
        <w:ind w:left="0" w:right="0"/>
        <w:jc w:val="both"/>
      </w:pPr>
      <w:r>
        <w:rPr>
          <w:color w:val="000000"/>
          <w:spacing w:val="0"/>
          <w:w w:val="100"/>
          <w:position w:val="0"/>
          <w:shd w:val="clear" w:color="auto" w:fill="auto"/>
          <w:lang w:val="pt-PT" w:eastAsia="pt-PT" w:bidi="pt-PT"/>
        </w:rPr>
        <w:t>Em caso de descumprimento de requisitos legais, aplicação de penalidades por órgãos reguladores, ou identificação de condutas incompatíveis com o padrão ético exigido, poderá ser determinado o descredenciamento imediato da instituição, com comunicação formal ao Conselho Municipal de Previdência.</w:t>
      </w:r>
    </w:p>
    <w:p>
      <w:pPr>
        <w:pStyle w:val="Style13"/>
        <w:keepNext w:val="0"/>
        <w:keepLines w:val="0"/>
        <w:widowControl w:val="0"/>
        <w:shd w:val="clear" w:color="auto" w:fill="auto"/>
        <w:bidi w:val="0"/>
        <w:spacing w:before="0" w:after="480" w:line="266" w:lineRule="auto"/>
        <w:ind w:left="0" w:right="0"/>
        <w:jc w:val="both"/>
      </w:pPr>
      <w:r>
        <w:rPr>
          <w:color w:val="000000"/>
          <w:spacing w:val="0"/>
          <w:w w:val="100"/>
          <w:position w:val="0"/>
          <w:shd w:val="clear" w:color="auto" w:fill="auto"/>
          <w:lang w:val="pt-PT" w:eastAsia="pt-PT" w:bidi="pt-PT"/>
        </w:rPr>
        <w:t xml:space="preserve">Para eventuais novos </w:t>
      </w:r>
      <w:r>
        <w:rPr>
          <w:color w:val="000000"/>
          <w:spacing w:val="0"/>
          <w:w w:val="100"/>
          <w:position w:val="0"/>
          <w:shd w:val="clear" w:color="auto" w:fill="auto"/>
          <w:lang w:val="pt-BR" w:eastAsia="pt-BR" w:bidi="pt-BR"/>
        </w:rPr>
        <w:t xml:space="preserve">credenciamentos </w:t>
      </w:r>
      <w:r>
        <w:rPr>
          <w:color w:val="000000"/>
          <w:spacing w:val="0"/>
          <w:w w:val="100"/>
          <w:position w:val="0"/>
          <w:shd w:val="clear" w:color="auto" w:fill="auto"/>
          <w:lang w:val="pt-PT" w:eastAsia="pt-PT" w:bidi="pt-PT"/>
        </w:rPr>
        <w:t xml:space="preserve">realizados ao longo de 2026, o RPPS seguirá rigorosamente os parâmetros e diretrizes estabelecidos pelos arts. 103, 104 e 105 da Portaria MTP n° 1.467/2022, garantindo total conformidade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federais e aos princípios de governança, transparência e diligência na gestão dos recursos previdenciários.</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Da Seleção e Precificação de ativos</w:t>
      </w:r>
    </w:p>
    <w:p>
      <w:pPr>
        <w:pStyle w:val="Style13"/>
        <w:keepNext w:val="0"/>
        <w:keepLines w:val="0"/>
        <w:widowControl w:val="0"/>
        <w:shd w:val="clear" w:color="auto" w:fill="auto"/>
        <w:bidi w:val="0"/>
        <w:spacing w:before="0" w:line="276" w:lineRule="auto"/>
        <w:ind w:left="0" w:right="0"/>
        <w:jc w:val="both"/>
      </w:pPr>
      <w:r>
        <w:rPr>
          <w:color w:val="000000"/>
          <w:spacing w:val="0"/>
          <w:w w:val="100"/>
          <w:position w:val="0"/>
          <w:shd w:val="clear" w:color="auto" w:fill="auto"/>
          <w:lang w:val="pt-PT" w:eastAsia="pt-PT" w:bidi="pt-PT"/>
        </w:rPr>
        <w:t xml:space="preserve">A seleção dos produtos para avaliação é de competência do </w:t>
      </w:r>
      <w:r>
        <w:rPr>
          <w:b/>
          <w:bCs/>
          <w:color w:val="000000"/>
          <w:spacing w:val="0"/>
          <w:w w:val="100"/>
          <w:position w:val="0"/>
          <w:sz w:val="18"/>
          <w:szCs w:val="18"/>
          <w:shd w:val="clear" w:color="auto" w:fill="auto"/>
          <w:lang w:val="pt-BR" w:eastAsia="pt-BR" w:bidi="pt-BR"/>
        </w:rPr>
        <w:t xml:space="preserve">COMITÊ </w:t>
      </w:r>
      <w:r>
        <w:rPr>
          <w:b/>
          <w:bCs/>
          <w:color w:val="000000"/>
          <w:spacing w:val="0"/>
          <w:w w:val="100"/>
          <w:position w:val="0"/>
          <w:sz w:val="18"/>
          <w:szCs w:val="18"/>
          <w:shd w:val="clear" w:color="auto" w:fill="auto"/>
          <w:lang w:val="pt-PT" w:eastAsia="pt-PT" w:bidi="pt-PT"/>
        </w:rPr>
        <w:t xml:space="preserve">DE INVESTIMENTOS </w:t>
      </w:r>
      <w:r>
        <w:rPr>
          <w:color w:val="000000"/>
          <w:spacing w:val="0"/>
          <w:w w:val="100"/>
          <w:position w:val="0"/>
          <w:shd w:val="clear" w:color="auto" w:fill="auto"/>
          <w:lang w:val="pt-PT" w:eastAsia="pt-PT" w:bidi="pt-PT"/>
        </w:rPr>
        <w:t>e deve respeitar esta Política de Investimentos. Para tanto, deverá ser elaborado relatório técnico que contemple as exigências principais da Portaria MTP n° 1.467/2022, seção IV.</w:t>
      </w:r>
    </w:p>
    <w:p>
      <w:pPr>
        <w:pStyle w:val="Style13"/>
        <w:keepNext w:val="0"/>
        <w:keepLines w:val="0"/>
        <w:widowControl w:val="0"/>
        <w:shd w:val="clear" w:color="auto" w:fill="auto"/>
        <w:bidi w:val="0"/>
        <w:spacing w:before="0" w:line="276" w:lineRule="auto"/>
        <w:ind w:left="0" w:right="0"/>
        <w:jc w:val="both"/>
      </w:pPr>
      <w:r>
        <w:rPr>
          <w:color w:val="000000"/>
          <w:spacing w:val="0"/>
          <w:w w:val="100"/>
          <w:position w:val="0"/>
          <w:shd w:val="clear" w:color="auto" w:fill="auto"/>
          <w:lang w:val="pt-PT" w:eastAsia="pt-PT" w:bidi="pt-PT"/>
        </w:rPr>
        <w:t>O parecer completo emitido deverá conter, no mínimo, os seguintes critérios de avaliação:</w:t>
      </w:r>
    </w:p>
    <w:p>
      <w:pPr>
        <w:pStyle w:val="Style13"/>
        <w:keepNext w:val="0"/>
        <w:keepLines w:val="0"/>
        <w:widowControl w:val="0"/>
        <w:numPr>
          <w:ilvl w:val="0"/>
          <w:numId w:val="11"/>
        </w:numPr>
        <w:shd w:val="clear" w:color="auto" w:fill="auto"/>
        <w:tabs>
          <w:tab w:pos="1027" w:val="left"/>
        </w:tabs>
        <w:bidi w:val="0"/>
        <w:spacing w:before="0" w:line="269" w:lineRule="auto"/>
        <w:ind w:left="0" w:right="0"/>
        <w:jc w:val="both"/>
      </w:pPr>
      <w:r>
        <w:rPr>
          <w:color w:val="000000"/>
          <w:spacing w:val="0"/>
          <w:w w:val="100"/>
          <w:position w:val="0"/>
          <w:shd w:val="clear" w:color="auto" w:fill="auto"/>
          <w:lang w:val="pt-PT" w:eastAsia="pt-PT" w:bidi="pt-PT"/>
        </w:rPr>
        <w:t>Análise das medidas de risco;</w:t>
      </w:r>
    </w:p>
    <w:p>
      <w:pPr>
        <w:pStyle w:val="Style13"/>
        <w:keepNext w:val="0"/>
        <w:keepLines w:val="0"/>
        <w:widowControl w:val="0"/>
        <w:numPr>
          <w:ilvl w:val="0"/>
          <w:numId w:val="11"/>
        </w:numPr>
        <w:shd w:val="clear" w:color="auto" w:fill="auto"/>
        <w:tabs>
          <w:tab w:pos="1027" w:val="left"/>
        </w:tabs>
        <w:bidi w:val="0"/>
        <w:spacing w:before="0" w:line="269" w:lineRule="auto"/>
        <w:ind w:left="0" w:right="0"/>
        <w:jc w:val="both"/>
      </w:pPr>
      <w:r>
        <w:rPr>
          <w:color w:val="000000"/>
          <w:spacing w:val="0"/>
          <w:w w:val="100"/>
          <w:position w:val="0"/>
          <w:shd w:val="clear" w:color="auto" w:fill="auto"/>
          <w:lang w:val="pt-PT" w:eastAsia="pt-PT" w:bidi="pt-PT"/>
        </w:rPr>
        <w:t>Análise dos índices de performance;</w:t>
      </w:r>
    </w:p>
    <w:p>
      <w:pPr>
        <w:pStyle w:val="Style13"/>
        <w:keepNext w:val="0"/>
        <w:keepLines w:val="0"/>
        <w:widowControl w:val="0"/>
        <w:numPr>
          <w:ilvl w:val="0"/>
          <w:numId w:val="11"/>
        </w:numPr>
        <w:shd w:val="clear" w:color="auto" w:fill="auto"/>
        <w:tabs>
          <w:tab w:pos="1027" w:val="left"/>
        </w:tabs>
        <w:bidi w:val="0"/>
        <w:spacing w:before="0" w:line="269" w:lineRule="auto"/>
        <w:ind w:left="0" w:right="0"/>
        <w:jc w:val="both"/>
      </w:pPr>
      <w:r>
        <w:rPr>
          <w:color w:val="000000"/>
          <w:spacing w:val="0"/>
          <w:w w:val="100"/>
          <w:position w:val="0"/>
          <w:shd w:val="clear" w:color="auto" w:fill="auto"/>
          <w:lang w:val="pt-PT" w:eastAsia="pt-PT" w:bidi="pt-PT"/>
        </w:rPr>
        <w:t>Análise de índices de eficiência;</w:t>
      </w:r>
    </w:p>
    <w:p>
      <w:pPr>
        <w:pStyle w:val="Style13"/>
        <w:keepNext w:val="0"/>
        <w:keepLines w:val="0"/>
        <w:widowControl w:val="0"/>
        <w:numPr>
          <w:ilvl w:val="0"/>
          <w:numId w:val="11"/>
        </w:numPr>
        <w:shd w:val="clear" w:color="auto" w:fill="auto"/>
        <w:tabs>
          <w:tab w:pos="1020" w:val="left"/>
        </w:tabs>
        <w:bidi w:val="0"/>
        <w:spacing w:before="0" w:line="262" w:lineRule="auto"/>
        <w:ind w:left="0" w:right="0"/>
        <w:jc w:val="both"/>
      </w:pPr>
      <w:r>
        <w:rPr>
          <w:color w:val="000000"/>
          <w:spacing w:val="0"/>
          <w:w w:val="100"/>
          <w:position w:val="0"/>
          <w:shd w:val="clear" w:color="auto" w:fill="auto"/>
          <w:lang w:val="pt-PT" w:eastAsia="pt-PT" w:bidi="pt-PT"/>
        </w:rPr>
        <w:t xml:space="preserve">Análise do regulamento evidenciando as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natureza, enquadramento do produto e relatório da agência de risco (se houver);</w:t>
      </w:r>
    </w:p>
    <w:p>
      <w:pPr>
        <w:pStyle w:val="Style13"/>
        <w:keepNext w:val="0"/>
        <w:keepLines w:val="0"/>
        <w:widowControl w:val="0"/>
        <w:numPr>
          <w:ilvl w:val="0"/>
          <w:numId w:val="11"/>
        </w:numPr>
        <w:shd w:val="clear" w:color="auto" w:fill="auto"/>
        <w:tabs>
          <w:tab w:pos="1027" w:val="left"/>
        </w:tabs>
        <w:bidi w:val="0"/>
        <w:spacing w:before="0" w:line="269" w:lineRule="auto"/>
        <w:ind w:left="0" w:right="0"/>
        <w:jc w:val="both"/>
      </w:pPr>
      <w:r>
        <w:rPr>
          <w:color w:val="000000"/>
          <w:spacing w:val="0"/>
          <w:w w:val="100"/>
          <w:position w:val="0"/>
          <w:shd w:val="clear" w:color="auto" w:fill="auto"/>
          <w:lang w:val="pt-PT" w:eastAsia="pt-PT" w:bidi="pt-PT"/>
        </w:rPr>
        <w:t xml:space="preserve">Análise da carteira do fundo com relação à carteira do </w:t>
      </w:r>
      <w:r>
        <w:rPr>
          <w:color w:val="000000"/>
          <w:spacing w:val="0"/>
          <w:w w:val="100"/>
          <w:position w:val="0"/>
          <w:shd w:val="clear" w:color="auto" w:fill="auto"/>
          <w:lang w:val="pt-BR" w:eastAsia="pt-BR" w:bidi="pt-BR"/>
        </w:rPr>
        <w:t xml:space="preserve">benchmark. </w:t>
      </w:r>
      <w:r>
        <w:rPr>
          <w:color w:val="000000"/>
          <w:spacing w:val="0"/>
          <w:w w:val="100"/>
          <w:position w:val="0"/>
          <w:shd w:val="clear" w:color="auto" w:fill="auto"/>
          <w:lang w:val="pt-PT" w:eastAsia="pt-PT" w:bidi="pt-PT"/>
        </w:rPr>
        <w:t>Quando se tratar de ativos de crédito, verificar a concentração por emissor, notas de risco dos ativos e vencimento dos títulos;</w:t>
      </w:r>
    </w:p>
    <w:p>
      <w:pPr>
        <w:pStyle w:val="Style13"/>
        <w:keepNext w:val="0"/>
        <w:keepLines w:val="0"/>
        <w:widowControl w:val="0"/>
        <w:numPr>
          <w:ilvl w:val="0"/>
          <w:numId w:val="11"/>
        </w:numPr>
        <w:shd w:val="clear" w:color="auto" w:fill="auto"/>
        <w:tabs>
          <w:tab w:pos="1027" w:val="left"/>
        </w:tabs>
        <w:bidi w:val="0"/>
        <w:spacing w:before="0" w:line="264" w:lineRule="auto"/>
        <w:ind w:left="0" w:right="0"/>
        <w:jc w:val="both"/>
      </w:pPr>
      <w:r>
        <w:rPr>
          <w:color w:val="000000"/>
          <w:spacing w:val="0"/>
          <w:w w:val="100"/>
          <w:position w:val="0"/>
          <w:shd w:val="clear" w:color="auto" w:fill="auto"/>
          <w:lang w:val="pt-PT" w:eastAsia="pt-PT" w:bidi="pt-PT"/>
        </w:rPr>
        <w:t xml:space="preserve">Informações claras que permitam a identificação dos fatores positivos e negativos do investimento, quando se tratar de FIP, FII e FIDC. As informações servirão de apoio à decisão acerca das </w:t>
      </w:r>
      <w:r>
        <w:rPr>
          <w:color w:val="000000"/>
          <w:spacing w:val="0"/>
          <w:w w:val="100"/>
          <w:position w:val="0"/>
          <w:shd w:val="clear" w:color="auto" w:fill="auto"/>
          <w:lang w:val="pt-BR" w:eastAsia="pt-BR" w:bidi="pt-BR"/>
        </w:rPr>
        <w:t xml:space="preserve">alocações </w:t>
      </w:r>
      <w:r>
        <w:rPr>
          <w:color w:val="000000"/>
          <w:spacing w:val="0"/>
          <w:w w:val="100"/>
          <w:position w:val="0"/>
          <w:shd w:val="clear" w:color="auto" w:fill="auto"/>
          <w:lang w:val="pt-PT" w:eastAsia="pt-PT" w:bidi="pt-PT"/>
        </w:rPr>
        <w:t xml:space="preserve">por parte do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w:t>
      </w:r>
    </w:p>
    <w:p>
      <w:pPr>
        <w:pStyle w:val="Style13"/>
        <w:keepNext w:val="0"/>
        <w:keepLines w:val="0"/>
        <w:widowControl w:val="0"/>
        <w:numPr>
          <w:ilvl w:val="0"/>
          <w:numId w:val="11"/>
        </w:numPr>
        <w:shd w:val="clear" w:color="auto" w:fill="auto"/>
        <w:tabs>
          <w:tab w:pos="1041" w:val="left"/>
        </w:tabs>
        <w:bidi w:val="0"/>
        <w:spacing w:before="0" w:line="269" w:lineRule="auto"/>
        <w:ind w:left="0" w:right="0"/>
        <w:jc w:val="both"/>
      </w:pPr>
      <w:r>
        <w:rPr>
          <w:color w:val="000000"/>
          <w:spacing w:val="0"/>
          <w:w w:val="100"/>
          <w:position w:val="0"/>
          <w:shd w:val="clear" w:color="auto" w:fill="auto"/>
          <w:lang w:val="pt-PT" w:eastAsia="pt-PT" w:bidi="pt-PT"/>
        </w:rPr>
        <w:t>Enquadramento.</w:t>
      </w:r>
    </w:p>
    <w:p>
      <w:pPr>
        <w:pStyle w:val="Style13"/>
        <w:keepNext w:val="0"/>
        <w:keepLines w:val="0"/>
        <w:widowControl w:val="0"/>
        <w:shd w:val="clear" w:color="auto" w:fill="auto"/>
        <w:bidi w:val="0"/>
        <w:spacing w:before="0" w:after="480" w:line="276" w:lineRule="auto"/>
        <w:ind w:left="0" w:right="0"/>
        <w:jc w:val="both"/>
      </w:pPr>
      <w:r>
        <w:rPr>
          <w:b/>
          <w:bCs/>
          <w:color w:val="000000"/>
          <w:spacing w:val="0"/>
          <w:w w:val="100"/>
          <w:position w:val="0"/>
          <w:sz w:val="18"/>
          <w:szCs w:val="18"/>
          <w:shd w:val="clear" w:color="auto" w:fill="auto"/>
          <w:lang w:val="pt-PT" w:eastAsia="pt-PT" w:bidi="pt-PT"/>
        </w:rPr>
        <w:t>A precificação dos ativos de que trata o inciso V, do art. 4</w:t>
      </w:r>
      <w:r>
        <w:rPr>
          <w:b/>
          <w:bCs/>
          <w:color w:val="000000"/>
          <w:spacing w:val="0"/>
          <w:w w:val="100"/>
          <w:position w:val="0"/>
          <w:sz w:val="18"/>
          <w:szCs w:val="18"/>
          <w:shd w:val="clear" w:color="auto" w:fill="auto"/>
          <w:vertAlign w:val="superscript"/>
          <w:lang w:val="pt-PT" w:eastAsia="pt-PT" w:bidi="pt-PT"/>
        </w:rPr>
        <w:t>o</w:t>
      </w:r>
      <w:r>
        <w:rPr>
          <w:b/>
          <w:bCs/>
          <w:color w:val="000000"/>
          <w:spacing w:val="0"/>
          <w:w w:val="100"/>
          <w:position w:val="0"/>
          <w:sz w:val="18"/>
          <w:szCs w:val="18"/>
          <w:shd w:val="clear" w:color="auto" w:fill="auto"/>
          <w:lang w:val="pt-PT" w:eastAsia="pt-PT" w:bidi="pt-PT"/>
        </w:rPr>
        <w:t xml:space="preserve"> da Resolução CMN n° 5.272/2025, </w:t>
      </w:r>
      <w:r>
        <w:rPr>
          <w:color w:val="000000"/>
          <w:spacing w:val="0"/>
          <w:w w:val="100"/>
          <w:position w:val="0"/>
          <w:shd w:val="clear" w:color="auto" w:fill="auto"/>
          <w:lang w:val="pt-PT" w:eastAsia="pt-PT" w:bidi="pt-PT"/>
        </w:rPr>
        <w:t>será efetuada com base nas informações divulgadas pelos órgãos responsáveis, tais como B3, CVM e ANBIMA.</w:t>
      </w:r>
    </w:p>
    <w:p>
      <w:pPr>
        <w:pStyle w:val="Style13"/>
        <w:keepNext w:val="0"/>
        <w:keepLines w:val="0"/>
        <w:widowControl w:val="0"/>
        <w:shd w:val="clear" w:color="auto" w:fill="auto"/>
        <w:bidi w:val="0"/>
        <w:spacing w:before="0" w:line="240"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Deliberações sobre novos Investimentos</w:t>
      </w:r>
    </w:p>
    <w:p>
      <w:pPr>
        <w:widowControl w:val="0"/>
        <w:spacing w:after="1600" w:line="1" w:lineRule="exact"/>
      </w:pPr>
      <w:r>
        <w:drawing>
          <wp:anchor distT="0" distB="0" distL="0" distR="0" simplePos="0" relativeHeight="62914749" behindDoc="1" locked="0" layoutInCell="1" allowOverlap="1">
            <wp:simplePos x="0" y="0"/>
            <wp:positionH relativeFrom="page">
              <wp:posOffset>5345430</wp:posOffset>
            </wp:positionH>
            <wp:positionV relativeFrom="paragraph">
              <wp:posOffset>330200</wp:posOffset>
            </wp:positionV>
            <wp:extent cx="438785" cy="262255"/>
            <wp:wrapNone/>
            <wp:docPr id="240" name="Shape 240"/>
            <a:graphic xmlns:a="http://schemas.openxmlformats.org/drawingml/2006/main">
              <a:graphicData uri="http://schemas.openxmlformats.org/drawingml/2006/picture">
                <pic:pic xmlns:pic="http://schemas.openxmlformats.org/drawingml/2006/picture">
                  <pic:nvPicPr>
                    <pic:cNvPr id="241" name="Picture box 241"/>
                    <pic:cNvPicPr/>
                  </pic:nvPicPr>
                  <pic:blipFill>
                    <a:blip r:embed="rId133"/>
                    <a:stretch/>
                  </pic:blipFill>
                  <pic:spPr>
                    <a:xfrm>
                      <a:ext cx="438785" cy="262255"/>
                    </a:xfrm>
                    <a:prstGeom prst="rect"/>
                  </pic:spPr>
                </pic:pic>
              </a:graphicData>
            </a:graphic>
          </wp:anchor>
        </w:drawing>
      </w:r>
      <w:r>
        <w:drawing>
          <wp:anchor distT="0" distB="0" distL="0" distR="0" simplePos="0" relativeHeight="62914750" behindDoc="1" locked="0" layoutInCell="1" allowOverlap="1">
            <wp:simplePos x="0" y="0"/>
            <wp:positionH relativeFrom="page">
              <wp:posOffset>6383020</wp:posOffset>
            </wp:positionH>
            <wp:positionV relativeFrom="paragraph">
              <wp:posOffset>101600</wp:posOffset>
            </wp:positionV>
            <wp:extent cx="786130" cy="914400"/>
            <wp:wrapNone/>
            <wp:docPr id="242" name="Shape 242"/>
            <a:graphic xmlns:a="http://schemas.openxmlformats.org/drawingml/2006/main">
              <a:graphicData uri="http://schemas.openxmlformats.org/drawingml/2006/picture">
                <pic:pic xmlns:pic="http://schemas.openxmlformats.org/drawingml/2006/picture">
                  <pic:nvPicPr>
                    <pic:cNvPr id="243" name="Picture box 243"/>
                    <pic:cNvPicPr/>
                  </pic:nvPicPr>
                  <pic:blipFill>
                    <a:blip r:embed="rId135"/>
                    <a:stretch/>
                  </pic:blipFill>
                  <pic:spPr>
                    <a:xfrm>
                      <a:ext cx="786130" cy="914400"/>
                    </a:xfrm>
                    <a:prstGeom prst="rect"/>
                  </pic:spPr>
                </pic:pic>
              </a:graphicData>
            </a:graphic>
          </wp:anchor>
        </w:drawing>
      </w:r>
    </w:p>
    <w:p>
      <w:pPr>
        <w:pStyle w:val="Style13"/>
        <w:keepNext w:val="0"/>
        <w:keepLines w:val="0"/>
        <w:widowControl w:val="0"/>
        <w:shd w:val="clear" w:color="auto" w:fill="auto"/>
        <w:bidi w:val="0"/>
        <w:spacing w:before="0" w:line="264" w:lineRule="auto"/>
        <w:ind w:left="0" w:right="0"/>
        <w:jc w:val="both"/>
      </w:pPr>
      <w:r>
        <w:rPr>
          <w:color w:val="000000"/>
          <w:spacing w:val="0"/>
          <w:w w:val="100"/>
          <w:position w:val="0"/>
          <w:shd w:val="clear" w:color="auto" w:fill="auto"/>
          <w:lang w:val="pt-PT" w:eastAsia="pt-PT" w:bidi="pt-PT"/>
        </w:rPr>
        <w:t xml:space="preserve">Os recursos financeiros do RPPS deverão ser geridos em conformidade com esta Política de </w:t>
      </w:r>
      <w:r>
        <w:rPr>
          <w:color w:val="000000"/>
          <w:spacing w:val="0"/>
          <w:w w:val="100"/>
          <w:position w:val="0"/>
          <w:shd w:val="clear" w:color="auto" w:fill="auto"/>
          <w:lang w:val="pt-BR" w:eastAsia="pt-BR" w:bidi="pt-BR"/>
        </w:rPr>
        <w:t xml:space="preserve">Investimentos, </w:t>
      </w:r>
      <w:r>
        <w:rPr>
          <w:color w:val="000000"/>
          <w:spacing w:val="0"/>
          <w:w w:val="100"/>
          <w:position w:val="0"/>
          <w:shd w:val="clear" w:color="auto" w:fill="auto"/>
          <w:lang w:val="pt-PT" w:eastAsia="pt-PT" w:bidi="pt-PT"/>
        </w:rPr>
        <w:t xml:space="preserve">com as normas estabelecidas pelo Conselho Monetário Nacional (CMN), e com os critérios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e contratação de instituições financeiras.</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Deverão ser adotadas regras, procedimentos e controles internos que assegurem elevados padrões éticos e técnicos na condução das operações, promovendo transparência, eficiência e segurança em todas as etapas de análise, decisão e execução das aplicações.</w:t>
      </w:r>
    </w:p>
    <w:p>
      <w:pPr>
        <w:pStyle w:val="Style13"/>
        <w:keepNext w:val="0"/>
        <w:keepLines w:val="0"/>
        <w:widowControl w:val="0"/>
        <w:shd w:val="clear" w:color="auto" w:fill="auto"/>
        <w:bidi w:val="0"/>
        <w:spacing w:before="0"/>
        <w:ind w:left="0" w:right="0"/>
        <w:jc w:val="both"/>
      </w:pPr>
      <w:r>
        <w:rPr>
          <w:color w:val="000000"/>
          <w:spacing w:val="0"/>
          <w:w w:val="100"/>
          <w:position w:val="0"/>
          <w:shd w:val="clear" w:color="auto" w:fill="auto"/>
          <w:lang w:val="pt-PT" w:eastAsia="pt-PT" w:bidi="pt-PT"/>
        </w:rPr>
        <w:t xml:space="preserve">Conforme previsto no </w:t>
      </w:r>
      <w:r>
        <w:rPr>
          <w:b/>
          <w:bCs/>
          <w:color w:val="000000"/>
          <w:spacing w:val="0"/>
          <w:w w:val="100"/>
          <w:position w:val="0"/>
          <w:sz w:val="18"/>
          <w:szCs w:val="18"/>
          <w:shd w:val="clear" w:color="auto" w:fill="auto"/>
          <w:lang w:val="pt-BR" w:eastAsia="pt-BR" w:bidi="pt-BR"/>
        </w:rPr>
        <w:t xml:space="preserve">art. </w:t>
      </w:r>
      <w:r>
        <w:rPr>
          <w:b/>
          <w:bCs/>
          <w:color w:val="000000"/>
          <w:spacing w:val="0"/>
          <w:w w:val="100"/>
          <w:position w:val="0"/>
          <w:sz w:val="18"/>
          <w:szCs w:val="18"/>
          <w:shd w:val="clear" w:color="auto" w:fill="auto"/>
          <w:lang w:val="pt-PT" w:eastAsia="pt-PT" w:bidi="pt-PT"/>
        </w:rPr>
        <w:t xml:space="preserve">88 da Portaria MTP n° 1.467/2022, </w:t>
      </w:r>
      <w:r>
        <w:rPr>
          <w:color w:val="000000"/>
          <w:spacing w:val="0"/>
          <w:w w:val="100"/>
          <w:position w:val="0"/>
          <w:shd w:val="clear" w:color="auto" w:fill="auto"/>
          <w:lang w:val="pt-PT" w:eastAsia="pt-PT" w:bidi="pt-PT"/>
        </w:rPr>
        <w:t xml:space="preserve">os processos decisórios referentes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operações de investimento do RPPS devem observar controles de qualidade, documentação, revisão e requisitos de auditoria rigorosos, garantindo rastreabilidade e governança sobre cada deliberação.</w:t>
      </w:r>
    </w:p>
    <w:p>
      <w:pPr>
        <w:pStyle w:val="Style13"/>
        <w:keepNext w:val="0"/>
        <w:keepLines w:val="0"/>
        <w:widowControl w:val="0"/>
        <w:shd w:val="clear" w:color="auto" w:fill="auto"/>
        <w:bidi w:val="0"/>
        <w:spacing w:before="0" w:line="302" w:lineRule="auto"/>
        <w:ind w:left="0" w:right="0" w:firstLine="0"/>
        <w:jc w:val="left"/>
      </w:pPr>
      <w:r>
        <w:rPr>
          <w:color w:val="000000"/>
          <w:spacing w:val="0"/>
          <w:w w:val="100"/>
          <w:position w:val="0"/>
          <w:shd w:val="clear" w:color="auto" w:fill="auto"/>
          <w:lang w:val="pt-PT" w:eastAsia="pt-PT" w:bidi="pt-PT"/>
        </w:rPr>
        <w:t>Processo Decisório e Responsabilidades</w:t>
      </w:r>
    </w:p>
    <w:p>
      <w:pPr>
        <w:pStyle w:val="Style13"/>
        <w:keepNext w:val="0"/>
        <w:keepLines w:val="0"/>
        <w:widowControl w:val="0"/>
        <w:shd w:val="clear" w:color="auto" w:fill="auto"/>
        <w:bidi w:val="0"/>
        <w:spacing w:before="0" w:line="264" w:lineRule="auto"/>
        <w:ind w:left="0" w:right="0"/>
        <w:jc w:val="both"/>
        <w:rPr>
          <w:sz w:val="18"/>
          <w:szCs w:val="18"/>
        </w:rPr>
      </w:pPr>
      <w:r>
        <w:rPr>
          <w:color w:val="000000"/>
          <w:spacing w:val="0"/>
          <w:w w:val="100"/>
          <w:position w:val="0"/>
          <w:sz w:val="19"/>
          <w:szCs w:val="19"/>
          <w:shd w:val="clear" w:color="auto" w:fill="auto"/>
          <w:lang w:val="pt-PT" w:eastAsia="pt-PT" w:bidi="pt-PT"/>
        </w:rPr>
        <w:t xml:space="preserve">O fluxo de deliberação sobre novos investimentos compreende a atuação integrada da Consultoria de Investimentos, do Gestor do RPPS, do </w:t>
      </w:r>
      <w:r>
        <w:rPr>
          <w:b/>
          <w:bCs/>
          <w:color w:val="000000"/>
          <w:spacing w:val="0"/>
          <w:w w:val="100"/>
          <w:position w:val="0"/>
          <w:sz w:val="18"/>
          <w:szCs w:val="18"/>
          <w:shd w:val="clear" w:color="auto" w:fill="auto"/>
          <w:lang w:val="pt-BR" w:eastAsia="pt-BR" w:bidi="pt-BR"/>
        </w:rPr>
        <w:t xml:space="preserve">COMITÊ </w:t>
      </w:r>
      <w:r>
        <w:rPr>
          <w:b/>
          <w:bCs/>
          <w:color w:val="000000"/>
          <w:spacing w:val="0"/>
          <w:w w:val="100"/>
          <w:position w:val="0"/>
          <w:sz w:val="18"/>
          <w:szCs w:val="18"/>
          <w:shd w:val="clear" w:color="auto" w:fill="auto"/>
          <w:lang w:val="pt-PT" w:eastAsia="pt-PT" w:bidi="pt-PT"/>
        </w:rPr>
        <w:t xml:space="preserve">DE INVESTIMENTOS </w:t>
      </w:r>
      <w:r>
        <w:rPr>
          <w:color w:val="000000"/>
          <w:spacing w:val="0"/>
          <w:w w:val="100"/>
          <w:position w:val="0"/>
          <w:sz w:val="19"/>
          <w:szCs w:val="19"/>
          <w:shd w:val="clear" w:color="auto" w:fill="auto"/>
          <w:lang w:val="pt-PT" w:eastAsia="pt-PT" w:bidi="pt-PT"/>
        </w:rPr>
        <w:t xml:space="preserve">e, quando necessário, do </w:t>
      </w:r>
      <w:r>
        <w:rPr>
          <w:b/>
          <w:bCs/>
          <w:color w:val="000000"/>
          <w:spacing w:val="0"/>
          <w:w w:val="100"/>
          <w:position w:val="0"/>
          <w:sz w:val="18"/>
          <w:szCs w:val="18"/>
          <w:shd w:val="clear" w:color="auto" w:fill="auto"/>
          <w:lang w:val="pt-PT" w:eastAsia="pt-PT" w:bidi="pt-PT"/>
        </w:rPr>
        <w:t>CONSELHO MUNICIPAL DE PREVIDÊNCIA - CMP.</w:t>
      </w:r>
    </w:p>
    <w:p>
      <w:pPr>
        <w:pStyle w:val="Style13"/>
        <w:keepNext w:val="0"/>
        <w:keepLines w:val="0"/>
        <w:widowControl w:val="0"/>
        <w:shd w:val="clear" w:color="auto" w:fill="auto"/>
        <w:bidi w:val="0"/>
        <w:spacing w:before="0" w:after="440" w:line="302" w:lineRule="auto"/>
        <w:ind w:left="0" w:right="0"/>
        <w:jc w:val="both"/>
      </w:pPr>
      <w:r>
        <w:rPr>
          <w:color w:val="000000"/>
          <w:spacing w:val="0"/>
          <w:w w:val="100"/>
          <w:position w:val="0"/>
          <w:shd w:val="clear" w:color="auto" w:fill="auto"/>
          <w:lang w:val="pt-PT" w:eastAsia="pt-PT" w:bidi="pt-PT"/>
        </w:rPr>
        <w:t>O processo segue as seguintes etapas:</w:t>
      </w:r>
    </w:p>
    <w:p>
      <w:pPr>
        <w:pStyle w:val="Style13"/>
        <w:keepNext w:val="0"/>
        <w:keepLines w:val="0"/>
        <w:widowControl w:val="0"/>
        <w:numPr>
          <w:ilvl w:val="0"/>
          <w:numId w:val="13"/>
        </w:numPr>
        <w:shd w:val="clear" w:color="auto" w:fill="auto"/>
        <w:tabs>
          <w:tab w:pos="1441" w:val="left"/>
        </w:tabs>
        <w:bidi w:val="0"/>
        <w:spacing w:before="0" w:after="0" w:line="310" w:lineRule="auto"/>
        <w:ind w:left="180" w:right="0" w:firstLine="420"/>
        <w:jc w:val="both"/>
      </w:pPr>
      <w:r>
        <w:rPr>
          <w:color w:val="000000"/>
          <w:spacing w:val="0"/>
          <w:w w:val="100"/>
          <w:position w:val="0"/>
          <w:u w:val="single"/>
          <w:shd w:val="clear" w:color="auto" w:fill="auto"/>
          <w:lang w:val="pt-PT" w:eastAsia="pt-PT" w:bidi="pt-PT"/>
        </w:rPr>
        <w:t>Recebimento da Proposta de Investimento</w:t>
      </w:r>
    </w:p>
    <w:p>
      <w:pPr>
        <w:pStyle w:val="Style13"/>
        <w:keepNext w:val="0"/>
        <w:keepLines w:val="0"/>
        <w:widowControl w:val="0"/>
        <w:shd w:val="clear" w:color="auto" w:fill="auto"/>
        <w:bidi w:val="0"/>
        <w:spacing w:before="0" w:after="0" w:line="310"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O processo </w:t>
      </w:r>
      <w:r>
        <w:rPr>
          <w:color w:val="000000"/>
          <w:spacing w:val="0"/>
          <w:w w:val="100"/>
          <w:position w:val="0"/>
          <w:shd w:val="clear" w:color="auto" w:fill="auto"/>
          <w:lang w:val="pt-BR" w:eastAsia="pt-BR" w:bidi="pt-BR"/>
        </w:rPr>
        <w:t xml:space="preserve">inicia-se </w:t>
      </w:r>
      <w:r>
        <w:rPr>
          <w:color w:val="000000"/>
          <w:spacing w:val="0"/>
          <w:w w:val="100"/>
          <w:position w:val="0"/>
          <w:shd w:val="clear" w:color="auto" w:fill="auto"/>
          <w:lang w:val="pt-PT" w:eastAsia="pt-PT" w:bidi="pt-PT"/>
        </w:rPr>
        <w:t>com o recebimento formal da proposta, contendo a documentação completa do ativo e da instituição proponente.</w:t>
      </w:r>
    </w:p>
    <w:p>
      <w:pPr>
        <w:pStyle w:val="Style13"/>
        <w:keepNext w:val="0"/>
        <w:keepLines w:val="0"/>
        <w:widowControl w:val="0"/>
        <w:shd w:val="clear" w:color="auto" w:fill="auto"/>
        <w:bidi w:val="0"/>
        <w:spacing w:before="0" w:after="0" w:line="310"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O ativo e a instituição são submetidos à verificação preliminar para confirmar se atendem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regras legais e normativas vigentes (Resolução CMN n° 5.272/2025 e Portaria MTP n° 1.467/2022).</w:t>
      </w:r>
    </w:p>
    <w:p>
      <w:pPr>
        <w:pStyle w:val="Style13"/>
        <w:keepNext w:val="0"/>
        <w:keepLines w:val="0"/>
        <w:widowControl w:val="0"/>
        <w:shd w:val="clear" w:color="auto" w:fill="auto"/>
        <w:bidi w:val="0"/>
        <w:spacing w:before="0" w:after="460" w:line="310"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Caso não atendam, o investimento é descartado.</w:t>
      </w:r>
    </w:p>
    <w:p>
      <w:pPr>
        <w:pStyle w:val="Style13"/>
        <w:keepNext w:val="0"/>
        <w:keepLines w:val="0"/>
        <w:widowControl w:val="0"/>
        <w:numPr>
          <w:ilvl w:val="0"/>
          <w:numId w:val="13"/>
        </w:numPr>
        <w:shd w:val="clear" w:color="auto" w:fill="auto"/>
        <w:tabs>
          <w:tab w:pos="1441" w:val="left"/>
        </w:tabs>
        <w:bidi w:val="0"/>
        <w:spacing w:before="0" w:after="0" w:line="310" w:lineRule="auto"/>
        <w:ind w:left="180" w:right="0" w:firstLine="420"/>
        <w:jc w:val="both"/>
      </w:pPr>
      <w:r>
        <w:rPr>
          <w:color w:val="000000"/>
          <w:spacing w:val="0"/>
          <w:w w:val="100"/>
          <w:position w:val="0"/>
          <w:u w:val="single"/>
          <w:shd w:val="clear" w:color="auto" w:fill="auto"/>
          <w:lang w:val="pt-PT" w:eastAsia="pt-PT" w:bidi="pt-PT"/>
        </w:rPr>
        <w:t>Análise de Enquadramento e Perfil do RPPS</w:t>
      </w:r>
    </w:p>
    <w:p>
      <w:pPr>
        <w:pStyle w:val="Style13"/>
        <w:keepNext w:val="0"/>
        <w:keepLines w:val="0"/>
        <w:widowControl w:val="0"/>
        <w:shd w:val="clear" w:color="auto" w:fill="auto"/>
        <w:bidi w:val="0"/>
        <w:spacing w:before="0" w:after="0" w:line="310"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As propostas que se enquadram nas normas vigentes passam por avaliação de compatibilidade com o perfil do investidor e com as metas e limites da Política de Investimentos.</w:t>
      </w:r>
    </w:p>
    <w:p>
      <w:pPr>
        <w:pStyle w:val="Style13"/>
        <w:keepNext w:val="0"/>
        <w:keepLines w:val="0"/>
        <w:widowControl w:val="0"/>
        <w:shd w:val="clear" w:color="auto" w:fill="auto"/>
        <w:bidi w:val="0"/>
        <w:spacing w:before="0" w:after="480" w:line="310"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Propostas fora do perfil ou em desacordo com a política são descartadas.</w:t>
      </w:r>
    </w:p>
    <w:p>
      <w:pPr>
        <w:pStyle w:val="Style13"/>
        <w:keepNext w:val="0"/>
        <w:keepLines w:val="0"/>
        <w:widowControl w:val="0"/>
        <w:numPr>
          <w:ilvl w:val="0"/>
          <w:numId w:val="13"/>
        </w:numPr>
        <w:shd w:val="clear" w:color="auto" w:fill="auto"/>
        <w:tabs>
          <w:tab w:pos="1441" w:val="left"/>
        </w:tabs>
        <w:bidi w:val="0"/>
        <w:spacing w:before="0" w:after="0" w:line="305" w:lineRule="auto"/>
        <w:ind w:left="180" w:right="0" w:firstLine="420"/>
        <w:jc w:val="both"/>
      </w:pPr>
      <w:r>
        <w:rPr>
          <w:color w:val="000000"/>
          <w:spacing w:val="0"/>
          <w:w w:val="100"/>
          <w:position w:val="0"/>
          <w:u w:val="single"/>
          <w:shd w:val="clear" w:color="auto" w:fill="auto"/>
          <w:lang w:val="pt-PT" w:eastAsia="pt-PT" w:bidi="pt-PT"/>
        </w:rPr>
        <w:t>Seleção de Fundos e Solicitação de Análise Técnica</w:t>
      </w:r>
    </w:p>
    <w:p>
      <w:pPr>
        <w:pStyle w:val="Style13"/>
        <w:keepNext w:val="0"/>
        <w:keepLines w:val="0"/>
        <w:widowControl w:val="0"/>
        <w:shd w:val="clear" w:color="auto" w:fill="auto"/>
        <w:bidi w:val="0"/>
        <w:spacing w:before="0" w:after="0" w:line="305"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Identificam-se os fundos ou ativos que agregam valor à carteira e estão dentro do perfil e dos limites do RPPS.</w:t>
      </w:r>
    </w:p>
    <w:p>
      <w:pPr>
        <w:pStyle w:val="Style13"/>
        <w:keepNext w:val="0"/>
        <w:keepLines w:val="0"/>
        <w:widowControl w:val="0"/>
        <w:shd w:val="clear" w:color="auto" w:fill="auto"/>
        <w:bidi w:val="0"/>
        <w:spacing w:before="0" w:after="460" w:line="305" w:lineRule="auto"/>
        <w:ind w:left="180" w:right="0" w:firstLine="42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Nessa etapa, </w:t>
      </w:r>
      <w:r>
        <w:rPr>
          <w:color w:val="000000"/>
          <w:spacing w:val="0"/>
          <w:w w:val="100"/>
          <w:position w:val="0"/>
          <w:shd w:val="clear" w:color="auto" w:fill="auto"/>
          <w:lang w:val="pt-BR" w:eastAsia="pt-BR" w:bidi="pt-BR"/>
        </w:rPr>
        <w:t xml:space="preserve">solicita-se </w:t>
      </w:r>
      <w:r>
        <w:rPr>
          <w:color w:val="000000"/>
          <w:spacing w:val="0"/>
          <w:w w:val="100"/>
          <w:position w:val="0"/>
          <w:shd w:val="clear" w:color="auto" w:fill="auto"/>
          <w:lang w:val="pt-PT" w:eastAsia="pt-PT" w:bidi="pt-PT"/>
        </w:rPr>
        <w:t xml:space="preserve">à Consultoria de Investimentos a elaboração de uma análise técnica detalhada </w:t>
      </w:r>
      <w:r>
        <w:rPr>
          <w:b/>
          <w:bCs/>
          <w:i/>
          <w:iCs/>
          <w:color w:val="000000"/>
          <w:spacing w:val="0"/>
          <w:w w:val="100"/>
          <w:position w:val="0"/>
          <w:shd w:val="clear" w:color="auto" w:fill="auto"/>
          <w:lang w:val="pt-PT" w:eastAsia="pt-PT" w:bidi="pt-PT"/>
        </w:rPr>
        <w:t>(due di/igence)</w:t>
      </w:r>
      <w:r>
        <w:rPr>
          <w:color w:val="000000"/>
          <w:spacing w:val="0"/>
          <w:w w:val="100"/>
          <w:position w:val="0"/>
          <w:shd w:val="clear" w:color="auto" w:fill="auto"/>
          <w:lang w:val="pt-PT" w:eastAsia="pt-PT" w:bidi="pt-PT"/>
        </w:rPr>
        <w:t xml:space="preserve"> sobre o(s) ativo(s) proposto(s).</w:t>
      </w:r>
    </w:p>
    <w:p>
      <w:pPr>
        <w:pStyle w:val="Style13"/>
        <w:keepNext w:val="0"/>
        <w:keepLines w:val="0"/>
        <w:widowControl w:val="0"/>
        <w:numPr>
          <w:ilvl w:val="0"/>
          <w:numId w:val="13"/>
        </w:numPr>
        <w:shd w:val="clear" w:color="auto" w:fill="auto"/>
        <w:tabs>
          <w:tab w:pos="1441" w:val="left"/>
        </w:tabs>
        <w:bidi w:val="0"/>
        <w:spacing w:before="0" w:after="0" w:line="300" w:lineRule="auto"/>
        <w:ind w:left="180" w:right="0" w:firstLine="420"/>
        <w:jc w:val="both"/>
      </w:pPr>
      <w:r>
        <w:rPr>
          <w:color w:val="000000"/>
          <w:spacing w:val="0"/>
          <w:w w:val="100"/>
          <w:position w:val="0"/>
          <w:u w:val="single"/>
          <w:shd w:val="clear" w:color="auto" w:fill="auto"/>
          <w:lang w:val="pt-PT" w:eastAsia="pt-PT" w:bidi="pt-PT"/>
        </w:rPr>
        <w:t>Análise Técnica pela Consultoria</w:t>
      </w:r>
      <w:r>
        <w:rPr>
          <w:color w:val="000000"/>
          <w:spacing w:val="0"/>
          <w:w w:val="100"/>
          <w:position w:val="0"/>
          <w:shd w:val="clear" w:color="auto" w:fill="auto"/>
          <w:lang w:val="pt-PT" w:eastAsia="pt-PT" w:bidi="pt-PT"/>
        </w:rPr>
        <w:t xml:space="preserve"> (se tiver)</w:t>
      </w:r>
    </w:p>
    <w:p>
      <w:pPr>
        <w:pStyle w:val="Style13"/>
        <w:keepNext w:val="0"/>
        <w:keepLines w:val="0"/>
        <w:widowControl w:val="0"/>
        <w:shd w:val="clear" w:color="auto" w:fill="auto"/>
        <w:bidi w:val="0"/>
        <w:spacing w:before="0" w:after="0" w:line="300" w:lineRule="auto"/>
        <w:ind w:left="180" w:right="0" w:firstLine="1280"/>
        <w:jc w:val="left"/>
      </w:pPr>
      <w:r>
        <w:rPr>
          <w:color w:val="000000"/>
          <w:spacing w:val="0"/>
          <w:w w:val="100"/>
          <w:position w:val="0"/>
          <w:shd w:val="clear" w:color="auto" w:fill="auto"/>
          <w:lang w:val="pt-PT" w:eastAsia="pt-PT" w:bidi="pt-PT"/>
        </w:rPr>
        <w:t>A consultoria elabora parecer técnico contendo a avaliação de risco, rentabilidade, histórico de desempenho, liquidez e enquadramento normativo.</w:t>
      </w:r>
    </w:p>
    <w:p>
      <w:pPr>
        <w:pStyle w:val="Style13"/>
        <w:keepNext w:val="0"/>
        <w:keepLines w:val="0"/>
        <w:widowControl w:val="0"/>
        <w:shd w:val="clear" w:color="auto" w:fill="auto"/>
        <w:bidi w:val="0"/>
        <w:spacing w:before="0" w:after="480" w:line="300" w:lineRule="auto"/>
        <w:ind w:left="180" w:right="0" w:firstLine="1280"/>
        <w:jc w:val="left"/>
      </w:pPr>
      <w:r>
        <w:rPr>
          <w:color w:val="000000"/>
          <w:spacing w:val="0"/>
          <w:w w:val="100"/>
          <w:position w:val="0"/>
          <w:shd w:val="clear" w:color="auto" w:fill="auto"/>
          <w:lang w:val="pt-PT" w:eastAsia="pt-PT" w:bidi="pt-PT"/>
        </w:rPr>
        <w:t>Se o ativo for incompatível com o perfil do RPPS ou apresentar inconsistências relevantes, o processo é encerrado.</w:t>
      </w:r>
    </w:p>
    <w:p>
      <w:pPr>
        <w:pStyle w:val="Style13"/>
        <w:keepNext w:val="0"/>
        <w:keepLines w:val="0"/>
        <w:widowControl w:val="0"/>
        <w:numPr>
          <w:ilvl w:val="0"/>
          <w:numId w:val="13"/>
        </w:numPr>
        <w:shd w:val="clear" w:color="auto" w:fill="auto"/>
        <w:tabs>
          <w:tab w:pos="1441" w:val="left"/>
        </w:tabs>
        <w:bidi w:val="0"/>
        <w:spacing w:before="0" w:line="302" w:lineRule="auto"/>
        <w:ind w:left="180" w:right="0" w:firstLine="420"/>
        <w:jc w:val="both"/>
      </w:pPr>
      <w:r>
        <w:rPr>
          <w:color w:val="000000"/>
          <w:spacing w:val="0"/>
          <w:w w:val="100"/>
          <w:position w:val="0"/>
          <w:u w:val="single"/>
          <w:shd w:val="clear" w:color="auto" w:fill="auto"/>
          <w:lang w:val="pt-PT" w:eastAsia="pt-PT" w:bidi="pt-PT"/>
        </w:rPr>
        <w:t>Avaliação e Deliberação Interna</w:t>
      </w:r>
    </w:p>
    <w:p>
      <w:pPr>
        <w:widowControl w:val="0"/>
        <w:jc w:val="center"/>
        <w:rPr>
          <w:sz w:val="2"/>
          <w:szCs w:val="2"/>
        </w:rPr>
        <w:sectPr>
          <w:headerReference w:type="default" r:id="rId137"/>
          <w:headerReference w:type="even" r:id="rId138"/>
          <w:headerReference w:type="first" r:id="rId139"/>
          <w:footnotePr>
            <w:pos w:val="pageBottom"/>
            <w:numFmt w:val="decimal"/>
            <w:numRestart w:val="continuous"/>
          </w:footnotePr>
          <w:pgSz w:w="11900" w:h="16840"/>
          <w:pgMar w:top="2015" w:left="1542" w:right="1603" w:bottom="505" w:header="0" w:footer="3" w:gutter="0"/>
          <w:cols w:space="720"/>
          <w:noEndnote/>
          <w:titlePg/>
          <w:rtlGutter w:val="0"/>
          <w:docGrid w:linePitch="360"/>
        </w:sectPr>
      </w:pPr>
      <w:r>
        <w:drawing>
          <wp:inline>
            <wp:extent cx="926465" cy="707390"/>
            <wp:docPr id="250" name="Picutre 250"/>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140"/>
                    <a:stretch/>
                  </pic:blipFill>
                  <pic:spPr>
                    <a:xfrm>
                      <a:ext cx="926465" cy="707390"/>
                    </a:xfrm>
                    <a:prstGeom prst="rect"/>
                  </pic:spPr>
                </pic:pic>
              </a:graphicData>
            </a:graphic>
          </wp:inline>
        </w:drawing>
      </w:r>
    </w:p>
    <w:p>
      <w:pPr>
        <w:pStyle w:val="Style13"/>
        <w:keepNext w:val="0"/>
        <w:keepLines w:val="0"/>
        <w:widowControl w:val="0"/>
        <w:shd w:val="clear" w:color="auto" w:fill="auto"/>
        <w:bidi w:val="0"/>
        <w:spacing w:before="0" w:after="0" w:line="310"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O Gestor do RPPS analisa o parecer técnico e, se favorável, encaminha-o ao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Investimentos para deliberação formal.</w:t>
      </w:r>
    </w:p>
    <w:p>
      <w:pPr>
        <w:pStyle w:val="Style13"/>
        <w:keepNext w:val="0"/>
        <w:keepLines w:val="0"/>
        <w:widowControl w:val="0"/>
        <w:shd w:val="clear" w:color="auto" w:fill="auto"/>
        <w:bidi w:val="0"/>
        <w:spacing w:before="0" w:after="0" w:line="310"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discute o ativo em reunião registrada em ata, deliberando pela aprovação ou pelo descarte.</w:t>
      </w:r>
    </w:p>
    <w:p>
      <w:pPr>
        <w:pStyle w:val="Style13"/>
        <w:keepNext w:val="0"/>
        <w:keepLines w:val="0"/>
        <w:widowControl w:val="0"/>
        <w:shd w:val="clear" w:color="auto" w:fill="auto"/>
        <w:bidi w:val="0"/>
        <w:spacing w:before="0" w:after="460" w:line="314"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Caso o ativo represente risco elevado ou envolva nova instituição, a recomendação é que o processo seja submetido à aprovação do </w:t>
      </w:r>
      <w:r>
        <w:rPr>
          <w:b/>
          <w:bCs/>
          <w:color w:val="000000"/>
          <w:spacing w:val="0"/>
          <w:w w:val="100"/>
          <w:position w:val="0"/>
          <w:sz w:val="18"/>
          <w:szCs w:val="18"/>
          <w:shd w:val="clear" w:color="auto" w:fill="auto"/>
          <w:lang w:val="pt-PT" w:eastAsia="pt-PT" w:bidi="pt-PT"/>
        </w:rPr>
        <w:t xml:space="preserve">CONSELHO MUNICIPAL DE PREVIDÊNCIA - CMP </w:t>
      </w:r>
      <w:r>
        <w:rPr>
          <w:color w:val="000000"/>
          <w:spacing w:val="0"/>
          <w:w w:val="100"/>
          <w:position w:val="0"/>
          <w:shd w:val="clear" w:color="auto" w:fill="auto"/>
          <w:lang w:val="pt-PT" w:eastAsia="pt-PT" w:bidi="pt-PT"/>
        </w:rPr>
        <w:t>antes de qualquer execução.</w:t>
      </w:r>
    </w:p>
    <w:p>
      <w:pPr>
        <w:pStyle w:val="Style13"/>
        <w:keepNext w:val="0"/>
        <w:keepLines w:val="0"/>
        <w:widowControl w:val="0"/>
        <w:numPr>
          <w:ilvl w:val="0"/>
          <w:numId w:val="13"/>
        </w:numPr>
        <w:shd w:val="clear" w:color="auto" w:fill="auto"/>
        <w:tabs>
          <w:tab w:pos="1430" w:val="left"/>
        </w:tabs>
        <w:bidi w:val="0"/>
        <w:spacing w:before="0" w:after="0" w:line="312" w:lineRule="auto"/>
        <w:ind w:left="0" w:right="0" w:firstLine="580"/>
        <w:jc w:val="both"/>
      </w:pPr>
      <w:r>
        <w:rPr>
          <w:color w:val="000000"/>
          <w:spacing w:val="0"/>
          <w:w w:val="100"/>
          <w:position w:val="0"/>
          <w:u w:val="single"/>
          <w:shd w:val="clear" w:color="auto" w:fill="auto"/>
          <w:lang w:val="pt-BR" w:eastAsia="pt-BR" w:bidi="pt-BR"/>
        </w:rPr>
        <w:t xml:space="preserve">Credenciamento </w:t>
      </w:r>
      <w:r>
        <w:rPr>
          <w:color w:val="000000"/>
          <w:spacing w:val="0"/>
          <w:w w:val="100"/>
          <w:position w:val="0"/>
          <w:u w:val="single"/>
          <w:shd w:val="clear" w:color="auto" w:fill="auto"/>
          <w:lang w:val="pt-PT" w:eastAsia="pt-PT" w:bidi="pt-PT"/>
        </w:rPr>
        <w:t>e Compatibilidade Operacional</w:t>
      </w:r>
    </w:p>
    <w:p>
      <w:pPr>
        <w:pStyle w:val="Style13"/>
        <w:keepNext w:val="0"/>
        <w:keepLines w:val="0"/>
        <w:widowControl w:val="0"/>
        <w:shd w:val="clear" w:color="auto" w:fill="auto"/>
        <w:bidi w:val="0"/>
        <w:spacing w:before="0" w:after="0" w:line="312"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Ativos e as instituições aprovados passam pela verificação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conforme regras descritas no capítulo específico desta Política.</w:t>
      </w:r>
    </w:p>
    <w:p>
      <w:pPr>
        <w:pStyle w:val="Style13"/>
        <w:keepNext w:val="0"/>
        <w:keepLines w:val="0"/>
        <w:widowControl w:val="0"/>
        <w:shd w:val="clear" w:color="auto" w:fill="auto"/>
        <w:bidi w:val="0"/>
        <w:spacing w:before="0" w:after="460" w:line="312"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Se o fundo possuir carência ou restrição operacional, deverá ser emitido atestado de compatibilidade antes do investimento.</w:t>
      </w:r>
    </w:p>
    <w:p>
      <w:pPr>
        <w:pStyle w:val="Style13"/>
        <w:keepNext w:val="0"/>
        <w:keepLines w:val="0"/>
        <w:widowControl w:val="0"/>
        <w:numPr>
          <w:ilvl w:val="0"/>
          <w:numId w:val="13"/>
        </w:numPr>
        <w:shd w:val="clear" w:color="auto" w:fill="auto"/>
        <w:tabs>
          <w:tab w:pos="1430" w:val="left"/>
        </w:tabs>
        <w:bidi w:val="0"/>
        <w:spacing w:before="0" w:after="0" w:line="305" w:lineRule="auto"/>
        <w:ind w:left="0" w:right="0" w:firstLine="580"/>
        <w:jc w:val="both"/>
      </w:pPr>
      <w:r>
        <w:rPr>
          <w:color w:val="000000"/>
          <w:spacing w:val="0"/>
          <w:w w:val="100"/>
          <w:position w:val="0"/>
          <w:u w:val="single"/>
          <w:shd w:val="clear" w:color="auto" w:fill="auto"/>
          <w:lang w:val="pt-PT" w:eastAsia="pt-PT" w:bidi="pt-PT"/>
        </w:rPr>
        <w:t>Autorização e Execução do Investimento</w:t>
      </w:r>
    </w:p>
    <w:p>
      <w:pPr>
        <w:pStyle w:val="Style13"/>
        <w:keepNext w:val="0"/>
        <w:keepLines w:val="0"/>
        <w:widowControl w:val="0"/>
        <w:shd w:val="clear" w:color="auto" w:fill="auto"/>
        <w:bidi w:val="0"/>
        <w:spacing w:before="0" w:after="0" w:line="305"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Após o cumprimento de todas as etapas anteriores e a aprovação colegiada, o ativo estará apto a integrar a carteira de investimentos.</w:t>
      </w:r>
    </w:p>
    <w:p>
      <w:pPr>
        <w:pStyle w:val="Style13"/>
        <w:keepNext w:val="0"/>
        <w:keepLines w:val="0"/>
        <w:widowControl w:val="0"/>
        <w:shd w:val="clear" w:color="auto" w:fill="auto"/>
        <w:bidi w:val="0"/>
        <w:spacing w:before="0" w:after="460" w:line="305" w:lineRule="auto"/>
        <w:ind w:left="0" w:right="0" w:firstLine="580"/>
        <w:jc w:val="both"/>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A execução é realizada pelo Gestor do </w:t>
      </w:r>
      <w:r>
        <w:rPr>
          <w:b/>
          <w:bCs/>
          <w:color w:val="000000"/>
          <w:spacing w:val="0"/>
          <w:w w:val="100"/>
          <w:position w:val="0"/>
          <w:sz w:val="18"/>
          <w:szCs w:val="18"/>
          <w:shd w:val="clear" w:color="auto" w:fill="auto"/>
          <w:lang w:val="pt-PT" w:eastAsia="pt-PT" w:bidi="pt-PT"/>
        </w:rPr>
        <w:t xml:space="preserve">RPPS, </w:t>
      </w:r>
      <w:r>
        <w:rPr>
          <w:color w:val="000000"/>
          <w:spacing w:val="0"/>
          <w:w w:val="100"/>
          <w:position w:val="0"/>
          <w:shd w:val="clear" w:color="auto" w:fill="auto"/>
          <w:lang w:val="pt-PT" w:eastAsia="pt-PT" w:bidi="pt-PT"/>
        </w:rPr>
        <w:t>observando os limites operacionais, de risco e de liquidez previstos nesta Política.</w:t>
      </w:r>
    </w:p>
    <w:p>
      <w:pPr>
        <w:pStyle w:val="Style13"/>
        <w:keepNext w:val="0"/>
        <w:keepLines w:val="0"/>
        <w:widowControl w:val="0"/>
        <w:numPr>
          <w:ilvl w:val="0"/>
          <w:numId w:val="13"/>
        </w:numPr>
        <w:shd w:val="clear" w:color="auto" w:fill="auto"/>
        <w:tabs>
          <w:tab w:pos="1430" w:val="left"/>
        </w:tabs>
        <w:bidi w:val="0"/>
        <w:spacing w:before="0" w:after="0" w:line="310" w:lineRule="auto"/>
        <w:ind w:left="0" w:right="0" w:firstLine="580"/>
        <w:jc w:val="both"/>
      </w:pPr>
      <w:r>
        <w:rPr>
          <w:color w:val="000000"/>
          <w:spacing w:val="0"/>
          <w:w w:val="100"/>
          <w:position w:val="0"/>
          <w:u w:val="single"/>
          <w:shd w:val="clear" w:color="auto" w:fill="auto"/>
          <w:lang w:val="pt-PT" w:eastAsia="pt-PT" w:bidi="pt-PT"/>
        </w:rPr>
        <w:t>Registro e Publicidade</w:t>
      </w:r>
    </w:p>
    <w:p>
      <w:pPr>
        <w:pStyle w:val="Style13"/>
        <w:keepNext w:val="0"/>
        <w:keepLines w:val="0"/>
        <w:widowControl w:val="0"/>
        <w:shd w:val="clear" w:color="auto" w:fill="auto"/>
        <w:bidi w:val="0"/>
        <w:spacing w:before="0" w:after="460" w:line="310" w:lineRule="auto"/>
        <w:ind w:left="0" w:right="0" w:firstLine="580"/>
        <w:jc w:val="left"/>
      </w:pPr>
      <w:r>
        <w:rPr>
          <w:b/>
          <w:bCs/>
          <w:i/>
          <w:iCs/>
          <w:color w:val="000000"/>
          <w:spacing w:val="0"/>
          <w:w w:val="100"/>
          <w:position w:val="0"/>
          <w:shd w:val="clear" w:color="auto" w:fill="auto"/>
          <w:lang w:val="pt-PT" w:eastAsia="pt-PT" w:bidi="pt-PT"/>
        </w:rPr>
        <w:t>J</w:t>
      </w:r>
      <w:r>
        <w:rPr>
          <w:color w:val="000000"/>
          <w:spacing w:val="0"/>
          <w:w w:val="100"/>
          <w:position w:val="0"/>
          <w:shd w:val="clear" w:color="auto" w:fill="auto"/>
          <w:lang w:val="pt-PT" w:eastAsia="pt-PT" w:bidi="pt-PT"/>
        </w:rPr>
        <w:t xml:space="preserve"> Todas as deliberações são formalmente registradas em ata e publicadas pelos órgãos de gestão do RPPS, assegurando transparência, rastreabilidade e controle institucional, v' Devem ser arquivados digitalmente o parecer da consultoria, os relatórios de risco, as atas de reunião e demais documentos que subsidiaram a decisão.</w:t>
      </w:r>
    </w:p>
    <w:p>
      <w:pPr>
        <w:pStyle w:val="Style13"/>
        <w:keepNext w:val="0"/>
        <w:keepLines w:val="0"/>
        <w:widowControl w:val="0"/>
        <w:shd w:val="clear" w:color="auto" w:fill="auto"/>
        <w:bidi w:val="0"/>
        <w:spacing w:before="0" w:after="360" w:line="269" w:lineRule="auto"/>
        <w:ind w:left="0" w:right="0"/>
        <w:jc w:val="left"/>
      </w:pPr>
      <w:r>
        <w:rPr>
          <w:color w:val="000000"/>
          <w:spacing w:val="0"/>
          <w:w w:val="100"/>
          <w:position w:val="0"/>
          <w:shd w:val="clear" w:color="auto" w:fill="auto"/>
          <w:lang w:val="pt-PT" w:eastAsia="pt-PT" w:bidi="pt-PT"/>
        </w:rPr>
        <w:t>O processo de deliberação pode ser representado conforme o fluxograma abaixo, que reflete as etapas formais de decisão e os pontos de controle de qualidade:</w:t>
      </w:r>
    </w:p>
    <w:p>
      <w:pPr>
        <w:pStyle w:val="Style42"/>
        <w:keepNext w:val="0"/>
        <w:keepLines w:val="0"/>
        <w:widowControl w:val="0"/>
        <w:pBdr>
          <w:top w:val="single" w:sz="0" w:space="0" w:color="69A9F1"/>
          <w:left w:val="single" w:sz="0" w:space="0" w:color="69A9F1"/>
          <w:bottom w:val="single" w:sz="0" w:space="0" w:color="69A9F1"/>
          <w:right w:val="single" w:sz="0" w:space="0" w:color="69A9F1"/>
        </w:pBdr>
        <w:shd w:val="clear" w:color="auto" w:fill="69A9F1"/>
        <w:bidi w:val="0"/>
        <w:spacing w:before="0" w:after="0" w:line="240" w:lineRule="auto"/>
        <w:ind w:left="0" w:right="0"/>
        <w:jc w:val="left"/>
        <w:rPr>
          <w:sz w:val="11"/>
          <w:szCs w:val="11"/>
        </w:rPr>
      </w:pPr>
      <w:r>
        <w:rPr>
          <w:color w:val="B8E1FD"/>
          <w:spacing w:val="0"/>
          <w:w w:val="100"/>
          <w:position w:val="0"/>
          <w:sz w:val="11"/>
          <w:szCs w:val="11"/>
          <w:shd w:val="clear" w:color="auto" w:fill="auto"/>
          <w:lang w:val="pt-PT" w:eastAsia="pt-PT" w:bidi="pt-PT"/>
        </w:rPr>
        <w:t>proposta paro</w:t>
      </w:r>
    </w:p>
    <w:p>
      <w:pPr>
        <w:pStyle w:val="Style42"/>
        <w:keepNext w:val="0"/>
        <w:keepLines w:val="0"/>
        <w:widowControl w:val="0"/>
        <w:pBdr>
          <w:top w:val="single" w:sz="0" w:space="0" w:color="69A9F1"/>
          <w:left w:val="single" w:sz="0" w:space="0" w:color="69A9F1"/>
          <w:bottom w:val="single" w:sz="0" w:space="0" w:color="69A9F1"/>
          <w:right w:val="single" w:sz="0" w:space="0" w:color="69A9F1"/>
        </w:pBdr>
        <w:shd w:val="clear" w:color="auto" w:fill="69A9F1"/>
        <w:bidi w:val="0"/>
        <w:spacing w:before="0" w:after="0" w:line="240" w:lineRule="auto"/>
        <w:ind w:left="0" w:right="0"/>
        <w:jc w:val="left"/>
        <w:rPr>
          <w:sz w:val="11"/>
          <w:szCs w:val="11"/>
        </w:rPr>
      </w:pPr>
      <w:r>
        <w:rPr>
          <w:color w:val="B8E1FD"/>
          <w:spacing w:val="0"/>
          <w:w w:val="100"/>
          <w:position w:val="0"/>
          <w:sz w:val="11"/>
          <w:szCs w:val="11"/>
          <w:shd w:val="clear" w:color="auto" w:fill="auto"/>
          <w:lang w:val="pt-PT" w:eastAsia="pt-PT" w:bidi="pt-PT"/>
        </w:rPr>
        <w:t>«vest mento.</w:t>
      </w:r>
    </w:p>
    <w:p>
      <w:pPr>
        <w:widowControl w:val="0"/>
        <w:spacing w:line="1" w:lineRule="exact"/>
      </w:pPr>
      <w:r>
        <w:drawing>
          <wp:anchor distT="278130" distB="1051560" distL="0" distR="0" simplePos="0" relativeHeight="125829464" behindDoc="0" locked="0" layoutInCell="1" allowOverlap="1">
            <wp:simplePos x="0" y="0"/>
            <wp:positionH relativeFrom="page">
              <wp:posOffset>1059180</wp:posOffset>
            </wp:positionH>
            <wp:positionV relativeFrom="paragraph">
              <wp:posOffset>278130</wp:posOffset>
            </wp:positionV>
            <wp:extent cx="719455" cy="207010"/>
            <wp:wrapTopAndBottom/>
            <wp:docPr id="251" name="Shape 251"/>
            <a:graphic xmlns:a="http://schemas.openxmlformats.org/drawingml/2006/main">
              <a:graphicData uri="http://schemas.openxmlformats.org/drawingml/2006/picture">
                <pic:pic xmlns:pic="http://schemas.openxmlformats.org/drawingml/2006/picture">
                  <pic:nvPicPr>
                    <pic:cNvPr id="252" name="Picture box 252"/>
                    <pic:cNvPicPr/>
                  </pic:nvPicPr>
                  <pic:blipFill>
                    <a:blip r:embed="rId142"/>
                    <a:stretch/>
                  </pic:blipFill>
                  <pic:spPr>
                    <a:xfrm>
                      <a:ext cx="719455" cy="207010"/>
                    </a:xfrm>
                    <a:prstGeom prst="rect"/>
                  </pic:spPr>
                </pic:pic>
              </a:graphicData>
            </a:graphic>
          </wp:anchor>
        </w:drawing>
      </w:r>
      <w:r>
        <mc:AlternateContent>
          <mc:Choice Requires="wps">
            <w:drawing>
              <wp:anchor distT="0" distB="0" distL="0" distR="0" simplePos="0" relativeHeight="503316524" behindDoc="0" locked="0" layoutInCell="1" allowOverlap="1">
                <wp:simplePos x="0" y="0"/>
                <wp:positionH relativeFrom="page">
                  <wp:posOffset>1086485</wp:posOffset>
                </wp:positionH>
                <wp:positionV relativeFrom="paragraph">
                  <wp:posOffset>497840</wp:posOffset>
                </wp:positionV>
                <wp:extent cx="420370" cy="219710"/>
                <wp:wrapNone/>
                <wp:docPr id="253" name="Shape 253"/>
                <a:graphic xmlns:a="http://schemas.openxmlformats.org/drawingml/2006/main">
                  <a:graphicData uri="http://schemas.microsoft.com/office/word/2010/wordprocessingShape">
                    <wps:wsp>
                      <wps:cNvSpPr txBox="1"/>
                      <wps:spPr>
                        <a:xfrm>
                          <a:ext cx="420370" cy="219710"/>
                        </a:xfrm>
                        <a:prstGeom prst="rect"/>
                        <a:noFill/>
                      </wps:spPr>
                      <wps:txbx>
                        <w:txbxContent>
                          <w:p>
                            <w:pPr>
                              <w:pStyle w:val="Style25"/>
                              <w:keepNext w:val="0"/>
                              <w:keepLines w:val="0"/>
                              <w:widowControl w:val="0"/>
                              <w:pBdr>
                                <w:top w:val="single" w:sz="0" w:space="0" w:color="7AB6F6"/>
                                <w:left w:val="single" w:sz="0" w:space="0" w:color="7AB6F6"/>
                                <w:bottom w:val="single" w:sz="0" w:space="0" w:color="7AB6F6"/>
                                <w:right w:val="single" w:sz="0" w:space="0" w:color="7AB6F6"/>
                              </w:pBdr>
                              <w:shd w:val="clear" w:color="auto" w:fill="7AB6F6"/>
                              <w:bidi w:val="0"/>
                              <w:spacing w:before="0" w:after="0" w:line="276" w:lineRule="auto"/>
                              <w:ind w:left="0" w:right="0" w:firstLine="0"/>
                              <w:jc w:val="both"/>
                              <w:rPr>
                                <w:sz w:val="11"/>
                                <w:szCs w:val="11"/>
                              </w:rPr>
                            </w:pPr>
                            <w:r>
                              <w:rPr>
                                <w:color w:val="B8E1FD"/>
                                <w:spacing w:val="0"/>
                                <w:w w:val="100"/>
                                <w:position w:val="0"/>
                                <w:sz w:val="11"/>
                                <w:szCs w:val="11"/>
                                <w:shd w:val="clear" w:color="auto" w:fill="auto"/>
                                <w:lang w:val="pt-PT" w:eastAsia="pt-PT" w:bidi="pt-PT"/>
                              </w:rPr>
                              <w:t>e !egislaç®o vigente</w:t>
                            </w:r>
                          </w:p>
                        </w:txbxContent>
                      </wps:txbx>
                      <wps:bodyPr lIns="0" tIns="0" rIns="0" bIns="0">
                        <a:noAutoFit/>
                      </wps:bodyPr>
                    </wps:wsp>
                  </a:graphicData>
                </a:graphic>
              </wp:anchor>
            </w:drawing>
          </mc:Choice>
          <mc:Fallback>
            <w:pict>
              <v:shape id="_x0000_s1279" type="#_x0000_t202" style="position:absolute;margin-left:85.549999999999997pt;margin-top:39.200000000000003pt;width:33.100000000000001pt;height:17.300000000000001pt;z-index:251657771;mso-wrap-distance-left:0;mso-wrap-distance-right:0;mso-position-horizontal-relative:page" filled="f" stroked="f">
                <v:textbox inset="0,0,0,0">
                  <w:txbxContent>
                    <w:p>
                      <w:pPr>
                        <w:pStyle w:val="Style25"/>
                        <w:keepNext w:val="0"/>
                        <w:keepLines w:val="0"/>
                        <w:widowControl w:val="0"/>
                        <w:pBdr>
                          <w:top w:val="single" w:sz="0" w:space="0" w:color="7AB6F6"/>
                          <w:left w:val="single" w:sz="0" w:space="0" w:color="7AB6F6"/>
                          <w:bottom w:val="single" w:sz="0" w:space="0" w:color="7AB6F6"/>
                          <w:right w:val="single" w:sz="0" w:space="0" w:color="7AB6F6"/>
                        </w:pBdr>
                        <w:shd w:val="clear" w:color="auto" w:fill="7AB6F6"/>
                        <w:bidi w:val="0"/>
                        <w:spacing w:before="0" w:after="0" w:line="276" w:lineRule="auto"/>
                        <w:ind w:left="0" w:right="0" w:firstLine="0"/>
                        <w:jc w:val="both"/>
                        <w:rPr>
                          <w:sz w:val="11"/>
                          <w:szCs w:val="11"/>
                        </w:rPr>
                      </w:pPr>
                      <w:r>
                        <w:rPr>
                          <w:color w:val="B8E1FD"/>
                          <w:spacing w:val="0"/>
                          <w:w w:val="100"/>
                          <w:position w:val="0"/>
                          <w:sz w:val="11"/>
                          <w:szCs w:val="11"/>
                          <w:shd w:val="clear" w:color="auto" w:fill="auto"/>
                          <w:lang w:val="pt-PT" w:eastAsia="pt-PT" w:bidi="pt-PT"/>
                        </w:rPr>
                        <w:t>e !egislaç®o vigente</w:t>
                      </w:r>
                    </w:p>
                  </w:txbxContent>
                </v:textbox>
                <w10:wrap anchorx="page"/>
              </v:shape>
            </w:pict>
          </mc:Fallback>
        </mc:AlternateContent>
      </w:r>
      <w:r>
        <w:drawing>
          <wp:anchor distT="241300" distB="329565" distL="631190" distR="0" simplePos="0" relativeHeight="125829465" behindDoc="0" locked="0" layoutInCell="1" allowOverlap="1">
            <wp:simplePos x="0" y="0"/>
            <wp:positionH relativeFrom="page">
              <wp:posOffset>1827530</wp:posOffset>
            </wp:positionH>
            <wp:positionV relativeFrom="paragraph">
              <wp:posOffset>241300</wp:posOffset>
            </wp:positionV>
            <wp:extent cx="323215" cy="963295"/>
            <wp:wrapTopAndBottom/>
            <wp:docPr id="255" name="Shape 255"/>
            <a:graphic xmlns:a="http://schemas.openxmlformats.org/drawingml/2006/main">
              <a:graphicData uri="http://schemas.openxmlformats.org/drawingml/2006/picture">
                <pic:pic xmlns:pic="http://schemas.openxmlformats.org/drawingml/2006/picture">
                  <pic:nvPicPr>
                    <pic:cNvPr id="256" name="Picture box 256"/>
                    <pic:cNvPicPr/>
                  </pic:nvPicPr>
                  <pic:blipFill>
                    <a:blip r:embed="rId144"/>
                    <a:stretch/>
                  </pic:blipFill>
                  <pic:spPr>
                    <a:xfrm>
                      <a:ext cx="323215" cy="963295"/>
                    </a:xfrm>
                    <a:prstGeom prst="rect"/>
                  </pic:spPr>
                </pic:pic>
              </a:graphicData>
            </a:graphic>
          </wp:anchor>
        </w:drawing>
      </w:r>
      <w:r>
        <mc:AlternateContent>
          <mc:Choice Requires="wps">
            <w:drawing>
              <wp:anchor distT="0" distB="0" distL="0" distR="0" simplePos="0" relativeHeight="503316526" behindDoc="0" locked="0" layoutInCell="1" allowOverlap="1">
                <wp:simplePos x="0" y="0"/>
                <wp:positionH relativeFrom="page">
                  <wp:posOffset>1196340</wp:posOffset>
                </wp:positionH>
                <wp:positionV relativeFrom="paragraph">
                  <wp:posOffset>1068705</wp:posOffset>
                </wp:positionV>
                <wp:extent cx="407035" cy="105410"/>
                <wp:wrapNone/>
                <wp:docPr id="257" name="Shape 257"/>
                <a:graphic xmlns:a="http://schemas.openxmlformats.org/drawingml/2006/main">
                  <a:graphicData uri="http://schemas.microsoft.com/office/word/2010/wordprocessingShape">
                    <wps:wsp>
                      <wps:cNvSpPr txBox="1"/>
                      <wps:spPr>
                        <a:xfrm>
                          <a:ext cx="407035" cy="105410"/>
                        </a:xfrm>
                        <a:prstGeom prst="rect"/>
                        <a:noFill/>
                      </wps:spPr>
                      <wps:txbx>
                        <w:txbxContent>
                          <w:p>
                            <w:pPr>
                              <w:pStyle w:val="Style25"/>
                              <w:keepNext w:val="0"/>
                              <w:keepLines w:val="0"/>
                              <w:widowControl w:val="0"/>
                              <w:pBdr>
                                <w:top w:val="single" w:sz="0" w:space="0" w:color="31272B"/>
                                <w:left w:val="single" w:sz="0" w:space="0" w:color="31272B"/>
                                <w:bottom w:val="single" w:sz="0" w:space="0" w:color="31272B"/>
                                <w:right w:val="single" w:sz="0" w:space="0" w:color="31272B"/>
                              </w:pBdr>
                              <w:shd w:val="clear" w:color="auto" w:fill="31272B"/>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DESCARTE</w:t>
                            </w:r>
                          </w:p>
                        </w:txbxContent>
                      </wps:txbx>
                      <wps:bodyPr lIns="0" tIns="0" rIns="0" bIns="0">
                        <a:noAutoFit/>
                      </wps:bodyPr>
                    </wps:wsp>
                  </a:graphicData>
                </a:graphic>
              </wp:anchor>
            </w:drawing>
          </mc:Choice>
          <mc:Fallback>
            <w:pict>
              <v:shape id="_x0000_s1283" type="#_x0000_t202" style="position:absolute;margin-left:94.200000000000003pt;margin-top:84.150000000000006pt;width:32.049999999999997pt;height:8.3000000000000007pt;z-index:251657773;mso-wrap-distance-left:0;mso-wrap-distance-right:0;mso-position-horizontal-relative:page" filled="f" stroked="f">
                <v:textbox inset="0,0,0,0">
                  <w:txbxContent>
                    <w:p>
                      <w:pPr>
                        <w:pStyle w:val="Style25"/>
                        <w:keepNext w:val="0"/>
                        <w:keepLines w:val="0"/>
                        <w:widowControl w:val="0"/>
                        <w:pBdr>
                          <w:top w:val="single" w:sz="0" w:space="0" w:color="31272B"/>
                          <w:left w:val="single" w:sz="0" w:space="0" w:color="31272B"/>
                          <w:bottom w:val="single" w:sz="0" w:space="0" w:color="31272B"/>
                          <w:right w:val="single" w:sz="0" w:space="0" w:color="31272B"/>
                        </w:pBdr>
                        <w:shd w:val="clear" w:color="auto" w:fill="31272B"/>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DESCARTE</w:t>
                      </w:r>
                    </w:p>
                  </w:txbxContent>
                </v:textbox>
                <w10:wrap anchorx="page"/>
              </v:shape>
            </w:pict>
          </mc:Fallback>
        </mc:AlternateContent>
      </w:r>
      <w:r>
        <mc:AlternateContent>
          <mc:Choice Requires="wps">
            <w:drawing>
              <wp:anchor distT="259715" distB="0" distL="0" distR="0" simplePos="0" relativeHeight="125829466" behindDoc="0" locked="0" layoutInCell="1" allowOverlap="1">
                <wp:simplePos x="0" y="0"/>
                <wp:positionH relativeFrom="page">
                  <wp:posOffset>2129155</wp:posOffset>
                </wp:positionH>
                <wp:positionV relativeFrom="paragraph">
                  <wp:posOffset>259715</wp:posOffset>
                </wp:positionV>
                <wp:extent cx="2208530" cy="1275715"/>
                <wp:wrapTopAndBottom/>
                <wp:docPr id="259" name="Shape 259"/>
                <a:graphic xmlns:a="http://schemas.openxmlformats.org/drawingml/2006/main">
                  <a:graphicData uri="http://schemas.microsoft.com/office/word/2010/wordprocessingShape">
                    <wps:wsp>
                      <wps:cNvSpPr txBox="1"/>
                      <wps:spPr>
                        <a:xfrm>
                          <a:ext cx="2208530" cy="1275715"/>
                        </a:xfrm>
                        <a:prstGeom prst="rect"/>
                        <a:noFill/>
                      </wps:spPr>
                      <wps:txbx>
                        <w:txbxContent>
                          <w:tbl>
                            <w:tblPr>
                              <w:tblOverlap w:val="never"/>
                              <w:jc w:val="left"/>
                              <w:tblLayout w:type="fixed"/>
                            </w:tblPr>
                            <w:tblGrid>
                              <w:gridCol w:w="1188"/>
                              <w:gridCol w:w="547"/>
                              <w:gridCol w:w="1109"/>
                              <w:gridCol w:w="634"/>
                            </w:tblGrid>
                            <w:tr>
                              <w:trPr>
                                <w:tblHeader/>
                                <w:trHeight w:val="194" w:hRule="exact"/>
                              </w:trPr>
                              <w:tc>
                                <w:tcPr>
                                  <w:vMerge w:val="restart"/>
                                  <w:tcBorders>
                                    <w:top w:val="single" w:sz="4"/>
                                  </w:tcBorders>
                                  <w:shd w:val="clear" w:color="auto" w:fill="BCE3FC"/>
                                  <w:vAlign w:val="top"/>
                                </w:tcPr>
                                <w:p>
                                  <w:pPr>
                                    <w:widowControl w:val="0"/>
                                    <w:rPr>
                                      <w:sz w:val="10"/>
                                      <w:szCs w:val="10"/>
                                    </w:rPr>
                                  </w:pP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6"/>
                                      <w:szCs w:val="26"/>
                                    </w:rPr>
                                  </w:pPr>
                                  <w:r>
                                    <w:rPr>
                                      <w:b/>
                                      <w:bCs/>
                                      <w:color w:val="E89167"/>
                                      <w:spacing w:val="0"/>
                                      <w:w w:val="100"/>
                                      <w:position w:val="0"/>
                                      <w:sz w:val="26"/>
                                      <w:szCs w:val="26"/>
                                      <w:shd w:val="clear" w:color="auto" w:fill="auto"/>
                                      <w:lang w:val="pt-PT" w:eastAsia="pt-PT" w:bidi="pt-PT"/>
                                    </w:rPr>
                                    <w:t>E3</w:t>
                                  </w:r>
                                </w:p>
                              </w:tc>
                              <w:tc>
                                <w:tcPr>
                                  <w:tcBorders>
                                    <w:top w:val="single" w:sz="4"/>
                                  </w:tcBorders>
                                  <w:shd w:val="clear" w:color="auto" w:fill="BCE3FC"/>
                                  <w:vAlign w:val="top"/>
                                </w:tcPr>
                                <w:p>
                                  <w:pPr>
                                    <w:widowControl w:val="0"/>
                                    <w:rPr>
                                      <w:sz w:val="10"/>
                                      <w:szCs w:val="10"/>
                                    </w:rPr>
                                  </w:pPr>
                                </w:p>
                              </w:tc>
                              <w:tc>
                                <w:tcPr>
                                  <w:vMerge w:val="restart"/>
                                  <w:tcBorders/>
                                  <w:shd w:val="clear" w:color="auto" w:fill="FFFFFF"/>
                                  <w:vAlign w:val="top"/>
                                </w:tcPr>
                                <w:p>
                                  <w:pPr>
                                    <w:widowControl w:val="0"/>
                                    <w:rPr>
                                      <w:sz w:val="10"/>
                                      <w:szCs w:val="10"/>
                                    </w:rPr>
                                  </w:pPr>
                                </w:p>
                              </w:tc>
                            </w:tr>
                            <w:tr>
                              <w:trPr>
                                <w:trHeight w:val="295" w:hRule="exact"/>
                              </w:trPr>
                              <w:tc>
                                <w:tcPr>
                                  <w:vMerge/>
                                  <w:tcBorders/>
                                  <w:shd w:val="clear" w:color="auto" w:fill="BCE3FC"/>
                                  <w:vAlign w:val="top"/>
                                </w:tcPr>
                                <w:p>
                                  <w:pPr/>
                                </w:p>
                              </w:tc>
                              <w:tc>
                                <w:tcPr>
                                  <w:vMerge/>
                                  <w:tcBorders/>
                                  <w:shd w:val="clear" w:color="auto" w:fill="FFFFFF"/>
                                  <w:vAlign w:val="top"/>
                                </w:tcPr>
                                <w:p>
                                  <w:pPr/>
                                </w:p>
                              </w:tc>
                              <w:tc>
                                <w:tcPr>
                                  <w:tcBorders/>
                                  <w:shd w:val="clear" w:color="auto" w:fill="77B6F5"/>
                                  <w:vAlign w:val="bottom"/>
                                </w:tcPr>
                                <w:p>
                                  <w:pPr>
                                    <w:pStyle w:val="Style7"/>
                                    <w:keepNext w:val="0"/>
                                    <w:keepLines w:val="0"/>
                                    <w:widowControl w:val="0"/>
                                    <w:pBdr>
                                      <w:top w:val="single" w:sz="0" w:space="0" w:color="7BB6F6"/>
                                      <w:left w:val="single" w:sz="0" w:space="0" w:color="7BB6F6"/>
                                      <w:bottom w:val="single" w:sz="0" w:space="0" w:color="7BB6F6"/>
                                      <w:right w:val="single" w:sz="0" w:space="0" w:color="7BB6F6"/>
                                    </w:pBdr>
                                    <w:shd w:val="clear" w:color="auto" w:fill="7BB6F6"/>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fundo(s)&lt;we</w:t>
                                  </w:r>
                                </w:p>
                                <w:p>
                                  <w:pPr>
                                    <w:pStyle w:val="Style7"/>
                                    <w:keepNext w:val="0"/>
                                    <w:keepLines w:val="0"/>
                                    <w:widowControl w:val="0"/>
                                    <w:pBdr>
                                      <w:top w:val="single" w:sz="0" w:space="0" w:color="7BB6F6"/>
                                      <w:left w:val="single" w:sz="0" w:space="0" w:color="7BB6F6"/>
                                      <w:bottom w:val="single" w:sz="0" w:space="0" w:color="7BB6F6"/>
                                      <w:right w:val="single" w:sz="0" w:space="0" w:color="7BB6F6"/>
                                    </w:pBdr>
                                    <w:shd w:val="clear" w:color="auto" w:fill="7BB6F6"/>
                                    <w:bidi w:val="0"/>
                                    <w:spacing w:before="0" w:after="0" w:line="240" w:lineRule="auto"/>
                                    <w:ind w:left="60" w:right="0" w:firstLine="0"/>
                                    <w:jc w:val="center"/>
                                    <w:rPr>
                                      <w:sz w:val="11"/>
                                      <w:szCs w:val="11"/>
                                    </w:rPr>
                                  </w:pPr>
                                  <w:r>
                                    <w:rPr>
                                      <w:color w:val="B8E1FD"/>
                                      <w:spacing w:val="0"/>
                                      <w:w w:val="100"/>
                                      <w:position w:val="0"/>
                                      <w:sz w:val="11"/>
                                      <w:szCs w:val="11"/>
                                      <w:shd w:val="clear" w:color="auto" w:fill="auto"/>
                                      <w:lang w:val="pt-PT" w:eastAsia="pt-PT" w:bidi="pt-PT"/>
                                    </w:rPr>
                                    <w:t>agreguem valor a</w:t>
                                  </w:r>
                                </w:p>
                              </w:tc>
                              <w:tc>
                                <w:tcPr>
                                  <w:vMerge/>
                                  <w:tcBorders/>
                                  <w:shd w:val="clear" w:color="auto" w:fill="FFFFFF"/>
                                  <w:vAlign w:val="top"/>
                                </w:tcPr>
                                <w:p>
                                  <w:pPr/>
                                </w:p>
                              </w:tc>
                            </w:tr>
                            <w:tr>
                              <w:trPr>
                                <w:trHeight w:val="274" w:hRule="exact"/>
                              </w:trPr>
                              <w:tc>
                                <w:tcPr>
                                  <w:tcBorders/>
                                  <w:shd w:val="clear" w:color="auto" w:fill="4687D0"/>
                                  <w:vAlign w:val="top"/>
                                </w:tcPr>
                                <w:p>
                                  <w:pPr>
                                    <w:pStyle w:val="Style7"/>
                                    <w:keepNext w:val="0"/>
                                    <w:keepLines w:val="0"/>
                                    <w:widowControl w:val="0"/>
                                    <w:pBdr>
                                      <w:top w:val="single" w:sz="0" w:space="0" w:color="4689D7"/>
                                      <w:left w:val="single" w:sz="0" w:space="0" w:color="4689D7"/>
                                      <w:bottom w:val="single" w:sz="0" w:space="0" w:color="4689D7"/>
                                      <w:right w:val="single" w:sz="0" w:space="0" w:color="4689D7"/>
                                    </w:pBdr>
                                    <w:shd w:val="clear" w:color="auto" w:fill="4689D7"/>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 xml:space="preserve">I </w:t>
                                  </w:r>
                                  <w:r>
                                    <w:rPr>
                                      <w:color w:val="B8E1FD"/>
                                      <w:spacing w:val="0"/>
                                      <w:w w:val="100"/>
                                      <w:position w:val="0"/>
                                      <w:sz w:val="11"/>
                                      <w:szCs w:val="11"/>
                                      <w:shd w:val="clear" w:color="auto" w:fill="auto"/>
                                      <w:lang w:val="pt-PT" w:eastAsia="pt-PT" w:bidi="pt-PT"/>
                                    </w:rPr>
                                    <w:t>RPPS.</w:t>
                                  </w:r>
                                </w:p>
                              </w:tc>
                              <w:tc>
                                <w:tcPr>
                                  <w:tcBorders/>
                                  <w:shd w:val="clear" w:color="auto" w:fill="FFFFFF"/>
                                  <w:vAlign w:val="top"/>
                                </w:tcPr>
                                <w:p>
                                  <w:pPr>
                                    <w:widowControl w:val="0"/>
                                    <w:rPr>
                                      <w:sz w:val="10"/>
                                      <w:szCs w:val="10"/>
                                    </w:rPr>
                                  </w:pPr>
                                </w:p>
                              </w:tc>
                              <w:tc>
                                <w:tcPr>
                                  <w:tcBorders/>
                                  <w:shd w:val="clear" w:color="auto" w:fill="4687D0"/>
                                  <w:vAlign w:val="top"/>
                                </w:tcPr>
                                <w:p>
                                  <w:pPr>
                                    <w:pStyle w:val="Style7"/>
                                    <w:keepNext w:val="0"/>
                                    <w:keepLines w:val="0"/>
                                    <w:widowControl w:val="0"/>
                                    <w:pBdr>
                                      <w:top w:val="single" w:sz="0" w:space="0" w:color="4686CD"/>
                                      <w:left w:val="single" w:sz="0" w:space="0" w:color="4686CD"/>
                                      <w:bottom w:val="single" w:sz="0" w:space="0" w:color="4686CD"/>
                                      <w:right w:val="single" w:sz="0" w:space="0" w:color="4686CD"/>
                                    </w:pBdr>
                                    <w:shd w:val="clear" w:color="auto" w:fill="4686CD"/>
                                    <w:bidi w:val="0"/>
                                    <w:spacing w:before="0" w:after="0" w:line="240" w:lineRule="auto"/>
                                    <w:ind w:left="60" w:right="0" w:firstLine="0"/>
                                    <w:jc w:val="center"/>
                                    <w:rPr>
                                      <w:sz w:val="11"/>
                                      <w:szCs w:val="11"/>
                                    </w:rPr>
                                  </w:pPr>
                                  <w:r>
                                    <w:rPr>
                                      <w:color w:val="B8E1FD"/>
                                      <w:spacing w:val="0"/>
                                      <w:w w:val="100"/>
                                      <w:position w:val="0"/>
                                      <w:sz w:val="11"/>
                                      <w:szCs w:val="11"/>
                                      <w:shd w:val="clear" w:color="auto" w:fill="auto"/>
                                      <w:lang w:val="pt-PT" w:eastAsia="pt-PT" w:bidi="pt-PT"/>
                                    </w:rPr>
                                    <w:t>careira e análise</w:t>
                                  </w:r>
                                </w:p>
                              </w:tc>
                              <w:tc>
                                <w:tcPr>
                                  <w:tcBorders/>
                                  <w:shd w:val="clear" w:color="auto" w:fill="FFFFFF"/>
                                  <w:vAlign w:val="top"/>
                                </w:tcPr>
                                <w:p>
                                  <w:pPr>
                                    <w:widowControl w:val="0"/>
                                    <w:rPr>
                                      <w:sz w:val="10"/>
                                      <w:szCs w:val="10"/>
                                    </w:rPr>
                                  </w:pPr>
                                </w:p>
                              </w:tc>
                            </w:tr>
                            <w:tr>
                              <w:trPr>
                                <w:trHeight w:val="490"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100" w:right="0" w:firstLine="0"/>
                                    <w:jc w:val="center"/>
                                    <w:rPr>
                                      <w:sz w:val="30"/>
                                      <w:szCs w:val="30"/>
                                    </w:rPr>
                                  </w:pPr>
                                  <w:r>
                                    <w:rPr>
                                      <w:color w:val="4E6896"/>
                                      <w:spacing w:val="0"/>
                                      <w:w w:val="100"/>
                                      <w:position w:val="0"/>
                                      <w:sz w:val="30"/>
                                      <w:szCs w:val="30"/>
                                      <w:shd w:val="clear" w:color="auto" w:fill="auto"/>
                                      <w:lang w:val="pt-PT" w:eastAsia="pt-PT" w:bidi="pt-PT"/>
                                    </w:rPr>
                                    <w:t>1</w:t>
                                  </w:r>
                                </w:p>
                              </w:tc>
                              <w:tc>
                                <w:tcPr>
                                  <w:tcBorders/>
                                  <w:shd w:val="clear" w:color="auto" w:fill="FFFFFF"/>
                                  <w:vAlign w:val="top"/>
                                </w:tcPr>
                                <w:p>
                                  <w:pPr>
                                    <w:widowControl w:val="0"/>
                                    <w:rPr>
                                      <w:sz w:val="10"/>
                                      <w:szCs w:val="10"/>
                                    </w:rPr>
                                  </w:pP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60" w:right="0" w:firstLine="0"/>
                                    <w:jc w:val="center"/>
                                    <w:rPr>
                                      <w:sz w:val="11"/>
                                      <w:szCs w:val="11"/>
                                    </w:rPr>
                                  </w:pPr>
                                  <w:r>
                                    <w:rPr>
                                      <w:color w:val="4E6896"/>
                                      <w:spacing w:val="0"/>
                                      <w:w w:val="100"/>
                                      <w:position w:val="0"/>
                                      <w:sz w:val="11"/>
                                      <w:szCs w:val="11"/>
                                      <w:shd w:val="clear" w:color="auto" w:fill="auto"/>
                                      <w:lang w:val="pt-PT" w:eastAsia="pt-PT" w:bidi="pt-PT"/>
                                    </w:rPr>
                                    <w:t>♦</w:t>
                                  </w:r>
                                </w:p>
                              </w:tc>
                              <w:tc>
                                <w:tcPr>
                                  <w:tcBorders/>
                                  <w:shd w:val="clear" w:color="auto" w:fill="FFFFFF"/>
                                  <w:vAlign w:val="top"/>
                                </w:tcPr>
                                <w:p>
                                  <w:pPr>
                                    <w:widowControl w:val="0"/>
                                    <w:rPr>
                                      <w:sz w:val="10"/>
                                      <w:szCs w:val="10"/>
                                    </w:rPr>
                                  </w:pPr>
                                </w:p>
                              </w:tc>
                            </w:tr>
                            <w:tr>
                              <w:trPr>
                                <w:trHeight w:val="202" w:hRule="exact"/>
                              </w:trPr>
                              <w:tc>
                                <w:tcPr>
                                  <w:tcBorders/>
                                  <w:shd w:val="clear" w:color="auto" w:fill="32282B"/>
                                  <w:vAlign w:val="top"/>
                                </w:tcPr>
                                <w:p>
                                  <w:pPr>
                                    <w:pStyle w:val="Style7"/>
                                    <w:keepNext w:val="0"/>
                                    <w:keepLines w:val="0"/>
                                    <w:widowControl w:val="0"/>
                                    <w:pBdr>
                                      <w:top w:val="single" w:sz="0" w:space="0" w:color="33282B"/>
                                      <w:left w:val="single" w:sz="0" w:space="0" w:color="33282B"/>
                                      <w:bottom w:val="single" w:sz="0" w:space="0" w:color="33282B"/>
                                      <w:right w:val="single" w:sz="0" w:space="0" w:color="33282B"/>
                                    </w:pBdr>
                                    <w:shd w:val="clear" w:color="auto" w:fill="33282B"/>
                                    <w:tabs>
                                      <w:tab w:pos="1137" w:val="left"/>
                                    </w:tabs>
                                    <w:bidi w:val="0"/>
                                    <w:spacing w:before="0" w:after="0" w:line="240" w:lineRule="auto"/>
                                    <w:ind w:left="280" w:right="0" w:firstLine="0"/>
                                    <w:jc w:val="both"/>
                                    <w:rPr>
                                      <w:sz w:val="30"/>
                                      <w:szCs w:val="30"/>
                                    </w:rPr>
                                  </w:pPr>
                                  <w:r>
                                    <w:rPr>
                                      <w:color w:val="FFFFFF"/>
                                      <w:spacing w:val="0"/>
                                      <w:w w:val="100"/>
                                      <w:position w:val="0"/>
                                      <w:sz w:val="11"/>
                                      <w:szCs w:val="11"/>
                                      <w:shd w:val="clear" w:color="auto" w:fill="auto"/>
                                      <w:lang w:val="pt-PT" w:eastAsia="pt-PT" w:bidi="pt-PT"/>
                                    </w:rPr>
                                    <w:t>DESCARTE</w:t>
                                    <w:tab/>
                                  </w:r>
                                  <w:r>
                                    <w:rPr>
                                      <w:color w:val="FFFFFF"/>
                                      <w:spacing w:val="0"/>
                                      <w:w w:val="100"/>
                                      <w:position w:val="0"/>
                                      <w:sz w:val="30"/>
                                      <w:szCs w:val="30"/>
                                      <w:shd w:val="clear" w:color="auto" w:fill="auto"/>
                                      <w:lang w:val="pt-PT" w:eastAsia="pt-PT" w:bidi="pt-PT"/>
                                    </w:rPr>
                                    <w:t>1</w:t>
                                  </w:r>
                                </w:p>
                              </w:tc>
                              <w:tc>
                                <w:tcPr>
                                  <w:tcBorders/>
                                  <w:shd w:val="clear" w:color="auto" w:fill="FFFFFF"/>
                                  <w:vAlign w:val="top"/>
                                </w:tcPr>
                                <w:p>
                                  <w:pPr>
                                    <w:widowControl w:val="0"/>
                                    <w:rPr>
                                      <w:sz w:val="10"/>
                                      <w:szCs w:val="10"/>
                                    </w:rPr>
                                  </w:pPr>
                                </w:p>
                              </w:tc>
                              <w:tc>
                                <w:tcPr>
                                  <w:tcBorders/>
                                  <w:shd w:val="clear" w:color="auto" w:fill="96CD4E"/>
                                  <w:vAlign w:val="bottom"/>
                                </w:tcPr>
                                <w:p>
                                  <w:pPr>
                                    <w:pStyle w:val="Style7"/>
                                    <w:keepNext w:val="0"/>
                                    <w:keepLines w:val="0"/>
                                    <w:widowControl w:val="0"/>
                                    <w:pBdr>
                                      <w:top w:val="single" w:sz="0" w:space="0" w:color="96CD4C"/>
                                      <w:left w:val="single" w:sz="0" w:space="0" w:color="96CD4C"/>
                                      <w:bottom w:val="single" w:sz="0" w:space="0" w:color="96CD4C"/>
                                      <w:right w:val="single" w:sz="0" w:space="0" w:color="96CD4C"/>
                                    </w:pBdr>
                                    <w:shd w:val="clear" w:color="auto" w:fill="96CD4C"/>
                                    <w:bidi w:val="0"/>
                                    <w:spacing w:before="0" w:after="0" w:line="240" w:lineRule="auto"/>
                                    <w:ind w:left="0" w:right="0" w:firstLine="0"/>
                                    <w:jc w:val="left"/>
                                    <w:rPr>
                                      <w:sz w:val="11"/>
                                      <w:szCs w:val="11"/>
                                    </w:rPr>
                                  </w:pPr>
                                  <w:r>
                                    <w:rPr>
                                      <w:color w:val="EBFCC5"/>
                                      <w:spacing w:val="0"/>
                                      <w:w w:val="100"/>
                                      <w:position w:val="0"/>
                                      <w:sz w:val="11"/>
                                      <w:szCs w:val="11"/>
                                      <w:shd w:val="clear" w:color="auto" w:fill="auto"/>
                                      <w:lang w:val="pt-PT" w:eastAsia="pt-PT" w:bidi="pt-PT"/>
                                    </w:rPr>
                                    <w:t>Deverá ser</w:t>
                                  </w:r>
                                </w:p>
                              </w:tc>
                              <w:tc>
                                <w:tcPr>
                                  <w:tcBorders/>
                                  <w:shd w:val="clear" w:color="auto" w:fill="FFFFFF"/>
                                  <w:vAlign w:val="top"/>
                                </w:tcPr>
                                <w:p>
                                  <w:pPr>
                                    <w:widowControl w:val="0"/>
                                    <w:rPr>
                                      <w:sz w:val="10"/>
                                      <w:szCs w:val="10"/>
                                    </w:rPr>
                                  </w:pPr>
                                </w:p>
                              </w:tc>
                            </w:tr>
                            <w:tr>
                              <w:trPr>
                                <w:trHeight w:val="55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96CD4E"/>
                                  <w:vAlign w:val="top"/>
                                </w:tcPr>
                                <w:p>
                                  <w:pPr>
                                    <w:pStyle w:val="Style7"/>
                                    <w:keepNext w:val="0"/>
                                    <w:keepLines w:val="0"/>
                                    <w:widowControl w:val="0"/>
                                    <w:pBdr>
                                      <w:top w:val="single" w:sz="0" w:space="0" w:color="95CC4C"/>
                                      <w:left w:val="single" w:sz="0" w:space="0" w:color="95CC4C"/>
                                      <w:bottom w:val="single" w:sz="0" w:space="0" w:color="95CC4C"/>
                                      <w:right w:val="single" w:sz="0" w:space="0" w:color="95CC4C"/>
                                    </w:pBdr>
                                    <w:shd w:val="clear" w:color="auto" w:fill="95CC4C"/>
                                    <w:bidi w:val="0"/>
                                    <w:spacing w:before="0" w:after="0" w:line="295" w:lineRule="auto"/>
                                    <w:ind w:left="0" w:right="0" w:firstLine="0"/>
                                    <w:jc w:val="left"/>
                                    <w:rPr>
                                      <w:sz w:val="11"/>
                                      <w:szCs w:val="11"/>
                                    </w:rPr>
                                  </w:pPr>
                                  <w:r>
                                    <w:rPr>
                                      <w:color w:val="EBFCC5"/>
                                      <w:spacing w:val="0"/>
                                      <w:w w:val="100"/>
                                      <w:position w:val="0"/>
                                      <w:sz w:val="11"/>
                                      <w:szCs w:val="11"/>
                                      <w:shd w:val="clear" w:color="auto" w:fill="auto"/>
                                      <w:lang w:val="pt-PT" w:eastAsia="pt-PT" w:bidi="pt-PT"/>
                                    </w:rPr>
                                    <w:t>solicrtodo análise do(s) ativo(s) a consultor lo.</w:t>
                                  </w:r>
                                </w:p>
                              </w:tc>
                              <w:tc>
                                <w:tcPr>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1285" type="#_x0000_t202" style="position:absolute;margin-left:167.65000000000001pt;margin-top:20.449999999999999pt;width:173.90000000000001pt;height:100.45pt;z-index:-125829287;mso-wrap-distance-left:0;mso-wrap-distance-top:20.449999999999999pt;mso-wrap-distance-right:0;mso-position-horizontal-relative:page" filled="f" stroked="f">
                <v:textbox inset="0,0,0,0">
                  <w:txbxContent>
                    <w:tbl>
                      <w:tblPr>
                        <w:tblOverlap w:val="never"/>
                        <w:jc w:val="left"/>
                        <w:tblLayout w:type="fixed"/>
                      </w:tblPr>
                      <w:tblGrid>
                        <w:gridCol w:w="1188"/>
                        <w:gridCol w:w="547"/>
                        <w:gridCol w:w="1109"/>
                        <w:gridCol w:w="634"/>
                      </w:tblGrid>
                      <w:tr>
                        <w:trPr>
                          <w:tblHeader/>
                          <w:trHeight w:val="194" w:hRule="exact"/>
                        </w:trPr>
                        <w:tc>
                          <w:tcPr>
                            <w:vMerge w:val="restart"/>
                            <w:tcBorders>
                              <w:top w:val="single" w:sz="4"/>
                            </w:tcBorders>
                            <w:shd w:val="clear" w:color="auto" w:fill="BCE3FC"/>
                            <w:vAlign w:val="top"/>
                          </w:tcPr>
                          <w:p>
                            <w:pPr>
                              <w:widowControl w:val="0"/>
                              <w:rPr>
                                <w:sz w:val="10"/>
                                <w:szCs w:val="10"/>
                              </w:rPr>
                            </w:pPr>
                          </w:p>
                        </w:tc>
                        <w:tc>
                          <w:tcPr>
                            <w:vMerge w:val="restart"/>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6"/>
                                <w:szCs w:val="26"/>
                              </w:rPr>
                            </w:pPr>
                            <w:r>
                              <w:rPr>
                                <w:b/>
                                <w:bCs/>
                                <w:color w:val="E89167"/>
                                <w:spacing w:val="0"/>
                                <w:w w:val="100"/>
                                <w:position w:val="0"/>
                                <w:sz w:val="26"/>
                                <w:szCs w:val="26"/>
                                <w:shd w:val="clear" w:color="auto" w:fill="auto"/>
                                <w:lang w:val="pt-PT" w:eastAsia="pt-PT" w:bidi="pt-PT"/>
                              </w:rPr>
                              <w:t>E3</w:t>
                            </w:r>
                          </w:p>
                        </w:tc>
                        <w:tc>
                          <w:tcPr>
                            <w:tcBorders>
                              <w:top w:val="single" w:sz="4"/>
                            </w:tcBorders>
                            <w:shd w:val="clear" w:color="auto" w:fill="BCE3FC"/>
                            <w:vAlign w:val="top"/>
                          </w:tcPr>
                          <w:p>
                            <w:pPr>
                              <w:widowControl w:val="0"/>
                              <w:rPr>
                                <w:sz w:val="10"/>
                                <w:szCs w:val="10"/>
                              </w:rPr>
                            </w:pPr>
                          </w:p>
                        </w:tc>
                        <w:tc>
                          <w:tcPr>
                            <w:vMerge w:val="restart"/>
                            <w:tcBorders/>
                            <w:shd w:val="clear" w:color="auto" w:fill="FFFFFF"/>
                            <w:vAlign w:val="top"/>
                          </w:tcPr>
                          <w:p>
                            <w:pPr>
                              <w:widowControl w:val="0"/>
                              <w:rPr>
                                <w:sz w:val="10"/>
                                <w:szCs w:val="10"/>
                              </w:rPr>
                            </w:pPr>
                          </w:p>
                        </w:tc>
                      </w:tr>
                      <w:tr>
                        <w:trPr>
                          <w:trHeight w:val="295" w:hRule="exact"/>
                        </w:trPr>
                        <w:tc>
                          <w:tcPr>
                            <w:vMerge/>
                            <w:tcBorders/>
                            <w:shd w:val="clear" w:color="auto" w:fill="BCE3FC"/>
                            <w:vAlign w:val="top"/>
                          </w:tcPr>
                          <w:p>
                            <w:pPr/>
                          </w:p>
                        </w:tc>
                        <w:tc>
                          <w:tcPr>
                            <w:vMerge/>
                            <w:tcBorders/>
                            <w:shd w:val="clear" w:color="auto" w:fill="FFFFFF"/>
                            <w:vAlign w:val="top"/>
                          </w:tcPr>
                          <w:p>
                            <w:pPr/>
                          </w:p>
                        </w:tc>
                        <w:tc>
                          <w:tcPr>
                            <w:tcBorders/>
                            <w:shd w:val="clear" w:color="auto" w:fill="77B6F5"/>
                            <w:vAlign w:val="bottom"/>
                          </w:tcPr>
                          <w:p>
                            <w:pPr>
                              <w:pStyle w:val="Style7"/>
                              <w:keepNext w:val="0"/>
                              <w:keepLines w:val="0"/>
                              <w:widowControl w:val="0"/>
                              <w:pBdr>
                                <w:top w:val="single" w:sz="0" w:space="0" w:color="7BB6F6"/>
                                <w:left w:val="single" w:sz="0" w:space="0" w:color="7BB6F6"/>
                                <w:bottom w:val="single" w:sz="0" w:space="0" w:color="7BB6F6"/>
                                <w:right w:val="single" w:sz="0" w:space="0" w:color="7BB6F6"/>
                              </w:pBdr>
                              <w:shd w:val="clear" w:color="auto" w:fill="7BB6F6"/>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fundo(s)&lt;we</w:t>
                            </w:r>
                          </w:p>
                          <w:p>
                            <w:pPr>
                              <w:pStyle w:val="Style7"/>
                              <w:keepNext w:val="0"/>
                              <w:keepLines w:val="0"/>
                              <w:widowControl w:val="0"/>
                              <w:pBdr>
                                <w:top w:val="single" w:sz="0" w:space="0" w:color="7BB6F6"/>
                                <w:left w:val="single" w:sz="0" w:space="0" w:color="7BB6F6"/>
                                <w:bottom w:val="single" w:sz="0" w:space="0" w:color="7BB6F6"/>
                                <w:right w:val="single" w:sz="0" w:space="0" w:color="7BB6F6"/>
                              </w:pBdr>
                              <w:shd w:val="clear" w:color="auto" w:fill="7BB6F6"/>
                              <w:bidi w:val="0"/>
                              <w:spacing w:before="0" w:after="0" w:line="240" w:lineRule="auto"/>
                              <w:ind w:left="60" w:right="0" w:firstLine="0"/>
                              <w:jc w:val="center"/>
                              <w:rPr>
                                <w:sz w:val="11"/>
                                <w:szCs w:val="11"/>
                              </w:rPr>
                            </w:pPr>
                            <w:r>
                              <w:rPr>
                                <w:color w:val="B8E1FD"/>
                                <w:spacing w:val="0"/>
                                <w:w w:val="100"/>
                                <w:position w:val="0"/>
                                <w:sz w:val="11"/>
                                <w:szCs w:val="11"/>
                                <w:shd w:val="clear" w:color="auto" w:fill="auto"/>
                                <w:lang w:val="pt-PT" w:eastAsia="pt-PT" w:bidi="pt-PT"/>
                              </w:rPr>
                              <w:t>agreguem valor a</w:t>
                            </w:r>
                          </w:p>
                        </w:tc>
                        <w:tc>
                          <w:tcPr>
                            <w:vMerge/>
                            <w:tcBorders/>
                            <w:shd w:val="clear" w:color="auto" w:fill="FFFFFF"/>
                            <w:vAlign w:val="top"/>
                          </w:tcPr>
                          <w:p>
                            <w:pPr/>
                          </w:p>
                        </w:tc>
                      </w:tr>
                      <w:tr>
                        <w:trPr>
                          <w:trHeight w:val="274" w:hRule="exact"/>
                        </w:trPr>
                        <w:tc>
                          <w:tcPr>
                            <w:tcBorders/>
                            <w:shd w:val="clear" w:color="auto" w:fill="4687D0"/>
                            <w:vAlign w:val="top"/>
                          </w:tcPr>
                          <w:p>
                            <w:pPr>
                              <w:pStyle w:val="Style7"/>
                              <w:keepNext w:val="0"/>
                              <w:keepLines w:val="0"/>
                              <w:widowControl w:val="0"/>
                              <w:pBdr>
                                <w:top w:val="single" w:sz="0" w:space="0" w:color="4689D7"/>
                                <w:left w:val="single" w:sz="0" w:space="0" w:color="4689D7"/>
                                <w:bottom w:val="single" w:sz="0" w:space="0" w:color="4689D7"/>
                                <w:right w:val="single" w:sz="0" w:space="0" w:color="4689D7"/>
                              </w:pBdr>
                              <w:shd w:val="clear" w:color="auto" w:fill="4689D7"/>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 xml:space="preserve">I </w:t>
                            </w:r>
                            <w:r>
                              <w:rPr>
                                <w:color w:val="B8E1FD"/>
                                <w:spacing w:val="0"/>
                                <w:w w:val="100"/>
                                <w:position w:val="0"/>
                                <w:sz w:val="11"/>
                                <w:szCs w:val="11"/>
                                <w:shd w:val="clear" w:color="auto" w:fill="auto"/>
                                <w:lang w:val="pt-PT" w:eastAsia="pt-PT" w:bidi="pt-PT"/>
                              </w:rPr>
                              <w:t>RPPS.</w:t>
                            </w:r>
                          </w:p>
                        </w:tc>
                        <w:tc>
                          <w:tcPr>
                            <w:tcBorders/>
                            <w:shd w:val="clear" w:color="auto" w:fill="FFFFFF"/>
                            <w:vAlign w:val="top"/>
                          </w:tcPr>
                          <w:p>
                            <w:pPr>
                              <w:widowControl w:val="0"/>
                              <w:rPr>
                                <w:sz w:val="10"/>
                                <w:szCs w:val="10"/>
                              </w:rPr>
                            </w:pPr>
                          </w:p>
                        </w:tc>
                        <w:tc>
                          <w:tcPr>
                            <w:tcBorders/>
                            <w:shd w:val="clear" w:color="auto" w:fill="4687D0"/>
                            <w:vAlign w:val="top"/>
                          </w:tcPr>
                          <w:p>
                            <w:pPr>
                              <w:pStyle w:val="Style7"/>
                              <w:keepNext w:val="0"/>
                              <w:keepLines w:val="0"/>
                              <w:widowControl w:val="0"/>
                              <w:pBdr>
                                <w:top w:val="single" w:sz="0" w:space="0" w:color="4686CD"/>
                                <w:left w:val="single" w:sz="0" w:space="0" w:color="4686CD"/>
                                <w:bottom w:val="single" w:sz="0" w:space="0" w:color="4686CD"/>
                                <w:right w:val="single" w:sz="0" w:space="0" w:color="4686CD"/>
                              </w:pBdr>
                              <w:shd w:val="clear" w:color="auto" w:fill="4686CD"/>
                              <w:bidi w:val="0"/>
                              <w:spacing w:before="0" w:after="0" w:line="240" w:lineRule="auto"/>
                              <w:ind w:left="60" w:right="0" w:firstLine="0"/>
                              <w:jc w:val="center"/>
                              <w:rPr>
                                <w:sz w:val="11"/>
                                <w:szCs w:val="11"/>
                              </w:rPr>
                            </w:pPr>
                            <w:r>
                              <w:rPr>
                                <w:color w:val="B8E1FD"/>
                                <w:spacing w:val="0"/>
                                <w:w w:val="100"/>
                                <w:position w:val="0"/>
                                <w:sz w:val="11"/>
                                <w:szCs w:val="11"/>
                                <w:shd w:val="clear" w:color="auto" w:fill="auto"/>
                                <w:lang w:val="pt-PT" w:eastAsia="pt-PT" w:bidi="pt-PT"/>
                              </w:rPr>
                              <w:t>careira e análise</w:t>
                            </w:r>
                          </w:p>
                        </w:tc>
                        <w:tc>
                          <w:tcPr>
                            <w:tcBorders/>
                            <w:shd w:val="clear" w:color="auto" w:fill="FFFFFF"/>
                            <w:vAlign w:val="top"/>
                          </w:tcPr>
                          <w:p>
                            <w:pPr>
                              <w:widowControl w:val="0"/>
                              <w:rPr>
                                <w:sz w:val="10"/>
                                <w:szCs w:val="10"/>
                              </w:rPr>
                            </w:pPr>
                          </w:p>
                        </w:tc>
                      </w:tr>
                      <w:tr>
                        <w:trPr>
                          <w:trHeight w:val="490"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100" w:right="0" w:firstLine="0"/>
                              <w:jc w:val="center"/>
                              <w:rPr>
                                <w:sz w:val="30"/>
                                <w:szCs w:val="30"/>
                              </w:rPr>
                            </w:pPr>
                            <w:r>
                              <w:rPr>
                                <w:color w:val="4E6896"/>
                                <w:spacing w:val="0"/>
                                <w:w w:val="100"/>
                                <w:position w:val="0"/>
                                <w:sz w:val="30"/>
                                <w:szCs w:val="30"/>
                                <w:shd w:val="clear" w:color="auto" w:fill="auto"/>
                                <w:lang w:val="pt-PT" w:eastAsia="pt-PT" w:bidi="pt-PT"/>
                              </w:rPr>
                              <w:t>1</w:t>
                            </w:r>
                          </w:p>
                        </w:tc>
                        <w:tc>
                          <w:tcPr>
                            <w:tcBorders/>
                            <w:shd w:val="clear" w:color="auto" w:fill="FFFFFF"/>
                            <w:vAlign w:val="top"/>
                          </w:tcPr>
                          <w:p>
                            <w:pPr>
                              <w:widowControl w:val="0"/>
                              <w:rPr>
                                <w:sz w:val="10"/>
                                <w:szCs w:val="10"/>
                              </w:rPr>
                            </w:pP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60" w:right="0" w:firstLine="0"/>
                              <w:jc w:val="center"/>
                              <w:rPr>
                                <w:sz w:val="11"/>
                                <w:szCs w:val="11"/>
                              </w:rPr>
                            </w:pPr>
                            <w:r>
                              <w:rPr>
                                <w:color w:val="4E6896"/>
                                <w:spacing w:val="0"/>
                                <w:w w:val="100"/>
                                <w:position w:val="0"/>
                                <w:sz w:val="11"/>
                                <w:szCs w:val="11"/>
                                <w:shd w:val="clear" w:color="auto" w:fill="auto"/>
                                <w:lang w:val="pt-PT" w:eastAsia="pt-PT" w:bidi="pt-PT"/>
                              </w:rPr>
                              <w:t>♦</w:t>
                            </w:r>
                          </w:p>
                        </w:tc>
                        <w:tc>
                          <w:tcPr>
                            <w:tcBorders/>
                            <w:shd w:val="clear" w:color="auto" w:fill="FFFFFF"/>
                            <w:vAlign w:val="top"/>
                          </w:tcPr>
                          <w:p>
                            <w:pPr>
                              <w:widowControl w:val="0"/>
                              <w:rPr>
                                <w:sz w:val="10"/>
                                <w:szCs w:val="10"/>
                              </w:rPr>
                            </w:pPr>
                          </w:p>
                        </w:tc>
                      </w:tr>
                      <w:tr>
                        <w:trPr>
                          <w:trHeight w:val="202" w:hRule="exact"/>
                        </w:trPr>
                        <w:tc>
                          <w:tcPr>
                            <w:tcBorders/>
                            <w:shd w:val="clear" w:color="auto" w:fill="32282B"/>
                            <w:vAlign w:val="top"/>
                          </w:tcPr>
                          <w:p>
                            <w:pPr>
                              <w:pStyle w:val="Style7"/>
                              <w:keepNext w:val="0"/>
                              <w:keepLines w:val="0"/>
                              <w:widowControl w:val="0"/>
                              <w:pBdr>
                                <w:top w:val="single" w:sz="0" w:space="0" w:color="33282B"/>
                                <w:left w:val="single" w:sz="0" w:space="0" w:color="33282B"/>
                                <w:bottom w:val="single" w:sz="0" w:space="0" w:color="33282B"/>
                                <w:right w:val="single" w:sz="0" w:space="0" w:color="33282B"/>
                              </w:pBdr>
                              <w:shd w:val="clear" w:color="auto" w:fill="33282B"/>
                              <w:tabs>
                                <w:tab w:pos="1137" w:val="left"/>
                              </w:tabs>
                              <w:bidi w:val="0"/>
                              <w:spacing w:before="0" w:after="0" w:line="240" w:lineRule="auto"/>
                              <w:ind w:left="280" w:right="0" w:firstLine="0"/>
                              <w:jc w:val="both"/>
                              <w:rPr>
                                <w:sz w:val="30"/>
                                <w:szCs w:val="30"/>
                              </w:rPr>
                            </w:pPr>
                            <w:r>
                              <w:rPr>
                                <w:color w:val="FFFFFF"/>
                                <w:spacing w:val="0"/>
                                <w:w w:val="100"/>
                                <w:position w:val="0"/>
                                <w:sz w:val="11"/>
                                <w:szCs w:val="11"/>
                                <w:shd w:val="clear" w:color="auto" w:fill="auto"/>
                                <w:lang w:val="pt-PT" w:eastAsia="pt-PT" w:bidi="pt-PT"/>
                              </w:rPr>
                              <w:t>DESCARTE</w:t>
                              <w:tab/>
                            </w:r>
                            <w:r>
                              <w:rPr>
                                <w:color w:val="FFFFFF"/>
                                <w:spacing w:val="0"/>
                                <w:w w:val="100"/>
                                <w:position w:val="0"/>
                                <w:sz w:val="30"/>
                                <w:szCs w:val="30"/>
                                <w:shd w:val="clear" w:color="auto" w:fill="auto"/>
                                <w:lang w:val="pt-PT" w:eastAsia="pt-PT" w:bidi="pt-PT"/>
                              </w:rPr>
                              <w:t>1</w:t>
                            </w:r>
                          </w:p>
                        </w:tc>
                        <w:tc>
                          <w:tcPr>
                            <w:tcBorders/>
                            <w:shd w:val="clear" w:color="auto" w:fill="FFFFFF"/>
                            <w:vAlign w:val="top"/>
                          </w:tcPr>
                          <w:p>
                            <w:pPr>
                              <w:widowControl w:val="0"/>
                              <w:rPr>
                                <w:sz w:val="10"/>
                                <w:szCs w:val="10"/>
                              </w:rPr>
                            </w:pPr>
                          </w:p>
                        </w:tc>
                        <w:tc>
                          <w:tcPr>
                            <w:tcBorders/>
                            <w:shd w:val="clear" w:color="auto" w:fill="96CD4E"/>
                            <w:vAlign w:val="bottom"/>
                          </w:tcPr>
                          <w:p>
                            <w:pPr>
                              <w:pStyle w:val="Style7"/>
                              <w:keepNext w:val="0"/>
                              <w:keepLines w:val="0"/>
                              <w:widowControl w:val="0"/>
                              <w:pBdr>
                                <w:top w:val="single" w:sz="0" w:space="0" w:color="96CD4C"/>
                                <w:left w:val="single" w:sz="0" w:space="0" w:color="96CD4C"/>
                                <w:bottom w:val="single" w:sz="0" w:space="0" w:color="96CD4C"/>
                                <w:right w:val="single" w:sz="0" w:space="0" w:color="96CD4C"/>
                              </w:pBdr>
                              <w:shd w:val="clear" w:color="auto" w:fill="96CD4C"/>
                              <w:bidi w:val="0"/>
                              <w:spacing w:before="0" w:after="0" w:line="240" w:lineRule="auto"/>
                              <w:ind w:left="0" w:right="0" w:firstLine="0"/>
                              <w:jc w:val="left"/>
                              <w:rPr>
                                <w:sz w:val="11"/>
                                <w:szCs w:val="11"/>
                              </w:rPr>
                            </w:pPr>
                            <w:r>
                              <w:rPr>
                                <w:color w:val="EBFCC5"/>
                                <w:spacing w:val="0"/>
                                <w:w w:val="100"/>
                                <w:position w:val="0"/>
                                <w:sz w:val="11"/>
                                <w:szCs w:val="11"/>
                                <w:shd w:val="clear" w:color="auto" w:fill="auto"/>
                                <w:lang w:val="pt-PT" w:eastAsia="pt-PT" w:bidi="pt-PT"/>
                              </w:rPr>
                              <w:t>Deverá ser</w:t>
                            </w:r>
                          </w:p>
                        </w:tc>
                        <w:tc>
                          <w:tcPr>
                            <w:tcBorders/>
                            <w:shd w:val="clear" w:color="auto" w:fill="FFFFFF"/>
                            <w:vAlign w:val="top"/>
                          </w:tcPr>
                          <w:p>
                            <w:pPr>
                              <w:widowControl w:val="0"/>
                              <w:rPr>
                                <w:sz w:val="10"/>
                                <w:szCs w:val="10"/>
                              </w:rPr>
                            </w:pPr>
                          </w:p>
                        </w:tc>
                      </w:tr>
                      <w:tr>
                        <w:trPr>
                          <w:trHeight w:val="55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96CD4E"/>
                            <w:vAlign w:val="top"/>
                          </w:tcPr>
                          <w:p>
                            <w:pPr>
                              <w:pStyle w:val="Style7"/>
                              <w:keepNext w:val="0"/>
                              <w:keepLines w:val="0"/>
                              <w:widowControl w:val="0"/>
                              <w:pBdr>
                                <w:top w:val="single" w:sz="0" w:space="0" w:color="95CC4C"/>
                                <w:left w:val="single" w:sz="0" w:space="0" w:color="95CC4C"/>
                                <w:bottom w:val="single" w:sz="0" w:space="0" w:color="95CC4C"/>
                                <w:right w:val="single" w:sz="0" w:space="0" w:color="95CC4C"/>
                              </w:pBdr>
                              <w:shd w:val="clear" w:color="auto" w:fill="95CC4C"/>
                              <w:bidi w:val="0"/>
                              <w:spacing w:before="0" w:after="0" w:line="295" w:lineRule="auto"/>
                              <w:ind w:left="0" w:right="0" w:firstLine="0"/>
                              <w:jc w:val="left"/>
                              <w:rPr>
                                <w:sz w:val="11"/>
                                <w:szCs w:val="11"/>
                              </w:rPr>
                            </w:pPr>
                            <w:r>
                              <w:rPr>
                                <w:color w:val="EBFCC5"/>
                                <w:spacing w:val="0"/>
                                <w:w w:val="100"/>
                                <w:position w:val="0"/>
                                <w:sz w:val="11"/>
                                <w:szCs w:val="11"/>
                                <w:shd w:val="clear" w:color="auto" w:fill="auto"/>
                                <w:lang w:val="pt-PT" w:eastAsia="pt-PT" w:bidi="pt-PT"/>
                              </w:rPr>
                              <w:t>solicrtodo análise do(s) ativo(s) a consultor lo.</w:t>
                            </w:r>
                          </w:p>
                        </w:tc>
                        <w:tc>
                          <w:tcPr>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w:drawing>
          <wp:anchor distT="264160" distB="763905" distL="0" distR="0" simplePos="0" relativeHeight="125829468" behindDoc="0" locked="0" layoutInCell="1" allowOverlap="1">
            <wp:simplePos x="0" y="0"/>
            <wp:positionH relativeFrom="page">
              <wp:posOffset>4332605</wp:posOffset>
            </wp:positionH>
            <wp:positionV relativeFrom="paragraph">
              <wp:posOffset>264160</wp:posOffset>
            </wp:positionV>
            <wp:extent cx="743585" cy="506095"/>
            <wp:wrapTopAndBottom/>
            <wp:docPr id="261" name="Shape 261"/>
            <a:graphic xmlns:a="http://schemas.openxmlformats.org/drawingml/2006/main">
              <a:graphicData uri="http://schemas.openxmlformats.org/drawingml/2006/picture">
                <pic:pic xmlns:pic="http://schemas.openxmlformats.org/drawingml/2006/picture">
                  <pic:nvPicPr>
                    <pic:cNvPr id="262" name="Picture box 262"/>
                    <pic:cNvPicPr/>
                  </pic:nvPicPr>
                  <pic:blipFill>
                    <a:blip r:embed="rId146"/>
                    <a:stretch/>
                  </pic:blipFill>
                  <pic:spPr>
                    <a:xfrm>
                      <a:ext cx="743585" cy="506095"/>
                    </a:xfrm>
                    <a:prstGeom prst="rect"/>
                  </pic:spPr>
                </pic:pic>
              </a:graphicData>
            </a:graphic>
          </wp:anchor>
        </w:drawing>
      </w:r>
      <w:r>
        <mc:AlternateContent>
          <mc:Choice Requires="wps">
            <w:drawing>
              <wp:anchor distT="0" distB="0" distL="0" distR="0" simplePos="0" relativeHeight="503316528" behindDoc="0" locked="0" layoutInCell="1" allowOverlap="1">
                <wp:simplePos x="0" y="0"/>
                <wp:positionH relativeFrom="page">
                  <wp:posOffset>4478655</wp:posOffset>
                </wp:positionH>
                <wp:positionV relativeFrom="paragraph">
                  <wp:posOffset>1091565</wp:posOffset>
                </wp:positionV>
                <wp:extent cx="411480" cy="105410"/>
                <wp:wrapNone/>
                <wp:docPr id="263" name="Shape 263"/>
                <a:graphic xmlns:a="http://schemas.openxmlformats.org/drawingml/2006/main">
                  <a:graphicData uri="http://schemas.microsoft.com/office/word/2010/wordprocessingShape">
                    <wps:wsp>
                      <wps:cNvSpPr txBox="1"/>
                      <wps:spPr>
                        <a:xfrm>
                          <a:ext cx="411480" cy="105410"/>
                        </a:xfrm>
                        <a:prstGeom prst="rect"/>
                        <a:noFill/>
                      </wps:spPr>
                      <wps:txbx>
                        <w:txbxContent>
                          <w:p>
                            <w:pPr>
                              <w:pStyle w:val="Style25"/>
                              <w:keepNext w:val="0"/>
                              <w:keepLines w:val="0"/>
                              <w:widowControl w:val="0"/>
                              <w:pBdr>
                                <w:top w:val="single" w:sz="0" w:space="0" w:color="32282C"/>
                                <w:left w:val="single" w:sz="0" w:space="0" w:color="32282C"/>
                                <w:bottom w:val="single" w:sz="0" w:space="0" w:color="32282C"/>
                                <w:right w:val="single" w:sz="0" w:space="0" w:color="32282C"/>
                              </w:pBdr>
                              <w:shd w:val="clear" w:color="auto" w:fill="32282C"/>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OE5CAPTE</w:t>
                            </w:r>
                          </w:p>
                        </w:txbxContent>
                      </wps:txbx>
                      <wps:bodyPr lIns="0" tIns="0" rIns="0" bIns="0">
                        <a:noAutoFit/>
                      </wps:bodyPr>
                    </wps:wsp>
                  </a:graphicData>
                </a:graphic>
              </wp:anchor>
            </w:drawing>
          </mc:Choice>
          <mc:Fallback>
            <w:pict>
              <v:shape id="_x0000_s1289" type="#_x0000_t202" style="position:absolute;margin-left:352.64999999999998pt;margin-top:85.950000000000003pt;width:32.399999999999999pt;height:8.3000000000000007pt;z-index:251657775;mso-wrap-distance-left:0;mso-wrap-distance-right:0;mso-position-horizontal-relative:page" filled="f" stroked="f">
                <v:textbox inset="0,0,0,0">
                  <w:txbxContent>
                    <w:p>
                      <w:pPr>
                        <w:pStyle w:val="Style25"/>
                        <w:keepNext w:val="0"/>
                        <w:keepLines w:val="0"/>
                        <w:widowControl w:val="0"/>
                        <w:pBdr>
                          <w:top w:val="single" w:sz="0" w:space="0" w:color="32282C"/>
                          <w:left w:val="single" w:sz="0" w:space="0" w:color="32282C"/>
                          <w:bottom w:val="single" w:sz="0" w:space="0" w:color="32282C"/>
                          <w:right w:val="single" w:sz="0" w:space="0" w:color="32282C"/>
                        </w:pBdr>
                        <w:shd w:val="clear" w:color="auto" w:fill="32282C"/>
                        <w:bidi w:val="0"/>
                        <w:spacing w:before="0" w:after="0" w:line="240" w:lineRule="auto"/>
                        <w:ind w:left="0" w:right="0" w:firstLine="0"/>
                        <w:jc w:val="left"/>
                        <w:rPr>
                          <w:sz w:val="11"/>
                          <w:szCs w:val="11"/>
                        </w:rPr>
                      </w:pPr>
                      <w:r>
                        <w:rPr>
                          <w:color w:val="FFFFFF"/>
                          <w:spacing w:val="0"/>
                          <w:w w:val="100"/>
                          <w:position w:val="0"/>
                          <w:sz w:val="11"/>
                          <w:szCs w:val="11"/>
                          <w:shd w:val="clear" w:color="auto" w:fill="auto"/>
                          <w:lang w:val="pt-PT" w:eastAsia="pt-PT" w:bidi="pt-PT"/>
                        </w:rPr>
                        <w:t>OE5CAPTE</w:t>
                      </w:r>
                    </w:p>
                  </w:txbxContent>
                </v:textbox>
                <w10:wrap anchorx="page"/>
              </v:shape>
            </w:pict>
          </mc:Fallback>
        </mc:AlternateContent>
      </w:r>
      <w:r>
        <w:drawing>
          <wp:anchor distT="775970" distB="590550" distL="0" distR="0" simplePos="0" relativeHeight="125829469" behindDoc="0" locked="0" layoutInCell="1" allowOverlap="1">
            <wp:simplePos x="0" y="0"/>
            <wp:positionH relativeFrom="page">
              <wp:posOffset>4812665</wp:posOffset>
            </wp:positionH>
            <wp:positionV relativeFrom="paragraph">
              <wp:posOffset>775970</wp:posOffset>
            </wp:positionV>
            <wp:extent cx="250190" cy="170815"/>
            <wp:wrapTopAndBottom/>
            <wp:docPr id="265" name="Shape 265"/>
            <a:graphic xmlns:a="http://schemas.openxmlformats.org/drawingml/2006/main">
              <a:graphicData uri="http://schemas.openxmlformats.org/drawingml/2006/picture">
                <pic:pic xmlns:pic="http://schemas.openxmlformats.org/drawingml/2006/picture">
                  <pic:nvPicPr>
                    <pic:cNvPr id="266" name="Picture box 266"/>
                    <pic:cNvPicPr/>
                  </pic:nvPicPr>
                  <pic:blipFill>
                    <a:blip r:embed="rId148"/>
                    <a:stretch/>
                  </pic:blipFill>
                  <pic:spPr>
                    <a:xfrm>
                      <a:ext cx="250190" cy="170815"/>
                    </a:xfrm>
                    <a:prstGeom prst="rect"/>
                  </pic:spPr>
                </pic:pic>
              </a:graphicData>
            </a:graphic>
          </wp:anchor>
        </w:drawing>
      </w:r>
      <w:r>
        <w:drawing>
          <wp:anchor distT="250190" distB="1088390" distL="0" distR="0" simplePos="0" relativeHeight="125829470" behindDoc="0" locked="0" layoutInCell="1" allowOverlap="1">
            <wp:simplePos x="0" y="0"/>
            <wp:positionH relativeFrom="page">
              <wp:posOffset>5082540</wp:posOffset>
            </wp:positionH>
            <wp:positionV relativeFrom="paragraph">
              <wp:posOffset>250190</wp:posOffset>
            </wp:positionV>
            <wp:extent cx="274320" cy="194945"/>
            <wp:wrapTopAndBottom/>
            <wp:docPr id="267" name="Shape 267"/>
            <a:graphic xmlns:a="http://schemas.openxmlformats.org/drawingml/2006/main">
              <a:graphicData uri="http://schemas.openxmlformats.org/drawingml/2006/picture">
                <pic:pic xmlns:pic="http://schemas.openxmlformats.org/drawingml/2006/picture">
                  <pic:nvPicPr>
                    <pic:cNvPr id="268" name="Picture box 268"/>
                    <pic:cNvPicPr/>
                  </pic:nvPicPr>
                  <pic:blipFill>
                    <a:blip r:embed="rId150"/>
                    <a:stretch/>
                  </pic:blipFill>
                  <pic:spPr>
                    <a:xfrm>
                      <a:ext cx="274320" cy="194945"/>
                    </a:xfrm>
                    <a:prstGeom prst="rect"/>
                  </pic:spPr>
                </pic:pic>
              </a:graphicData>
            </a:graphic>
          </wp:anchor>
        </w:drawing>
      </w:r>
      <w:r>
        <w:drawing>
          <wp:anchor distT="264160" distB="1033780" distL="0" distR="0" simplePos="0" relativeHeight="125829471" behindDoc="0" locked="0" layoutInCell="1" allowOverlap="1">
            <wp:simplePos x="0" y="0"/>
            <wp:positionH relativeFrom="page">
              <wp:posOffset>5402580</wp:posOffset>
            </wp:positionH>
            <wp:positionV relativeFrom="paragraph">
              <wp:posOffset>264160</wp:posOffset>
            </wp:positionV>
            <wp:extent cx="853440" cy="237490"/>
            <wp:wrapTopAndBottom/>
            <wp:docPr id="269" name="Shape 269"/>
            <a:graphic xmlns:a="http://schemas.openxmlformats.org/drawingml/2006/main">
              <a:graphicData uri="http://schemas.openxmlformats.org/drawingml/2006/picture">
                <pic:pic xmlns:pic="http://schemas.openxmlformats.org/drawingml/2006/picture">
                  <pic:nvPicPr>
                    <pic:cNvPr id="270" name="Picture box 270"/>
                    <pic:cNvPicPr/>
                  </pic:nvPicPr>
                  <pic:blipFill>
                    <a:blip r:embed="rId152"/>
                    <a:stretch/>
                  </pic:blipFill>
                  <pic:spPr>
                    <a:xfrm>
                      <a:ext cx="853440" cy="237490"/>
                    </a:xfrm>
                    <a:prstGeom prst="rect"/>
                  </pic:spPr>
                </pic:pic>
              </a:graphicData>
            </a:graphic>
          </wp:anchor>
        </w:drawing>
      </w:r>
      <w:r>
        <mc:AlternateContent>
          <mc:Choice Requires="wps">
            <w:drawing>
              <wp:anchor distT="0" distB="0" distL="0" distR="0" simplePos="0" relativeHeight="503316530" behindDoc="0" locked="0" layoutInCell="1" allowOverlap="1">
                <wp:simplePos x="0" y="0"/>
                <wp:positionH relativeFrom="page">
                  <wp:posOffset>5425440</wp:posOffset>
                </wp:positionH>
                <wp:positionV relativeFrom="paragraph">
                  <wp:posOffset>488315</wp:posOffset>
                </wp:positionV>
                <wp:extent cx="777240" cy="219710"/>
                <wp:wrapNone/>
                <wp:docPr id="271" name="Shape 271"/>
                <a:graphic xmlns:a="http://schemas.openxmlformats.org/drawingml/2006/main">
                  <a:graphicData uri="http://schemas.microsoft.com/office/word/2010/wordprocessingShape">
                    <wps:wsp>
                      <wps:cNvSpPr txBox="1"/>
                      <wps:spPr>
                        <a:xfrm>
                          <a:ext cx="777240" cy="219710"/>
                        </a:xfrm>
                        <a:prstGeom prst="rect"/>
                        <a:noFill/>
                      </wps:spPr>
                      <wps:txbx>
                        <w:txbxContent>
                          <w:p>
                            <w:pPr>
                              <w:pStyle w:val="Style25"/>
                              <w:keepNext w:val="0"/>
                              <w:keepLines w:val="0"/>
                              <w:widowControl w:val="0"/>
                              <w:pBdr>
                                <w:top w:val="single" w:sz="0" w:space="0" w:color="78B7F7"/>
                                <w:left w:val="single" w:sz="0" w:space="0" w:color="78B7F7"/>
                                <w:bottom w:val="single" w:sz="0" w:space="0" w:color="78B7F7"/>
                                <w:right w:val="single" w:sz="0" w:space="0" w:color="78B7F7"/>
                              </w:pBdr>
                              <w:shd w:val="clear" w:color="auto" w:fill="78B7F7"/>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pnrticipante(s) dentro</w:t>
                            </w:r>
                          </w:p>
                          <w:p>
                            <w:pPr>
                              <w:pStyle w:val="Style25"/>
                              <w:keepNext w:val="0"/>
                              <w:keepLines w:val="0"/>
                              <w:widowControl w:val="0"/>
                              <w:pBdr>
                                <w:top w:val="single" w:sz="0" w:space="0" w:color="78B7F7"/>
                                <w:left w:val="single" w:sz="0" w:space="0" w:color="78B7F7"/>
                                <w:bottom w:val="single" w:sz="0" w:space="0" w:color="78B7F7"/>
                                <w:right w:val="single" w:sz="0" w:space="0" w:color="78B7F7"/>
                              </w:pBdr>
                              <w:shd w:val="clear" w:color="auto" w:fill="78B7F7"/>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das regras desta PI.</w:t>
                            </w:r>
                          </w:p>
                        </w:txbxContent>
                      </wps:txbx>
                      <wps:bodyPr lIns="0" tIns="0" rIns="0" bIns="0">
                        <a:noAutoFit/>
                      </wps:bodyPr>
                    </wps:wsp>
                  </a:graphicData>
                </a:graphic>
              </wp:anchor>
            </w:drawing>
          </mc:Choice>
          <mc:Fallback>
            <w:pict>
              <v:shape id="_x0000_s1297" type="#_x0000_t202" style="position:absolute;margin-left:427.19999999999999pt;margin-top:38.450000000000003pt;width:61.200000000000003pt;height:17.300000000000001pt;z-index:251657777;mso-wrap-distance-left:0;mso-wrap-distance-right:0;mso-position-horizontal-relative:page" filled="f" stroked="f">
                <v:textbox inset="0,0,0,0">
                  <w:txbxContent>
                    <w:p>
                      <w:pPr>
                        <w:pStyle w:val="Style25"/>
                        <w:keepNext w:val="0"/>
                        <w:keepLines w:val="0"/>
                        <w:widowControl w:val="0"/>
                        <w:pBdr>
                          <w:top w:val="single" w:sz="0" w:space="0" w:color="78B7F7"/>
                          <w:left w:val="single" w:sz="0" w:space="0" w:color="78B7F7"/>
                          <w:bottom w:val="single" w:sz="0" w:space="0" w:color="78B7F7"/>
                          <w:right w:val="single" w:sz="0" w:space="0" w:color="78B7F7"/>
                        </w:pBdr>
                        <w:shd w:val="clear" w:color="auto" w:fill="78B7F7"/>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pnrticipante(s) dentro</w:t>
                      </w:r>
                    </w:p>
                    <w:p>
                      <w:pPr>
                        <w:pStyle w:val="Style25"/>
                        <w:keepNext w:val="0"/>
                        <w:keepLines w:val="0"/>
                        <w:widowControl w:val="0"/>
                        <w:pBdr>
                          <w:top w:val="single" w:sz="0" w:space="0" w:color="78B7F7"/>
                          <w:left w:val="single" w:sz="0" w:space="0" w:color="78B7F7"/>
                          <w:bottom w:val="single" w:sz="0" w:space="0" w:color="78B7F7"/>
                          <w:right w:val="single" w:sz="0" w:space="0" w:color="78B7F7"/>
                        </w:pBdr>
                        <w:shd w:val="clear" w:color="auto" w:fill="78B7F7"/>
                        <w:bidi w:val="0"/>
                        <w:spacing w:before="0" w:after="0" w:line="240" w:lineRule="auto"/>
                        <w:ind w:left="0" w:right="0" w:firstLine="0"/>
                        <w:jc w:val="left"/>
                        <w:rPr>
                          <w:sz w:val="11"/>
                          <w:szCs w:val="11"/>
                        </w:rPr>
                      </w:pPr>
                      <w:r>
                        <w:rPr>
                          <w:color w:val="B8E1FD"/>
                          <w:spacing w:val="0"/>
                          <w:w w:val="100"/>
                          <w:position w:val="0"/>
                          <w:sz w:val="11"/>
                          <w:szCs w:val="11"/>
                          <w:shd w:val="clear" w:color="auto" w:fill="auto"/>
                          <w:lang w:val="pt-PT" w:eastAsia="pt-PT" w:bidi="pt-PT"/>
                        </w:rPr>
                        <w:t>das regras desta PI.</w:t>
                      </w:r>
                    </w:p>
                  </w:txbxContent>
                </v:textbox>
                <w10:wrap anchorx="page"/>
              </v:shape>
            </w:pict>
          </mc:Fallback>
        </mc:AlternateContent>
      </w:r>
      <w:r>
        <w:drawing>
          <wp:anchor distT="753110" distB="283845" distL="0" distR="0" simplePos="0" relativeHeight="125829472" behindDoc="0" locked="0" layoutInCell="1" allowOverlap="1">
            <wp:simplePos x="0" y="0"/>
            <wp:positionH relativeFrom="page">
              <wp:posOffset>5347970</wp:posOffset>
            </wp:positionH>
            <wp:positionV relativeFrom="paragraph">
              <wp:posOffset>753110</wp:posOffset>
            </wp:positionV>
            <wp:extent cx="908050" cy="499745"/>
            <wp:wrapTopAndBottom/>
            <wp:docPr id="273" name="Shape 273"/>
            <a:graphic xmlns:a="http://schemas.openxmlformats.org/drawingml/2006/main">
              <a:graphicData uri="http://schemas.openxmlformats.org/drawingml/2006/picture">
                <pic:pic xmlns:pic="http://schemas.openxmlformats.org/drawingml/2006/picture">
                  <pic:nvPicPr>
                    <pic:cNvPr id="274" name="Picture box 274"/>
                    <pic:cNvPicPr/>
                  </pic:nvPicPr>
                  <pic:blipFill>
                    <a:blip r:embed="rId154"/>
                    <a:stretch/>
                  </pic:blipFill>
                  <pic:spPr>
                    <a:xfrm>
                      <a:ext cx="908050" cy="499745"/>
                    </a:xfrm>
                    <a:prstGeom prst="rect"/>
                  </pic:spPr>
                </pic:pic>
              </a:graphicData>
            </a:graphic>
          </wp:anchor>
        </w:drawing>
      </w:r>
    </w:p>
    <w:p>
      <w:pPr>
        <w:pStyle w:val="Style13"/>
        <w:keepNext w:val="0"/>
        <w:keepLines w:val="0"/>
        <w:widowControl w:val="0"/>
        <w:shd w:val="clear" w:color="auto" w:fill="auto"/>
        <w:bidi w:val="0"/>
        <w:spacing w:before="0" w:after="0" w:line="262" w:lineRule="auto"/>
        <w:ind w:left="0" w:right="0"/>
        <w:jc w:val="both"/>
      </w:pPr>
      <w:r>
        <w:rPr>
          <w:color w:val="000000"/>
          <w:spacing w:val="0"/>
          <w:w w:val="100"/>
          <w:position w:val="0"/>
          <w:shd w:val="clear" w:color="auto" w:fill="auto"/>
          <w:lang w:val="pt-PT" w:eastAsia="pt-PT" w:bidi="pt-PT"/>
        </w:rPr>
        <w:t>As decisões de investimento deverão observar os princípios de ética, diligência, prudência e transparência, assegurando a segregação de funções entre as etapas de análise, deliberação e execução, conforme previsto no art. 89 da Portaria MTP n° 1.467/2022.</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 xml:space="preserve">Nenhum investimento poderá ser realizado sem a comprovação de que o ativo e a instituição proponente estão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credenciados, e que o processo decisório foi formalizado, registrado e arquivado conforme esta Política.</w:t>
      </w:r>
    </w:p>
    <w:p>
      <w:pPr>
        <w:pStyle w:val="Style13"/>
        <w:keepNext w:val="0"/>
        <w:keepLines w:val="0"/>
        <w:widowControl w:val="0"/>
        <w:shd w:val="clear" w:color="auto" w:fill="auto"/>
        <w:bidi w:val="0"/>
        <w:spacing w:before="0" w:after="0" w:line="276" w:lineRule="auto"/>
        <w:ind w:left="0" w:right="0"/>
        <w:jc w:val="both"/>
        <w:sectPr>
          <w:headerReference w:type="default" r:id="rId156"/>
          <w:headerReference w:type="even" r:id="rId157"/>
          <w:footnotePr>
            <w:pos w:val="pageBottom"/>
            <w:numFmt w:val="decimal"/>
            <w:numRestart w:val="continuous"/>
          </w:footnotePr>
          <w:pgSz w:w="11900" w:h="16840"/>
          <w:pgMar w:top="2015" w:left="1542" w:right="1603" w:bottom="505" w:header="0" w:footer="77" w:gutter="0"/>
          <w:cols w:space="720"/>
          <w:noEndnote/>
          <w:rtlGutter w:val="0"/>
          <w:docGrid w:linePitch="360"/>
        </w:sectPr>
      </w:pPr>
      <w:r>
        <w:rPr>
          <w:color w:val="000000"/>
          <w:spacing w:val="0"/>
          <w:w w:val="100"/>
          <w:position w:val="0"/>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Ciclo de Deliberação sobre Novos Investimentos </w:t>
      </w:r>
      <w:r>
        <w:rPr>
          <w:color w:val="000000"/>
          <w:spacing w:val="0"/>
          <w:w w:val="100"/>
          <w:position w:val="0"/>
          <w:shd w:val="clear" w:color="auto" w:fill="auto"/>
          <w:lang w:val="pt-PT" w:eastAsia="pt-PT" w:bidi="pt-PT"/>
        </w:rPr>
        <w:t xml:space="preserve">do RPPS garante que cada decisão seja pautada em critérios técnicos, colegiados e documentados, assegurando conformidade com a legislação, mitigação de riscos e aderência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boas práticas de governança previdenciária.</w:t>
      </w:r>
    </w:p>
    <w:p>
      <w:pPr>
        <w:widowControl w:val="0"/>
        <w:spacing w:before="45" w:after="45" w:line="240" w:lineRule="exact"/>
        <w:rPr>
          <w:sz w:val="19"/>
          <w:szCs w:val="19"/>
        </w:rPr>
      </w:pPr>
    </w:p>
    <w:p>
      <w:pPr>
        <w:widowControl w:val="0"/>
        <w:spacing w:line="1" w:lineRule="exact"/>
        <w:sectPr>
          <w:footnotePr>
            <w:pos w:val="pageBottom"/>
            <w:numFmt w:val="decimal"/>
            <w:numRestart w:val="continuous"/>
          </w:footnotePr>
          <w:pgSz w:w="11900" w:h="16840"/>
          <w:pgMar w:top="2065" w:left="1526" w:right="1287" w:bottom="1664" w:header="0" w:footer="3" w:gutter="0"/>
          <w:cols w:space="720"/>
          <w:noEndnote/>
          <w:rtlGutter w:val="0"/>
          <w:docGrid w:linePitch="360"/>
        </w:sectPr>
      </w:pPr>
    </w:p>
    <w:p>
      <w:pPr>
        <w:widowControl w:val="0"/>
        <w:spacing w:line="1" w:lineRule="exact"/>
      </w:pPr>
      <w:r>
        <w:drawing>
          <wp:anchor distT="0" distB="0" distL="12700" distR="12700" simplePos="0" relativeHeight="125829473" behindDoc="0" locked="0" layoutInCell="1" allowOverlap="1">
            <wp:simplePos x="0" y="0"/>
            <wp:positionH relativeFrom="page">
              <wp:posOffset>4427855</wp:posOffset>
            </wp:positionH>
            <wp:positionV relativeFrom="paragraph">
              <wp:posOffset>12700</wp:posOffset>
            </wp:positionV>
            <wp:extent cx="286385" cy="304800"/>
            <wp:wrapSquare wrapText="left"/>
            <wp:docPr id="279" name="Shape 279"/>
            <a:graphic xmlns:a="http://schemas.openxmlformats.org/drawingml/2006/main">
              <a:graphicData uri="http://schemas.openxmlformats.org/drawingml/2006/picture">
                <pic:pic xmlns:pic="http://schemas.openxmlformats.org/drawingml/2006/picture">
                  <pic:nvPicPr>
                    <pic:cNvPr id="280" name="Picture box 280"/>
                    <pic:cNvPicPr/>
                  </pic:nvPicPr>
                  <pic:blipFill>
                    <a:blip r:embed="rId158"/>
                    <a:stretch/>
                  </pic:blipFill>
                  <pic:spPr>
                    <a:xfrm>
                      <a:ext cx="286385" cy="304800"/>
                    </a:xfrm>
                    <a:prstGeom prst="rect"/>
                  </pic:spPr>
                </pic:pic>
              </a:graphicData>
            </a:graphic>
          </wp:anchor>
        </w:drawing>
      </w:r>
    </w:p>
    <w:p>
      <w:pPr>
        <w:pStyle w:val="Style13"/>
        <w:keepNext w:val="0"/>
        <w:keepLines w:val="0"/>
        <w:widowControl w:val="0"/>
        <w:shd w:val="clear" w:color="auto" w:fill="auto"/>
        <w:bidi w:val="0"/>
        <w:spacing w:before="0" w:after="480" w:line="240" w:lineRule="auto"/>
        <w:ind w:left="0" w:right="0" w:firstLine="0"/>
        <w:jc w:val="left"/>
        <w:rPr>
          <w:sz w:val="20"/>
          <w:szCs w:val="20"/>
        </w:rPr>
      </w:pPr>
      <w:r>
        <w:rPr>
          <w:b/>
          <w:bCs/>
          <w:color w:val="4E6896"/>
          <w:spacing w:val="0"/>
          <w:w w:val="100"/>
          <w:position w:val="0"/>
          <w:sz w:val="20"/>
          <w:szCs w:val="20"/>
          <w:shd w:val="clear" w:color="auto" w:fill="auto"/>
          <w:lang w:val="pt-PT" w:eastAsia="pt-PT" w:bidi="pt-PT"/>
        </w:rPr>
        <w:t xml:space="preserve">&gt;ESTRATÉGIA PARA </w:t>
      </w:r>
      <w:r>
        <w:rPr>
          <w:b/>
          <w:bCs/>
          <w:color w:val="4E6896"/>
          <w:spacing w:val="0"/>
          <w:w w:val="100"/>
          <w:position w:val="0"/>
          <w:sz w:val="20"/>
          <w:szCs w:val="20"/>
          <w:shd w:val="clear" w:color="auto" w:fill="auto"/>
          <w:lang w:val="pt-BR" w:eastAsia="pt-BR" w:bidi="pt-BR"/>
        </w:rPr>
        <w:t xml:space="preserve">ALOCAÇÃO </w:t>
      </w:r>
      <w:r>
        <w:rPr>
          <w:b/>
          <w:bCs/>
          <w:color w:val="4E6896"/>
          <w:spacing w:val="0"/>
          <w:w w:val="100"/>
          <w:position w:val="0"/>
          <w:sz w:val="20"/>
          <w:szCs w:val="20"/>
          <w:shd w:val="clear" w:color="auto" w:fill="auto"/>
          <w:lang w:val="pt-PT" w:eastAsia="pt-PT" w:bidi="pt-PT"/>
        </w:rPr>
        <w:t>DE RECURSOS</w:t>
      </w:r>
    </w:p>
    <w:p>
      <w:pPr>
        <w:pStyle w:val="Style13"/>
        <w:keepNext w:val="0"/>
        <w:keepLines w:val="0"/>
        <w:widowControl w:val="0"/>
        <w:shd w:val="clear" w:color="auto" w:fill="auto"/>
        <w:bidi w:val="0"/>
        <w:spacing w:before="0" w:line="266" w:lineRule="auto"/>
        <w:ind w:left="0" w:right="0"/>
        <w:jc w:val="both"/>
      </w:pPr>
      <w:r>
        <w:rPr>
          <w:color w:val="000000"/>
          <w:spacing w:val="0"/>
          <w:w w:val="100"/>
          <w:position w:val="0"/>
          <w:shd w:val="clear" w:color="auto" w:fill="auto"/>
          <w:lang w:val="pt-PT" w:eastAsia="pt-PT" w:bidi="pt-PT"/>
        </w:rPr>
        <w:t xml:space="preserve">O Anexo I apresenta a a locação-objetivo e os limites de aplicação em cada um dos segmentos definidos pela Resolução CMN n° 5.272/2025. Essa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 xml:space="preserve">tem como intuito determinar a </w:t>
      </w:r>
      <w:r>
        <w:rPr>
          <w:color w:val="000000"/>
          <w:spacing w:val="0"/>
          <w:w w:val="100"/>
          <w:position w:val="0"/>
          <w:shd w:val="clear" w:color="auto" w:fill="auto"/>
          <w:lang w:val="pt-BR" w:eastAsia="pt-BR" w:bidi="pt-BR"/>
        </w:rPr>
        <w:t xml:space="preserve">alocação </w:t>
      </w:r>
      <w:r>
        <w:rPr>
          <w:color w:val="000000"/>
          <w:spacing w:val="0"/>
          <w:w w:val="100"/>
          <w:position w:val="0"/>
          <w:shd w:val="clear" w:color="auto" w:fill="auto"/>
          <w:lang w:val="pt-PT" w:eastAsia="pt-PT" w:bidi="pt-PT"/>
        </w:rPr>
        <w:t>estratégica a ser perseguida ao longo do exercício desta Política de Investimentos que melhor reflita as necessidades do passivo.</w:t>
      </w:r>
    </w:p>
    <w:p>
      <w:pPr>
        <w:pStyle w:val="Style13"/>
        <w:keepNext w:val="0"/>
        <w:keepLines w:val="0"/>
        <w:widowControl w:val="0"/>
        <w:shd w:val="clear" w:color="auto" w:fill="auto"/>
        <w:bidi w:val="0"/>
        <w:spacing w:before="0"/>
        <w:ind w:left="0" w:right="0"/>
        <w:jc w:val="both"/>
        <w:rPr>
          <w:sz w:val="18"/>
          <w:szCs w:val="18"/>
        </w:rPr>
      </w:pPr>
      <w:r>
        <w:rPr>
          <w:color w:val="000000"/>
          <w:spacing w:val="0"/>
          <w:w w:val="100"/>
          <w:position w:val="0"/>
          <w:sz w:val="19"/>
          <w:szCs w:val="19"/>
          <w:shd w:val="clear" w:color="auto" w:fill="auto"/>
          <w:lang w:val="pt-PT" w:eastAsia="pt-PT" w:bidi="pt-PT"/>
        </w:rPr>
        <w:t xml:space="preserve">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z w:val="19"/>
          <w:szCs w:val="19"/>
          <w:shd w:val="clear" w:color="auto" w:fill="auto"/>
          <w:lang w:val="pt-PT" w:eastAsia="pt-PT" w:bidi="pt-PT"/>
        </w:rPr>
        <w:t xml:space="preserve">seguirá as determinações e obrigatoriedades do art. 137 da Portaria MTP n° 1.467/2022, pela qual o Ministério da Previdência Social (MPS) determinou requisitos para classificar os Regimes Próprios de Previdência Social (RPPS) quanto ao tipo de investidor em que se enquadram, o RPPS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z w:val="19"/>
          <w:szCs w:val="19"/>
          <w:shd w:val="clear" w:color="auto" w:fill="auto"/>
          <w:lang w:val="pt-PT" w:eastAsia="pt-PT" w:bidi="pt-PT"/>
        </w:rPr>
        <w:t xml:space="preserve">se enquadra como </w:t>
      </w:r>
      <w:r>
        <w:rPr>
          <w:b/>
          <w:bCs/>
          <w:color w:val="000000"/>
          <w:spacing w:val="0"/>
          <w:w w:val="100"/>
          <w:position w:val="0"/>
          <w:sz w:val="18"/>
          <w:szCs w:val="18"/>
          <w:shd w:val="clear" w:color="auto" w:fill="auto"/>
          <w:lang w:val="pt-PT" w:eastAsia="pt-PT" w:bidi="pt-PT"/>
        </w:rPr>
        <w:t>Investidor Geral.</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 xml:space="preserve">Além disso, o RPPS seguirá as orientações emanadas do seu Tribunal de Contas no momento de realizar </w:t>
      </w:r>
      <w:r>
        <w:rPr>
          <w:color w:val="000000"/>
          <w:spacing w:val="0"/>
          <w:w w:val="100"/>
          <w:position w:val="0"/>
          <w:shd w:val="clear" w:color="auto" w:fill="auto"/>
          <w:lang w:val="pt-BR" w:eastAsia="pt-BR" w:bidi="pt-BR"/>
        </w:rPr>
        <w:t xml:space="preserve">alocações </w:t>
      </w:r>
      <w:r>
        <w:rPr>
          <w:color w:val="000000"/>
          <w:spacing w:val="0"/>
          <w:w w:val="100"/>
          <w:position w:val="0"/>
          <w:shd w:val="clear" w:color="auto" w:fill="auto"/>
          <w:lang w:val="pt-PT" w:eastAsia="pt-PT" w:bidi="pt-PT"/>
        </w:rPr>
        <w:t>e futuras aplicações.</w:t>
      </w:r>
    </w:p>
    <w:p>
      <w:pPr>
        <w:pStyle w:val="Style13"/>
        <w:keepNext w:val="0"/>
        <w:keepLines w:val="0"/>
        <w:widowControl w:val="0"/>
        <w:shd w:val="clear" w:color="auto" w:fill="auto"/>
        <w:bidi w:val="0"/>
        <w:spacing w:before="0" w:line="269" w:lineRule="auto"/>
        <w:ind w:left="0" w:right="0"/>
        <w:jc w:val="both"/>
      </w:pPr>
      <w:r>
        <w:rPr>
          <w:color w:val="000000"/>
          <w:spacing w:val="0"/>
          <w:w w:val="100"/>
          <w:position w:val="0"/>
          <w:shd w:val="clear" w:color="auto" w:fill="auto"/>
          <w:lang w:val="pt-PT" w:eastAsia="pt-PT" w:bidi="pt-PT"/>
        </w:rPr>
        <w:t xml:space="preserve">Com essa estratégia alvo 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 xml:space="preserve">tem o intuito de buscar a melhor rentabilidade com menos volatilidade. Como já mencionado no cenário </w:t>
      </w:r>
      <w:r>
        <w:rPr>
          <w:color w:val="000000"/>
          <w:spacing w:val="0"/>
          <w:w w:val="100"/>
          <w:position w:val="0"/>
          <w:shd w:val="clear" w:color="auto" w:fill="auto"/>
          <w:lang w:val="pt-BR" w:eastAsia="pt-BR" w:bidi="pt-BR"/>
        </w:rPr>
        <w:t xml:space="preserve">econômico, acredita-se </w:t>
      </w:r>
      <w:r>
        <w:rPr>
          <w:color w:val="000000"/>
          <w:spacing w:val="0"/>
          <w:w w:val="100"/>
          <w:position w:val="0"/>
          <w:shd w:val="clear" w:color="auto" w:fill="auto"/>
          <w:lang w:val="pt-PT" w:eastAsia="pt-PT" w:bidi="pt-PT"/>
        </w:rPr>
        <w:t xml:space="preserve">que o ano de 2026 será repleto de desafios, assim, novas alternativas de investimentos poderão surgir - ou seja, alternativas que não estão contempladas na estratégia-alvo -, e, neste caso, serão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analisadas. Havendo decisão pelo investimento e caso este não esteja previsto no limite superior, será necessária a alteração desta política de investimentos, conforme a legislação vigente.</w:t>
      </w:r>
    </w:p>
    <w:p>
      <w:pPr>
        <w:pStyle w:val="Style13"/>
        <w:keepNext w:val="0"/>
        <w:keepLines w:val="0"/>
        <w:widowControl w:val="0"/>
        <w:shd w:val="clear" w:color="auto" w:fill="auto"/>
        <w:bidi w:val="0"/>
        <w:spacing w:before="0" w:line="276" w:lineRule="auto"/>
        <w:ind w:left="0" w:right="0"/>
        <w:jc w:val="both"/>
      </w:pPr>
      <w:r>
        <w:drawing>
          <wp:anchor distT="3314700" distB="521335" distL="114300" distR="1202055" simplePos="0" relativeHeight="125829474" behindDoc="0" locked="0" layoutInCell="1" allowOverlap="1">
            <wp:simplePos x="0" y="0"/>
            <wp:positionH relativeFrom="page">
              <wp:posOffset>5552440</wp:posOffset>
            </wp:positionH>
            <wp:positionV relativeFrom="margin">
              <wp:posOffset>7827010</wp:posOffset>
            </wp:positionV>
            <wp:extent cx="560705" cy="280670"/>
            <wp:wrapTopAndBottom/>
            <wp:docPr id="281" name="Shape 281"/>
            <a:graphic xmlns:a="http://schemas.openxmlformats.org/drawingml/2006/main">
              <a:graphicData uri="http://schemas.openxmlformats.org/drawingml/2006/picture">
                <pic:pic xmlns:pic="http://schemas.openxmlformats.org/drawingml/2006/picture">
                  <pic:nvPicPr>
                    <pic:cNvPr id="282" name="Picture box 282"/>
                    <pic:cNvPicPr/>
                  </pic:nvPicPr>
                  <pic:blipFill>
                    <a:blip r:embed="rId160"/>
                    <a:stretch/>
                  </pic:blipFill>
                  <pic:spPr>
                    <a:xfrm>
                      <a:ext cx="560705" cy="280670"/>
                    </a:xfrm>
                    <a:prstGeom prst="rect"/>
                  </pic:spPr>
                </pic:pic>
              </a:graphicData>
            </a:graphic>
          </wp:anchor>
        </w:drawing>
      </w:r>
      <w:r>
        <w:drawing>
          <wp:anchor distT="3529330" distB="0" distL="1065530" distR="113665" simplePos="0" relativeHeight="125829475" behindDoc="0" locked="0" layoutInCell="1" allowOverlap="1">
            <wp:simplePos x="0" y="0"/>
            <wp:positionH relativeFrom="page">
              <wp:posOffset>6503670</wp:posOffset>
            </wp:positionH>
            <wp:positionV relativeFrom="margin">
              <wp:posOffset>8041640</wp:posOffset>
            </wp:positionV>
            <wp:extent cx="701040" cy="585470"/>
            <wp:wrapTopAndBottom/>
            <wp:docPr id="283" name="Shape 283"/>
            <a:graphic xmlns:a="http://schemas.openxmlformats.org/drawingml/2006/main">
              <a:graphicData uri="http://schemas.openxmlformats.org/drawingml/2006/picture">
                <pic:pic xmlns:pic="http://schemas.openxmlformats.org/drawingml/2006/picture">
                  <pic:nvPicPr>
                    <pic:cNvPr id="284" name="Picture box 284"/>
                    <pic:cNvPicPr/>
                  </pic:nvPicPr>
                  <pic:blipFill>
                    <a:blip r:embed="rId162"/>
                    <a:stretch/>
                  </pic:blipFill>
                  <pic:spPr>
                    <a:xfrm>
                      <a:ext cx="701040" cy="585470"/>
                    </a:xfrm>
                    <a:prstGeom prst="rect"/>
                  </pic:spPr>
                </pic:pic>
              </a:graphicData>
            </a:graphic>
          </wp:anchor>
        </w:drawing>
      </w:r>
      <w:r>
        <w:rPr>
          <w:color w:val="000000"/>
          <w:spacing w:val="0"/>
          <w:w w:val="100"/>
          <w:position w:val="0"/>
          <w:shd w:val="clear" w:color="auto" w:fill="auto"/>
          <w:lang w:val="pt-PT" w:eastAsia="pt-PT" w:bidi="pt-PT"/>
        </w:rPr>
        <w:t xml:space="preserve">Em resumo, os investimentos do </w:t>
      </w:r>
      <w:r>
        <w:rPr>
          <w:b/>
          <w:bCs/>
          <w:color w:val="000000"/>
          <w:spacing w:val="0"/>
          <w:w w:val="100"/>
          <w:position w:val="0"/>
          <w:sz w:val="18"/>
          <w:szCs w:val="18"/>
          <w:shd w:val="clear" w:color="auto" w:fill="auto"/>
          <w:lang w:val="pt-PT" w:eastAsia="pt-PT" w:bidi="pt-PT"/>
        </w:rPr>
        <w:t xml:space="preserve">FUNDO DE APOSENTADORIA E PENSÕES DOS SERVIDORES MUNICIPAIS DE ENVIRA </w:t>
      </w:r>
      <w:r>
        <w:rPr>
          <w:color w:val="000000"/>
          <w:spacing w:val="0"/>
          <w:w w:val="100"/>
          <w:position w:val="0"/>
          <w:shd w:val="clear" w:color="auto" w:fill="auto"/>
          <w:lang w:val="pt-PT" w:eastAsia="pt-PT" w:bidi="pt-PT"/>
        </w:rPr>
        <w:t>em 2026, seguirão a distribuição conforme tabela anexa a este documento.</w:t>
      </w:r>
      <w:r>
        <w:br w:type="page"/>
      </w:r>
    </w:p>
    <w:p>
      <w:pPr>
        <w:widowControl w:val="0"/>
        <w:spacing w:line="1" w:lineRule="exact"/>
      </w:pPr>
      <w:r>
        <w:drawing>
          <wp:anchor distT="0" distB="38100" distL="0" distR="0" simplePos="0" relativeHeight="125829476" behindDoc="0" locked="0" layoutInCell="1" allowOverlap="1">
            <wp:simplePos x="0" y="0"/>
            <wp:positionH relativeFrom="page">
              <wp:posOffset>1698625</wp:posOffset>
            </wp:positionH>
            <wp:positionV relativeFrom="paragraph">
              <wp:posOffset>0</wp:posOffset>
            </wp:positionV>
            <wp:extent cx="280670" cy="304800"/>
            <wp:wrapTopAndBottom/>
            <wp:docPr id="285" name="Shape 285"/>
            <a:graphic xmlns:a="http://schemas.openxmlformats.org/drawingml/2006/main">
              <a:graphicData uri="http://schemas.openxmlformats.org/drawingml/2006/picture">
                <pic:pic xmlns:pic="http://schemas.openxmlformats.org/drawingml/2006/picture">
                  <pic:nvPicPr>
                    <pic:cNvPr id="286" name="Picture box 286"/>
                    <pic:cNvPicPr/>
                  </pic:nvPicPr>
                  <pic:blipFill>
                    <a:blip r:embed="rId164"/>
                    <a:stretch/>
                  </pic:blipFill>
                  <pic:spPr>
                    <a:xfrm>
                      <a:ext cx="280670" cy="304800"/>
                    </a:xfrm>
                    <a:prstGeom prst="rect"/>
                  </pic:spPr>
                </pic:pic>
              </a:graphicData>
            </a:graphic>
          </wp:anchor>
        </w:drawing>
      </w:r>
    </w:p>
    <w:p>
      <w:pPr>
        <w:pStyle w:val="Style13"/>
        <w:keepNext w:val="0"/>
        <w:keepLines w:val="0"/>
        <w:widowControl w:val="0"/>
        <w:numPr>
          <w:ilvl w:val="0"/>
          <w:numId w:val="15"/>
        </w:numPr>
        <w:shd w:val="clear" w:color="auto" w:fill="auto"/>
        <w:tabs>
          <w:tab w:pos="1407" w:val="left"/>
        </w:tabs>
        <w:bidi w:val="0"/>
        <w:spacing w:before="0" w:line="310" w:lineRule="auto"/>
        <w:ind w:left="0" w:right="0" w:firstLine="740"/>
        <w:jc w:val="both"/>
      </w:pPr>
      <w:r>
        <w:rPr>
          <w:color w:val="000000"/>
          <w:spacing w:val="0"/>
          <w:w w:val="100"/>
          <w:position w:val="0"/>
          <w:shd w:val="clear" w:color="auto" w:fill="auto"/>
          <w:lang w:val="pt-PT" w:eastAsia="pt-PT" w:bidi="pt-PT"/>
        </w:rPr>
        <w:t xml:space="preserve">Aplicar os recursos em cotas de fundos de investimentos, cuja atuação em mercados de derivativos gere exposições superiores ao </w:t>
      </w:r>
      <w:r>
        <w:rPr>
          <w:color w:val="000000"/>
          <w:spacing w:val="0"/>
          <w:w w:val="100"/>
          <w:position w:val="0"/>
          <w:shd w:val="clear" w:color="auto" w:fill="auto"/>
          <w:lang w:val="pt-BR" w:eastAsia="pt-BR" w:bidi="pt-BR"/>
        </w:rPr>
        <w:t xml:space="preserve">respectivo patrimônio </w:t>
      </w:r>
      <w:r>
        <w:rPr>
          <w:color w:val="000000"/>
          <w:spacing w:val="0"/>
          <w:w w:val="100"/>
          <w:position w:val="0"/>
          <w:shd w:val="clear" w:color="auto" w:fill="auto"/>
          <w:lang w:val="pt-PT" w:eastAsia="pt-PT" w:bidi="pt-PT"/>
        </w:rPr>
        <w:t>líquido;</w:t>
      </w:r>
    </w:p>
    <w:p>
      <w:pPr>
        <w:pStyle w:val="Style13"/>
        <w:keepNext w:val="0"/>
        <w:keepLines w:val="0"/>
        <w:widowControl w:val="0"/>
        <w:numPr>
          <w:ilvl w:val="0"/>
          <w:numId w:val="15"/>
        </w:numPr>
        <w:shd w:val="clear" w:color="auto" w:fill="auto"/>
        <w:tabs>
          <w:tab w:pos="1407" w:val="left"/>
        </w:tabs>
        <w:bidi w:val="0"/>
        <w:spacing w:before="0" w:line="276" w:lineRule="auto"/>
        <w:ind w:left="0" w:right="0" w:firstLine="740"/>
        <w:jc w:val="both"/>
      </w:pPr>
      <w:r>
        <w:rPr>
          <w:color w:val="000000"/>
          <w:spacing w:val="0"/>
          <w:w w:val="100"/>
          <w:position w:val="0"/>
          <w:shd w:val="clear" w:color="auto" w:fill="auto"/>
          <w:lang w:val="pt-PT" w:eastAsia="pt-PT" w:bidi="pt-PT"/>
        </w:rPr>
        <w:t>Aplicar recursos, diretamente ou por meio de cotas de fundo de investimento, em títulos ou outros ativos financeiros nos quais o ente federativo figure como emissor, devedor ou preste fiança, aval, aceite ou coobrigação sob qualquer outra forma;</w:t>
      </w:r>
    </w:p>
    <w:p>
      <w:pPr>
        <w:pStyle w:val="Style13"/>
        <w:keepNext w:val="0"/>
        <w:keepLines w:val="0"/>
        <w:widowControl w:val="0"/>
        <w:numPr>
          <w:ilvl w:val="0"/>
          <w:numId w:val="15"/>
        </w:numPr>
        <w:shd w:val="clear" w:color="auto" w:fill="auto"/>
        <w:tabs>
          <w:tab w:pos="1407" w:val="left"/>
        </w:tabs>
        <w:bidi w:val="0"/>
        <w:spacing w:before="0" w:line="276" w:lineRule="auto"/>
        <w:ind w:left="0" w:right="0" w:firstLine="740"/>
        <w:jc w:val="both"/>
      </w:pPr>
      <w:r>
        <w:rPr>
          <w:color w:val="000000"/>
          <w:spacing w:val="0"/>
          <w:w w:val="100"/>
          <w:position w:val="0"/>
          <w:shd w:val="clear" w:color="auto" w:fill="auto"/>
          <w:lang w:val="pt-PT" w:eastAsia="pt-PT" w:bidi="pt-PT"/>
        </w:rPr>
        <w:t>Aplicar recursos na aquisição de cotas de fundo de investimento em direitos creditórios não padronizados;</w:t>
      </w:r>
    </w:p>
    <w:p>
      <w:pPr>
        <w:pStyle w:val="Style13"/>
        <w:keepNext w:val="0"/>
        <w:keepLines w:val="0"/>
        <w:widowControl w:val="0"/>
        <w:numPr>
          <w:ilvl w:val="0"/>
          <w:numId w:val="15"/>
        </w:numPr>
        <w:shd w:val="clear" w:color="auto" w:fill="auto"/>
        <w:tabs>
          <w:tab w:pos="1407" w:val="left"/>
        </w:tabs>
        <w:bidi w:val="0"/>
        <w:spacing w:before="0" w:line="276" w:lineRule="auto"/>
        <w:ind w:left="0" w:right="0" w:firstLine="740"/>
        <w:jc w:val="both"/>
      </w:pPr>
      <w:r>
        <w:rPr>
          <w:color w:val="000000"/>
          <w:spacing w:val="0"/>
          <w:w w:val="100"/>
          <w:position w:val="0"/>
          <w:shd w:val="clear" w:color="auto" w:fill="auto"/>
          <w:lang w:val="pt-PT" w:eastAsia="pt-PT" w:bidi="pt-PT"/>
        </w:rPr>
        <w:t xml:space="preserve">Realizar diretamente operações de compra e venda de um mesmo ativo financeiro em um mesmo dia (operações </w:t>
      </w:r>
      <w:r>
        <w:rPr>
          <w:b/>
          <w:bCs/>
          <w:i/>
          <w:iCs/>
          <w:color w:val="000000"/>
          <w:spacing w:val="0"/>
          <w:w w:val="100"/>
          <w:position w:val="0"/>
          <w:shd w:val="clear" w:color="auto" w:fill="auto"/>
          <w:lang w:val="pt-PT" w:eastAsia="pt-PT" w:bidi="pt-PT"/>
        </w:rPr>
        <w:t>daytrade)-,</w:t>
      </w:r>
    </w:p>
    <w:p>
      <w:pPr>
        <w:pStyle w:val="Style13"/>
        <w:keepNext w:val="0"/>
        <w:keepLines w:val="0"/>
        <w:widowControl w:val="0"/>
        <w:numPr>
          <w:ilvl w:val="0"/>
          <w:numId w:val="15"/>
        </w:numPr>
        <w:shd w:val="clear" w:color="auto" w:fill="auto"/>
        <w:tabs>
          <w:tab w:pos="1407" w:val="left"/>
        </w:tabs>
        <w:bidi w:val="0"/>
        <w:spacing w:before="0" w:line="269" w:lineRule="auto"/>
        <w:ind w:left="0" w:right="0" w:firstLine="740"/>
        <w:jc w:val="both"/>
      </w:pPr>
      <w:r>
        <w:rPr>
          <w:color w:val="000000"/>
          <w:spacing w:val="0"/>
          <w:w w:val="100"/>
          <w:position w:val="0"/>
          <w:shd w:val="clear" w:color="auto" w:fill="auto"/>
          <w:lang w:val="pt-PT" w:eastAsia="pt-PT" w:bidi="pt-PT"/>
        </w:rPr>
        <w:t>Atuar em modalidades operacionais ou negociar duplicatas, títulos de crédito ou outros ativos que não os previstos nesta Resolução;</w:t>
      </w:r>
    </w:p>
    <w:p>
      <w:pPr>
        <w:pStyle w:val="Style13"/>
        <w:keepNext w:val="0"/>
        <w:keepLines w:val="0"/>
        <w:widowControl w:val="0"/>
        <w:numPr>
          <w:ilvl w:val="0"/>
          <w:numId w:val="15"/>
        </w:numPr>
        <w:shd w:val="clear" w:color="auto" w:fill="auto"/>
        <w:tabs>
          <w:tab w:pos="1407" w:val="left"/>
        </w:tabs>
        <w:bidi w:val="0"/>
        <w:spacing w:before="0"/>
        <w:ind w:left="0" w:right="0" w:firstLine="740"/>
        <w:jc w:val="both"/>
      </w:pPr>
      <w:r>
        <w:rPr>
          <w:color w:val="000000"/>
          <w:spacing w:val="0"/>
          <w:w w:val="100"/>
          <w:position w:val="0"/>
          <w:shd w:val="clear" w:color="auto" w:fill="auto"/>
          <w:lang w:val="pt-PT" w:eastAsia="pt-PT" w:bidi="pt-PT"/>
        </w:rPr>
        <w:t>Negociar cotas de fundos de índice em mercado de balcão;</w:t>
      </w:r>
    </w:p>
    <w:p>
      <w:pPr>
        <w:pStyle w:val="Style13"/>
        <w:keepNext w:val="0"/>
        <w:keepLines w:val="0"/>
        <w:widowControl w:val="0"/>
        <w:numPr>
          <w:ilvl w:val="0"/>
          <w:numId w:val="15"/>
        </w:numPr>
        <w:shd w:val="clear" w:color="auto" w:fill="auto"/>
        <w:tabs>
          <w:tab w:pos="1407" w:val="left"/>
        </w:tabs>
        <w:bidi w:val="0"/>
        <w:spacing w:before="0" w:line="269" w:lineRule="auto"/>
        <w:ind w:left="0" w:right="0" w:firstLine="740"/>
        <w:jc w:val="both"/>
      </w:pPr>
      <w:r>
        <w:rPr>
          <w:color w:val="000000"/>
          <w:spacing w:val="0"/>
          <w:w w:val="100"/>
          <w:position w:val="0"/>
          <w:shd w:val="clear" w:color="auto" w:fill="auto"/>
          <w:lang w:val="pt-PT" w:eastAsia="pt-PT" w:bidi="pt-PT"/>
        </w:rPr>
        <w:t>Aplicar recursos diretamente na aquisição de cotas de fundo de investimento destinado exclusivamente a investidores qualificados ou profissionais, quando não atendidos os critérios estabelecidos em regulamentação específica;</w:t>
      </w:r>
    </w:p>
    <w:p>
      <w:pPr>
        <w:pStyle w:val="Style13"/>
        <w:keepNext w:val="0"/>
        <w:keepLines w:val="0"/>
        <w:widowControl w:val="0"/>
        <w:numPr>
          <w:ilvl w:val="0"/>
          <w:numId w:val="15"/>
        </w:numPr>
        <w:shd w:val="clear" w:color="auto" w:fill="auto"/>
        <w:tabs>
          <w:tab w:pos="1407" w:val="left"/>
        </w:tabs>
        <w:bidi w:val="0"/>
        <w:spacing w:before="0" w:line="269" w:lineRule="auto"/>
        <w:ind w:left="0" w:right="0" w:firstLine="740"/>
        <w:jc w:val="both"/>
      </w:pPr>
      <w:r>
        <w:rPr>
          <w:color w:val="000000"/>
          <w:spacing w:val="0"/>
          <w:w w:val="100"/>
          <w:position w:val="0"/>
          <w:shd w:val="clear" w:color="auto" w:fill="auto"/>
          <w:lang w:val="pt-PT" w:eastAsia="pt-PT" w:bidi="pt-PT"/>
        </w:rPr>
        <w:t>Remunerar quaisquer prestadores de serviço relacionados, direta ou indireta mente, aos fundos de investimento em que foram aplicados seus recursos, de forma distinta das seguintes: a) taxas de administração, performance, ingresso ou saída, previstas em regulamento ou contrato de carteira administrada; ou b) encargos do fundo, nos termos da regulamentação da Comissão de Valores Mobiliários (CVM);</w:t>
      </w:r>
    </w:p>
    <w:p>
      <w:pPr>
        <w:pStyle w:val="Style13"/>
        <w:keepNext w:val="0"/>
        <w:keepLines w:val="0"/>
        <w:widowControl w:val="0"/>
        <w:numPr>
          <w:ilvl w:val="0"/>
          <w:numId w:val="15"/>
        </w:numPr>
        <w:shd w:val="clear" w:color="auto" w:fill="auto"/>
        <w:tabs>
          <w:tab w:pos="1407" w:val="left"/>
        </w:tabs>
        <w:bidi w:val="0"/>
        <w:spacing w:before="0" w:after="0"/>
        <w:ind w:left="0" w:right="0" w:firstLine="740"/>
        <w:jc w:val="both"/>
      </w:pPr>
      <w:r>
        <mc:AlternateContent>
          <mc:Choice Requires="wps">
            <w:drawing>
              <wp:anchor distT="0" distB="0" distL="38100" distR="38100" simplePos="0" relativeHeight="125829477" behindDoc="0" locked="0" layoutInCell="1" allowOverlap="1">
                <wp:simplePos x="0" y="0"/>
                <wp:positionH relativeFrom="page">
                  <wp:posOffset>1337310</wp:posOffset>
                </wp:positionH>
                <wp:positionV relativeFrom="paragraph">
                  <wp:posOffset>152400</wp:posOffset>
                </wp:positionV>
                <wp:extent cx="397510" cy="173990"/>
                <wp:wrapTopAndBottom/>
                <wp:docPr id="287" name="Shape 287"/>
                <a:graphic xmlns:a="http://schemas.openxmlformats.org/drawingml/2006/main">
                  <a:graphicData uri="http://schemas.microsoft.com/office/word/2010/wordprocessingShape">
                    <wps:wsp>
                      <wps:cNvSpPr txBox="1"/>
                      <wps:spPr>
                        <a:xfrm>
                          <a:ext cx="397510" cy="1739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(COE);</w:t>
                            </w:r>
                          </w:p>
                        </w:txbxContent>
                      </wps:txbx>
                      <wps:bodyPr wrap="none" lIns="0" tIns="0" rIns="0" bIns="0">
                        <a:noAutoFit/>
                      </wps:bodyPr>
                    </wps:wsp>
                  </a:graphicData>
                </a:graphic>
              </wp:anchor>
            </w:drawing>
          </mc:Choice>
          <mc:Fallback>
            <w:pict>
              <v:shape id="_x0000_s1313" type="#_x0000_t202" style="position:absolute;margin-left:105.3pt;margin-top:12.pt;width:31.300000000000001pt;height:13.699999999999999pt;z-index:-125829276;mso-wrap-distance-left:3.pt;mso-wrap-distance-right:3.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(COE);</w:t>
                      </w:r>
                    </w:p>
                  </w:txbxContent>
                </v:textbox>
                <w10:wrap type="topAndBottom" anchorx="page"/>
              </v:shape>
            </w:pict>
          </mc:Fallback>
        </mc:AlternateContent>
      </w:r>
      <w:r>
        <w:rPr>
          <w:color w:val="000000"/>
          <w:spacing w:val="0"/>
          <w:w w:val="100"/>
          <w:position w:val="0"/>
          <w:shd w:val="clear" w:color="auto" w:fill="auto"/>
          <w:lang w:val="pt-PT" w:eastAsia="pt-PT" w:bidi="pt-PT"/>
        </w:rPr>
        <w:t>Aplicar recursos diretamente em Certificados de Operações Estruturadas</w:t>
      </w:r>
    </w:p>
    <w:p>
      <w:pPr>
        <w:pStyle w:val="Style13"/>
        <w:keepNext w:val="0"/>
        <w:keepLines w:val="0"/>
        <w:widowControl w:val="0"/>
        <w:numPr>
          <w:ilvl w:val="0"/>
          <w:numId w:val="15"/>
        </w:numPr>
        <w:shd w:val="clear" w:color="auto" w:fill="auto"/>
        <w:tabs>
          <w:tab w:pos="1407" w:val="left"/>
        </w:tabs>
        <w:bidi w:val="0"/>
        <w:spacing w:before="100" w:line="269" w:lineRule="auto"/>
        <w:ind w:left="0" w:right="0" w:firstLine="740"/>
        <w:jc w:val="both"/>
      </w:pPr>
      <w:r>
        <w:rPr>
          <w:color w:val="000000"/>
          <w:spacing w:val="0"/>
          <w:w w:val="100"/>
          <w:position w:val="0"/>
          <w:shd w:val="clear" w:color="auto" w:fill="auto"/>
          <w:lang w:val="pt-PT" w:eastAsia="pt-PT" w:bidi="pt-PT"/>
        </w:rPr>
        <w:t xml:space="preserve">Aplicar em ativos que não possuam participantes elencados na </w:t>
      </w:r>
      <w:r>
        <w:rPr>
          <w:b/>
          <w:bCs/>
          <w:color w:val="000000"/>
          <w:spacing w:val="0"/>
          <w:w w:val="100"/>
          <w:position w:val="0"/>
          <w:sz w:val="18"/>
          <w:szCs w:val="18"/>
          <w:shd w:val="clear" w:color="auto" w:fill="auto"/>
          <w:lang w:val="pt-PT" w:eastAsia="pt-PT" w:bidi="pt-PT"/>
        </w:rPr>
        <w:t xml:space="preserve">"Lista Exaustiva", </w:t>
      </w:r>
      <w:r>
        <w:rPr>
          <w:color w:val="000000"/>
          <w:spacing w:val="0"/>
          <w:w w:val="100"/>
          <w:position w:val="0"/>
          <w:shd w:val="clear" w:color="auto" w:fill="auto"/>
          <w:lang w:val="pt-BR" w:eastAsia="pt-BR" w:bidi="pt-BR"/>
        </w:rPr>
        <w:t xml:space="preserve">disponibilizada </w:t>
      </w:r>
      <w:r>
        <w:rPr>
          <w:color w:val="000000"/>
          <w:spacing w:val="0"/>
          <w:w w:val="100"/>
          <w:position w:val="0"/>
          <w:shd w:val="clear" w:color="auto" w:fill="auto"/>
          <w:lang w:val="pt-PT" w:eastAsia="pt-PT" w:bidi="pt-PT"/>
        </w:rPr>
        <w:t>pelo Ministério da Previdência Social (MPS).</w:t>
      </w:r>
    </w:p>
    <w:p>
      <w:pPr>
        <w:widowControl w:val="0"/>
        <w:spacing w:after="4954" w:line="1" w:lineRule="exact"/>
      </w:pPr>
      <w:r>
        <w:drawing>
          <wp:anchor distT="0" distB="0" distL="0" distR="0" simplePos="0" relativeHeight="62914761" behindDoc="1" locked="0" layoutInCell="1" allowOverlap="1">
            <wp:simplePos x="0" y="0"/>
            <wp:positionH relativeFrom="page">
              <wp:posOffset>4994910</wp:posOffset>
            </wp:positionH>
            <wp:positionV relativeFrom="paragraph">
              <wp:posOffset>2400300</wp:posOffset>
            </wp:positionV>
            <wp:extent cx="1725295" cy="743585"/>
            <wp:wrapNone/>
            <wp:docPr id="289" name="Shape 289"/>
            <a:graphic xmlns:a="http://schemas.openxmlformats.org/drawingml/2006/main">
              <a:graphicData uri="http://schemas.openxmlformats.org/drawingml/2006/picture">
                <pic:pic xmlns:pic="http://schemas.openxmlformats.org/drawingml/2006/picture">
                  <pic:nvPicPr>
                    <pic:cNvPr id="290" name="Picture box 290"/>
                    <pic:cNvPicPr/>
                  </pic:nvPicPr>
                  <pic:blipFill>
                    <a:blip r:embed="rId166"/>
                    <a:stretch/>
                  </pic:blipFill>
                  <pic:spPr>
                    <a:xfrm>
                      <a:ext cx="1725295" cy="743585"/>
                    </a:xfrm>
                    <a:prstGeom prst="rect"/>
                  </pic:spPr>
                </pic:pic>
              </a:graphicData>
            </a:graphic>
          </wp:anchor>
        </w:drawing>
      </w:r>
      <w:r>
        <w:br w:type="page"/>
      </w:r>
    </w:p>
    <w:p>
      <w:pPr>
        <w:widowControl w:val="0"/>
        <w:spacing w:line="1" w:lineRule="exact"/>
      </w:pPr>
      <w:r>
        <mc:AlternateContent>
          <mc:Choice Requires="wps">
            <w:drawing>
              <wp:anchor distT="137160" distB="228600" distL="0" distR="0" simplePos="0" relativeHeight="125829479" behindDoc="0" locked="0" layoutInCell="1" allowOverlap="1">
                <wp:simplePos x="0" y="0"/>
                <wp:positionH relativeFrom="page">
                  <wp:posOffset>1074420</wp:posOffset>
                </wp:positionH>
                <wp:positionV relativeFrom="paragraph">
                  <wp:posOffset>137160</wp:posOffset>
                </wp:positionV>
                <wp:extent cx="1710055" cy="201295"/>
                <wp:wrapTopAndBottom/>
                <wp:docPr id="291" name="Shape 291"/>
                <a:graphic xmlns:a="http://schemas.openxmlformats.org/drawingml/2006/main">
                  <a:graphicData uri="http://schemas.microsoft.com/office/word/2010/wordprocessingShape">
                    <wps:wsp>
                      <wps:cNvSpPr txBox="1"/>
                      <wps:spPr>
                        <a:xfrm>
                          <a:ext cx="1710055" cy="201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4E6896"/>
                                <w:spacing w:val="0"/>
                                <w:w w:val="100"/>
                                <w:position w:val="0"/>
                                <w:sz w:val="20"/>
                                <w:szCs w:val="20"/>
                                <w:shd w:val="clear" w:color="auto" w:fill="auto"/>
                                <w:lang w:val="pt-PT" w:eastAsia="pt-PT" w:bidi="pt-PT"/>
                              </w:rPr>
                              <w:t>►DISPOSIÇÕES GERAIS</w:t>
                            </w:r>
                          </w:p>
                        </w:txbxContent>
                      </wps:txbx>
                      <wps:bodyPr wrap="none" lIns="0" tIns="0" rIns="0" bIns="0">
                        <a:noAutoFit/>
                      </wps:bodyPr>
                    </wps:wsp>
                  </a:graphicData>
                </a:graphic>
              </wp:anchor>
            </w:drawing>
          </mc:Choice>
          <mc:Fallback>
            <w:pict>
              <v:shape id="_x0000_s1317" type="#_x0000_t202" style="position:absolute;margin-left:84.599999999999994pt;margin-top:10.800000000000001pt;width:134.65000000000001pt;height:15.85pt;z-index:-125829274;mso-wrap-distance-left:0;mso-wrap-distance-top:10.800000000000001pt;mso-wrap-distance-right:0;mso-wrap-distance-bottom:18.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20"/>
                          <w:szCs w:val="20"/>
                        </w:rPr>
                      </w:pPr>
                      <w:r>
                        <w:rPr>
                          <w:b/>
                          <w:bCs/>
                          <w:color w:val="4E6896"/>
                          <w:spacing w:val="0"/>
                          <w:w w:val="100"/>
                          <w:position w:val="0"/>
                          <w:sz w:val="20"/>
                          <w:szCs w:val="20"/>
                          <w:shd w:val="clear" w:color="auto" w:fill="auto"/>
                          <w:lang w:val="pt-PT" w:eastAsia="pt-PT" w:bidi="pt-PT"/>
                        </w:rPr>
                        <w:t>►DISPOSIÇÕES GERAIS</w:t>
                      </w:r>
                    </w:p>
                  </w:txbxContent>
                </v:textbox>
                <w10:wrap type="topAndBottom" anchorx="page"/>
              </v:shape>
            </w:pict>
          </mc:Fallback>
        </mc:AlternateContent>
      </w:r>
      <w:r>
        <w:drawing>
          <wp:anchor distT="0" distB="288290" distL="0" distR="0" simplePos="0" relativeHeight="125829481" behindDoc="0" locked="0" layoutInCell="1" allowOverlap="1">
            <wp:simplePos x="0" y="0"/>
            <wp:positionH relativeFrom="page">
              <wp:posOffset>2784475</wp:posOffset>
            </wp:positionH>
            <wp:positionV relativeFrom="paragraph">
              <wp:posOffset>0</wp:posOffset>
            </wp:positionV>
            <wp:extent cx="262255" cy="280670"/>
            <wp:wrapTopAndBottom/>
            <wp:docPr id="293" name="Shape 293"/>
            <a:graphic xmlns:a="http://schemas.openxmlformats.org/drawingml/2006/main">
              <a:graphicData uri="http://schemas.openxmlformats.org/drawingml/2006/picture">
                <pic:pic xmlns:pic="http://schemas.openxmlformats.org/drawingml/2006/picture">
                  <pic:nvPicPr>
                    <pic:cNvPr id="294" name="Picture box 294"/>
                    <pic:cNvPicPr/>
                  </pic:nvPicPr>
                  <pic:blipFill>
                    <a:blip r:embed="rId168"/>
                    <a:stretch/>
                  </pic:blipFill>
                  <pic:spPr>
                    <a:xfrm>
                      <a:ext cx="262255" cy="280670"/>
                    </a:xfrm>
                    <a:prstGeom prst="rect"/>
                  </pic:spPr>
                </pic:pic>
              </a:graphicData>
            </a:graphic>
          </wp:anchor>
        </w:drawing>
      </w:r>
    </w:p>
    <w:p>
      <w:pPr>
        <w:pStyle w:val="Style13"/>
        <w:keepNext w:val="0"/>
        <w:keepLines w:val="0"/>
        <w:widowControl w:val="0"/>
        <w:shd w:val="clear" w:color="auto" w:fill="auto"/>
        <w:bidi w:val="0"/>
        <w:spacing w:before="0" w:line="264" w:lineRule="auto"/>
        <w:ind w:left="0" w:right="0" w:firstLine="760"/>
        <w:jc w:val="both"/>
      </w:pPr>
      <w:r>
        <w:rPr>
          <w:color w:val="000000"/>
          <w:spacing w:val="0"/>
          <w:w w:val="100"/>
          <w:position w:val="0"/>
          <w:shd w:val="clear" w:color="auto" w:fill="auto"/>
          <w:lang w:val="pt-PT" w:eastAsia="pt-PT" w:bidi="pt-PT"/>
        </w:rPr>
        <w:t xml:space="preserve">A presente Política de Investimentos está embasada nas avaliações do cenário </w:t>
      </w:r>
      <w:r>
        <w:rPr>
          <w:color w:val="000000"/>
          <w:spacing w:val="0"/>
          <w:w w:val="100"/>
          <w:position w:val="0"/>
          <w:shd w:val="clear" w:color="auto" w:fill="auto"/>
          <w:lang w:val="pt-BR" w:eastAsia="pt-BR" w:bidi="pt-BR"/>
        </w:rPr>
        <w:t xml:space="preserve">econômico </w:t>
      </w:r>
      <w:r>
        <w:rPr>
          <w:color w:val="000000"/>
          <w:spacing w:val="0"/>
          <w:w w:val="100"/>
          <w:position w:val="0"/>
          <w:shd w:val="clear" w:color="auto" w:fill="auto"/>
          <w:lang w:val="pt-PT" w:eastAsia="pt-PT" w:bidi="pt-PT"/>
        </w:rPr>
        <w:t xml:space="preserve">para o ano de 2026, tendo sido utilizados, para tanto, dados e cenários constantes do Relatório de Inflação, da publicação do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Política Monetária - COPOM e do Relatório de Mercado - FOCUS. O Boletim Focus é um informe que relata as projeções do mercado com base em consulta a </w:t>
      </w:r>
      <w:r>
        <w:rPr>
          <w:color w:val="000000"/>
          <w:spacing w:val="0"/>
          <w:w w:val="100"/>
          <w:position w:val="0"/>
          <w:shd w:val="clear" w:color="auto" w:fill="auto"/>
          <w:lang w:val="pt-BR" w:eastAsia="pt-BR" w:bidi="pt-BR"/>
        </w:rPr>
        <w:t xml:space="preserve">aproximadamente </w:t>
      </w:r>
      <w:r>
        <w:rPr>
          <w:color w:val="000000"/>
          <w:spacing w:val="0"/>
          <w:w w:val="100"/>
          <w:position w:val="0"/>
          <w:shd w:val="clear" w:color="auto" w:fill="auto"/>
          <w:lang w:val="pt-PT" w:eastAsia="pt-PT" w:bidi="pt-PT"/>
        </w:rPr>
        <w:t>100 (cem) instituições financeiras, e é divulgado semanalmente.</w:t>
      </w:r>
    </w:p>
    <w:p>
      <w:pPr>
        <w:pStyle w:val="Style13"/>
        <w:keepNext w:val="0"/>
        <w:keepLines w:val="0"/>
        <w:widowControl w:val="0"/>
        <w:shd w:val="clear" w:color="auto" w:fill="auto"/>
        <w:bidi w:val="0"/>
        <w:spacing w:before="0" w:line="266" w:lineRule="auto"/>
        <w:ind w:left="0" w:right="0" w:firstLine="760"/>
        <w:jc w:val="both"/>
      </w:pPr>
      <w:r>
        <w:rPr>
          <w:color w:val="000000"/>
          <w:spacing w:val="0"/>
          <w:w w:val="100"/>
          <w:position w:val="0"/>
          <w:shd w:val="clear" w:color="auto" w:fill="auto"/>
          <w:lang w:val="pt-PT" w:eastAsia="pt-PT" w:bidi="pt-PT"/>
        </w:rPr>
        <w:t xml:space="preserve">As disposições gerais contemplam os requisitos para o encerramento da Política de Investimentos. </w:t>
      </w:r>
      <w:r>
        <w:rPr>
          <w:color w:val="000000"/>
          <w:spacing w:val="0"/>
          <w:w w:val="100"/>
          <w:position w:val="0"/>
          <w:shd w:val="clear" w:color="auto" w:fill="auto"/>
          <w:lang w:val="pt-BR" w:eastAsia="pt-BR" w:bidi="pt-BR"/>
        </w:rPr>
        <w:t xml:space="preserve">Destaca-se </w:t>
      </w:r>
      <w:r>
        <w:rPr>
          <w:color w:val="000000"/>
          <w:spacing w:val="0"/>
          <w:w w:val="100"/>
          <w:position w:val="0"/>
          <w:shd w:val="clear" w:color="auto" w:fill="auto"/>
          <w:lang w:val="pt-PT" w:eastAsia="pt-PT" w:bidi="pt-PT"/>
        </w:rPr>
        <w:t xml:space="preserve">que esta política, anual de investimentos dos recursos do Regime Próprio de Previdência Social do </w:t>
      </w:r>
      <w:r>
        <w:rPr>
          <w:b/>
          <w:bCs/>
          <w:color w:val="000000"/>
          <w:spacing w:val="0"/>
          <w:w w:val="100"/>
          <w:position w:val="0"/>
          <w:sz w:val="18"/>
          <w:szCs w:val="18"/>
          <w:shd w:val="clear" w:color="auto" w:fill="auto"/>
          <w:lang w:val="pt-PT" w:eastAsia="pt-PT" w:bidi="pt-PT"/>
        </w:rPr>
        <w:t xml:space="preserve">MUNICÍPIO DE ENVIRA </w:t>
      </w:r>
      <w:r>
        <w:rPr>
          <w:color w:val="000000"/>
          <w:spacing w:val="0"/>
          <w:w w:val="100"/>
          <w:position w:val="0"/>
          <w:shd w:val="clear" w:color="auto" w:fill="auto"/>
          <w:lang w:val="pt-PT" w:eastAsia="pt-PT" w:bidi="pt-PT"/>
        </w:rPr>
        <w:t>e suas revisões deverão ser aprovadas pelo órgão superior competente, antes da sua implementação. Justificadamente, a política anual de investimentos poderá ser revista no curso de sua execução, com vistas à adequação ao mercado ou à nova legislação, conforme prevê a Resolução CMN n° 5.272/2025.</w:t>
      </w:r>
    </w:p>
    <w:p>
      <w:pPr>
        <w:pStyle w:val="Style13"/>
        <w:keepNext w:val="0"/>
        <w:keepLines w:val="0"/>
        <w:widowControl w:val="0"/>
        <w:shd w:val="clear" w:color="auto" w:fill="auto"/>
        <w:bidi w:val="0"/>
        <w:spacing w:before="0" w:line="266" w:lineRule="auto"/>
        <w:ind w:left="0" w:right="0" w:firstLine="760"/>
        <w:jc w:val="both"/>
      </w:pPr>
      <w:r>
        <w:rPr>
          <w:color w:val="000000"/>
          <w:spacing w:val="0"/>
          <w:w w:val="100"/>
          <w:position w:val="0"/>
          <w:shd w:val="clear" w:color="auto" w:fill="auto"/>
          <w:lang w:val="pt-PT" w:eastAsia="pt-PT" w:bidi="pt-PT"/>
        </w:rPr>
        <w:t xml:space="preserve">Além disso, o </w:t>
      </w:r>
      <w:r>
        <w:rPr>
          <w:b/>
          <w:bCs/>
          <w:color w:val="000000"/>
          <w:spacing w:val="0"/>
          <w:w w:val="100"/>
          <w:position w:val="0"/>
          <w:sz w:val="18"/>
          <w:szCs w:val="18"/>
          <w:shd w:val="clear" w:color="auto" w:fill="auto"/>
          <w:lang w:val="pt-PT" w:eastAsia="pt-PT" w:bidi="pt-PT"/>
        </w:rPr>
        <w:t xml:space="preserve">RPPS </w:t>
      </w:r>
      <w:r>
        <w:rPr>
          <w:color w:val="000000"/>
          <w:spacing w:val="0"/>
          <w:w w:val="100"/>
          <w:position w:val="0"/>
          <w:shd w:val="clear" w:color="auto" w:fill="auto"/>
          <w:lang w:val="pt-PT" w:eastAsia="pt-PT" w:bidi="pt-PT"/>
        </w:rPr>
        <w:t xml:space="preserve">deverá comprovar junto ao MPS que o responsável pela gestão dos seus recursos, pessoa física vinculada ao ente federativo ou a unidade gestora do regime como servidor titular de cargo efetivo ou de livre nomeação e exoneração, designado para a função por ato da autoridade competente, tenha sido aprovado em exame de certificação organizado por entidade </w:t>
      </w:r>
      <w:r>
        <w:rPr>
          <w:color w:val="000000"/>
          <w:spacing w:val="0"/>
          <w:w w:val="100"/>
          <w:position w:val="0"/>
          <w:shd w:val="clear" w:color="auto" w:fill="auto"/>
          <w:lang w:val="pt-BR" w:eastAsia="pt-BR" w:bidi="pt-BR"/>
        </w:rPr>
        <w:t xml:space="preserve">autônoma </w:t>
      </w:r>
      <w:r>
        <w:rPr>
          <w:color w:val="000000"/>
          <w:spacing w:val="0"/>
          <w:w w:val="100"/>
          <w:position w:val="0"/>
          <w:shd w:val="clear" w:color="auto" w:fill="auto"/>
          <w:lang w:val="pt-PT" w:eastAsia="pt-PT" w:bidi="pt-PT"/>
        </w:rPr>
        <w:t xml:space="preserve">de reconhecida capacidade técnica e difusão no mercado brasileiro de capitais. Esta comprovação ocorrerá mediante o preenchimento dos campos específicos constantes do demonstrativo sintético. A validade e autenticidade da certificação informada serão verificadas junto à entidade certificadora pelos meios por ela </w:t>
      </w:r>
      <w:r>
        <w:rPr>
          <w:color w:val="000000"/>
          <w:spacing w:val="0"/>
          <w:w w:val="100"/>
          <w:position w:val="0"/>
          <w:shd w:val="clear" w:color="auto" w:fill="auto"/>
          <w:lang w:val="pt-BR" w:eastAsia="pt-BR" w:bidi="pt-BR"/>
        </w:rPr>
        <w:t>disponibilizados.</w:t>
      </w:r>
    </w:p>
    <w:p>
      <w:pPr>
        <w:pStyle w:val="Style13"/>
        <w:keepNext w:val="0"/>
        <w:keepLines w:val="0"/>
        <w:widowControl w:val="0"/>
        <w:shd w:val="clear" w:color="auto" w:fill="auto"/>
        <w:bidi w:val="0"/>
        <w:spacing w:before="0" w:line="269" w:lineRule="auto"/>
        <w:ind w:left="0" w:right="0" w:firstLine="760"/>
        <w:jc w:val="both"/>
      </w:pPr>
      <w:r>
        <w:rPr>
          <w:color w:val="000000"/>
          <w:spacing w:val="0"/>
          <w:w w:val="100"/>
          <w:position w:val="0"/>
          <w:shd w:val="clear" w:color="auto" w:fill="auto"/>
          <w:lang w:val="pt-PT" w:eastAsia="pt-PT" w:bidi="pt-PT"/>
        </w:rPr>
        <w:t xml:space="preserve">Reuniões extraordinárias junto ao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gestor de investimento do RPPS serão realizadas sempre que houver necessidade de ajustes nesta Política de Investimentos perante o comportamento/conjuntura do mercado, quando se apresentar o interesse da preservação dos ativos financeiros e/ou com vistas à adequação à nova legislação.</w:t>
      </w:r>
    </w:p>
    <w:p>
      <w:pPr>
        <w:pStyle w:val="Style13"/>
        <w:keepNext w:val="0"/>
        <w:keepLines w:val="0"/>
        <w:widowControl w:val="0"/>
        <w:shd w:val="clear" w:color="auto" w:fill="auto"/>
        <w:bidi w:val="0"/>
        <w:spacing w:before="0" w:line="266" w:lineRule="auto"/>
        <w:ind w:left="0" w:right="0" w:firstLine="760"/>
        <w:jc w:val="both"/>
      </w:pPr>
      <w:r>
        <w:rPr>
          <w:color w:val="000000"/>
          <w:spacing w:val="0"/>
          <w:w w:val="100"/>
          <w:position w:val="0"/>
          <w:shd w:val="clear" w:color="auto" w:fill="auto"/>
          <w:lang w:val="pt-PT" w:eastAsia="pt-PT" w:bidi="pt-PT"/>
        </w:rPr>
        <w:t xml:space="preserve">Os profissionais responsáveis pelo acompanhamento e operacionalização dos investimentos do </w:t>
      </w:r>
      <w:r>
        <w:rPr>
          <w:b/>
          <w:bCs/>
          <w:color w:val="000000"/>
          <w:spacing w:val="0"/>
          <w:w w:val="100"/>
          <w:position w:val="0"/>
          <w:sz w:val="18"/>
          <w:szCs w:val="18"/>
          <w:shd w:val="clear" w:color="auto" w:fill="auto"/>
          <w:lang w:val="pt-PT" w:eastAsia="pt-PT" w:bidi="pt-PT"/>
        </w:rPr>
        <w:t xml:space="preserve">RPPS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INVESTIMENTOS) </w:t>
      </w:r>
      <w:r>
        <w:rPr>
          <w:b/>
          <w:bCs/>
          <w:color w:val="000000"/>
          <w:spacing w:val="0"/>
          <w:w w:val="100"/>
          <w:position w:val="0"/>
          <w:sz w:val="18"/>
          <w:szCs w:val="18"/>
          <w:shd w:val="clear" w:color="auto" w:fill="auto"/>
          <w:lang w:val="pt-PT" w:eastAsia="pt-PT" w:bidi="pt-PT"/>
        </w:rPr>
        <w:t xml:space="preserve">deverão estar 100% certificados, </w:t>
      </w:r>
      <w:r>
        <w:rPr>
          <w:color w:val="000000"/>
          <w:spacing w:val="0"/>
          <w:w w:val="100"/>
          <w:position w:val="0"/>
          <w:shd w:val="clear" w:color="auto" w:fill="auto"/>
          <w:lang w:val="pt-PT" w:eastAsia="pt-PT" w:bidi="pt-PT"/>
        </w:rPr>
        <w:t xml:space="preserve">mediante exame de certificação organizado por entidade </w:t>
      </w:r>
      <w:r>
        <w:rPr>
          <w:color w:val="000000"/>
          <w:spacing w:val="0"/>
          <w:w w:val="100"/>
          <w:position w:val="0"/>
          <w:shd w:val="clear" w:color="auto" w:fill="auto"/>
          <w:lang w:val="pt-BR" w:eastAsia="pt-BR" w:bidi="pt-BR"/>
        </w:rPr>
        <w:t xml:space="preserve">autônoma </w:t>
      </w:r>
      <w:r>
        <w:rPr>
          <w:color w:val="000000"/>
          <w:spacing w:val="0"/>
          <w:w w:val="100"/>
          <w:position w:val="0"/>
          <w:shd w:val="clear" w:color="auto" w:fill="auto"/>
          <w:lang w:val="pt-PT" w:eastAsia="pt-PT" w:bidi="pt-PT"/>
        </w:rPr>
        <w:t>e de reconhecida capacidade técnica. O conteúdo mínimo desse exame englobará, ao menos, os requisitos previstos pela Portaria MPS n° 1.499/2024, bem como os dispostos no art. 8°-B da Lei n° 9.717/1998.</w:t>
      </w:r>
    </w:p>
    <w:p>
      <w:pPr>
        <w:pStyle w:val="Style13"/>
        <w:keepNext w:val="0"/>
        <w:keepLines w:val="0"/>
        <w:widowControl w:val="0"/>
        <w:shd w:val="clear" w:color="auto" w:fill="auto"/>
        <w:bidi w:val="0"/>
        <w:spacing w:before="0" w:line="269" w:lineRule="auto"/>
        <w:ind w:left="0" w:right="0" w:firstLine="760"/>
        <w:jc w:val="both"/>
      </w:pPr>
      <w:r>
        <w:rPr>
          <w:color w:val="000000"/>
          <w:spacing w:val="0"/>
          <w:w w:val="100"/>
          <w:position w:val="0"/>
          <w:shd w:val="clear" w:color="auto" w:fill="auto"/>
          <w:lang w:val="pt-PT" w:eastAsia="pt-PT" w:bidi="pt-PT"/>
        </w:rPr>
        <w:t xml:space="preserve">Já os conselheiros titulares do RPPS deverão, no mínimo, ter a maioria dos seus integrantes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certificados.</w:t>
      </w:r>
    </w:p>
    <w:p>
      <w:pPr>
        <w:pStyle w:val="Style13"/>
        <w:keepNext w:val="0"/>
        <w:keepLines w:val="0"/>
        <w:widowControl w:val="0"/>
        <w:shd w:val="clear" w:color="auto" w:fill="auto"/>
        <w:bidi w:val="0"/>
        <w:spacing w:before="0" w:line="269" w:lineRule="auto"/>
        <w:ind w:left="0" w:right="0" w:firstLine="760"/>
        <w:jc w:val="both"/>
      </w:pPr>
      <w:r>
        <w:rPr>
          <w:color w:val="000000"/>
          <w:spacing w:val="0"/>
          <w:w w:val="100"/>
          <w:position w:val="0"/>
          <w:shd w:val="clear" w:color="auto" w:fill="auto"/>
          <w:lang w:val="pt-PT" w:eastAsia="pt-PT" w:bidi="pt-PT"/>
        </w:rPr>
        <w:t xml:space="preserve">A documentação comprobatória desta política anual de investimentos deverá permanecer à disposição dos órgãos de supervisão competentes. Igualmente, estes </w:t>
      </w:r>
      <w:r>
        <w:rPr>
          <w:color w:val="000000"/>
          <w:spacing w:val="0"/>
          <w:w w:val="100"/>
          <w:position w:val="0"/>
          <w:shd w:val="clear" w:color="auto" w:fill="auto"/>
          <w:lang w:val="pt-BR" w:eastAsia="pt-BR" w:bidi="pt-BR"/>
        </w:rPr>
        <w:t xml:space="preserve">respectivos </w:t>
      </w:r>
      <w:r>
        <w:rPr>
          <w:color w:val="000000"/>
          <w:spacing w:val="0"/>
          <w:w w:val="100"/>
          <w:position w:val="0"/>
          <w:shd w:val="clear" w:color="auto" w:fill="auto"/>
          <w:lang w:val="pt-PT" w:eastAsia="pt-PT" w:bidi="pt-PT"/>
        </w:rPr>
        <w:t xml:space="preserve">documentos devem ser </w:t>
      </w:r>
      <w:r>
        <w:rPr>
          <w:color w:val="000000"/>
          <w:spacing w:val="0"/>
          <w:w w:val="100"/>
          <w:position w:val="0"/>
          <w:shd w:val="clear" w:color="auto" w:fill="auto"/>
          <w:lang w:val="pt-BR" w:eastAsia="pt-BR" w:bidi="pt-BR"/>
        </w:rPr>
        <w:t xml:space="preserve">disponibilizados </w:t>
      </w:r>
      <w:r>
        <w:rPr>
          <w:color w:val="000000"/>
          <w:spacing w:val="0"/>
          <w:w w:val="100"/>
          <w:position w:val="0"/>
          <w:shd w:val="clear" w:color="auto" w:fill="auto"/>
          <w:lang w:val="pt-PT" w:eastAsia="pt-PT" w:bidi="pt-PT"/>
        </w:rPr>
        <w:t xml:space="preserve">aos seus segurados e pensionistas juntamente com as </w:t>
      </w:r>
      <w:r>
        <w:rPr>
          <w:color w:val="000000"/>
          <w:spacing w:val="0"/>
          <w:w w:val="100"/>
          <w:position w:val="0"/>
          <w:shd w:val="clear" w:color="auto" w:fill="auto"/>
          <w:lang w:val="pt-BR" w:eastAsia="pt-BR" w:bidi="pt-BR"/>
        </w:rPr>
        <w:t xml:space="preserve">respectivas </w:t>
      </w:r>
      <w:r>
        <w:rPr>
          <w:color w:val="000000"/>
          <w:spacing w:val="0"/>
          <w:w w:val="100"/>
          <w:position w:val="0"/>
          <w:shd w:val="clear" w:color="auto" w:fill="auto"/>
          <w:lang w:val="pt-PT" w:eastAsia="pt-PT" w:bidi="pt-PT"/>
        </w:rPr>
        <w:t>revisões, no prazo de trinta dias, contados da data da sua aprovação conforme art. 148 da Portaria MTP n° 1.467/2022.</w:t>
      </w:r>
    </w:p>
    <w:p>
      <w:pPr>
        <w:pStyle w:val="Style13"/>
        <w:keepNext w:val="0"/>
        <w:keepLines w:val="0"/>
        <w:widowControl w:val="0"/>
        <w:shd w:val="clear" w:color="auto" w:fill="auto"/>
        <w:bidi w:val="0"/>
        <w:spacing w:before="0" w:line="283" w:lineRule="auto"/>
        <w:ind w:left="0" w:right="0" w:firstLine="0"/>
        <w:jc w:val="left"/>
        <w:rPr>
          <w:sz w:val="18"/>
          <w:szCs w:val="18"/>
        </w:rPr>
      </w:pPr>
      <w:r>
        <w:rPr>
          <w:b/>
          <w:bCs/>
          <w:color w:val="000000"/>
          <w:spacing w:val="0"/>
          <w:w w:val="100"/>
          <w:position w:val="0"/>
          <w:sz w:val="18"/>
          <w:szCs w:val="18"/>
          <w:shd w:val="clear" w:color="auto" w:fill="auto"/>
          <w:lang w:val="pt-PT" w:eastAsia="pt-PT" w:bidi="pt-PT"/>
        </w:rPr>
        <w:t>Transparência</w:t>
      </w:r>
    </w:p>
    <w:p>
      <w:pPr>
        <w:pStyle w:val="Style13"/>
        <w:keepNext w:val="0"/>
        <w:keepLines w:val="0"/>
        <w:widowControl w:val="0"/>
        <w:shd w:val="clear" w:color="auto" w:fill="auto"/>
        <w:bidi w:val="0"/>
        <w:spacing w:before="0" w:line="269" w:lineRule="auto"/>
        <w:ind w:left="0" w:right="0" w:firstLine="760"/>
        <w:jc w:val="both"/>
      </w:pPr>
      <w:r>
        <w:rPr>
          <w:color w:val="000000"/>
          <w:spacing w:val="0"/>
          <w:w w:val="100"/>
          <w:position w:val="0"/>
          <w:shd w:val="clear" w:color="auto" w:fill="auto"/>
          <w:lang w:val="pt-PT" w:eastAsia="pt-PT" w:bidi="pt-PT"/>
        </w:rPr>
        <w:t>A Política de Investimentos, além de estabelecer as diretrizes para o processo de tomada de decisão, conforme art. 148, da Portaria MTP n° 1.467/2022, busca ainda ter transparência na gestão de investimentos do RPPS.</w:t>
      </w:r>
    </w:p>
    <w:p>
      <w:pPr>
        <w:pStyle w:val="Style13"/>
        <w:keepNext w:val="0"/>
        <w:keepLines w:val="0"/>
        <w:widowControl w:val="0"/>
        <w:shd w:val="clear" w:color="auto" w:fill="auto"/>
        <w:bidi w:val="0"/>
        <w:spacing w:before="0" w:line="269" w:lineRule="auto"/>
        <w:ind w:left="0" w:right="0" w:firstLine="760"/>
        <w:jc w:val="both"/>
      </w:pPr>
      <w:r>
        <w:rPr>
          <w:color w:val="000000"/>
          <w:spacing w:val="0"/>
          <w:w w:val="100"/>
          <w:position w:val="0"/>
          <w:shd w:val="clear" w:color="auto" w:fill="auto"/>
          <w:lang w:val="pt-PT" w:eastAsia="pt-PT" w:bidi="pt-PT"/>
        </w:rPr>
        <w:t xml:space="preserve">O Art. 148, da Portaria MTP n° 1.467/2022, determina que o RPPS deverá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aos segurados e beneficiários, no mínimo, os seguintes documentos e informações:</w:t>
      </w:r>
    </w:p>
    <w:p>
      <w:pPr>
        <w:pStyle w:val="Style13"/>
        <w:keepNext w:val="0"/>
        <w:keepLines w:val="0"/>
        <w:widowControl w:val="0"/>
        <w:numPr>
          <w:ilvl w:val="0"/>
          <w:numId w:val="17"/>
        </w:numPr>
        <w:shd w:val="clear" w:color="auto" w:fill="auto"/>
        <w:tabs>
          <w:tab w:pos="903" w:val="left"/>
        </w:tabs>
        <w:bidi w:val="0"/>
        <w:spacing w:before="0" w:line="276" w:lineRule="auto"/>
        <w:ind w:left="0" w:right="0" w:firstLine="760"/>
        <w:jc w:val="both"/>
      </w:pPr>
      <w:r>
        <w:rPr>
          <w:color w:val="000000"/>
          <w:spacing w:val="0"/>
          <w:w w:val="100"/>
          <w:position w:val="0"/>
          <w:shd w:val="clear" w:color="auto" w:fill="auto"/>
          <w:lang w:val="pt-PT" w:eastAsia="pt-PT" w:bidi="pt-PT"/>
        </w:rPr>
        <w:t>- a Política de Investimentos, suas revisões e alterações, no prazo de até 30 (trinta) dias, a partir da data de sua aprovação;</w:t>
      </w:r>
    </w:p>
    <w:p>
      <w:pPr>
        <w:pStyle w:val="Style13"/>
        <w:keepNext w:val="0"/>
        <w:keepLines w:val="0"/>
        <w:widowControl w:val="0"/>
        <w:numPr>
          <w:ilvl w:val="0"/>
          <w:numId w:val="17"/>
        </w:numPr>
        <w:shd w:val="clear" w:color="auto" w:fill="auto"/>
        <w:tabs>
          <w:tab w:pos="1033" w:val="left"/>
        </w:tabs>
        <w:bidi w:val="0"/>
        <w:spacing w:before="0" w:line="276" w:lineRule="auto"/>
        <w:ind w:left="0" w:right="0" w:firstLine="800"/>
        <w:jc w:val="both"/>
      </w:pPr>
      <w:r>
        <w:rPr>
          <w:color w:val="000000"/>
          <w:spacing w:val="0"/>
          <w:w w:val="100"/>
          <w:position w:val="0"/>
          <w:shd w:val="clear" w:color="auto" w:fill="auto"/>
          <w:lang w:val="pt-PT" w:eastAsia="pt-PT" w:bidi="pt-PT"/>
        </w:rPr>
        <w:t xml:space="preserve">- as informações contidas nos formulários APR, no prazo de até 30 (trinta) dias, contados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aplicação ou resgate;</w:t>
      </w:r>
    </w:p>
    <w:p>
      <w:pPr>
        <w:pStyle w:val="Style13"/>
        <w:keepNext w:val="0"/>
        <w:keepLines w:val="0"/>
        <w:widowControl w:val="0"/>
        <w:numPr>
          <w:ilvl w:val="0"/>
          <w:numId w:val="17"/>
        </w:numPr>
        <w:shd w:val="clear" w:color="auto" w:fill="auto"/>
        <w:tabs>
          <w:tab w:pos="1112" w:val="left"/>
        </w:tabs>
        <w:bidi w:val="0"/>
        <w:spacing w:before="0" w:line="276" w:lineRule="auto"/>
        <w:ind w:left="0" w:right="0" w:firstLine="800"/>
        <w:jc w:val="both"/>
      </w:pPr>
      <w:r>
        <w:rPr>
          <w:color w:val="000000"/>
          <w:spacing w:val="0"/>
          <w:w w:val="100"/>
          <w:position w:val="0"/>
          <w:shd w:val="clear" w:color="auto" w:fill="auto"/>
          <w:lang w:val="pt-PT" w:eastAsia="pt-PT" w:bidi="pt-PT"/>
        </w:rPr>
        <w:t>- a composição da carteira de investimentos do RPPS, no prazo de até 30 (trinta) dias após o encerramento do mês;</w:t>
      </w:r>
    </w:p>
    <w:p>
      <w:pPr>
        <w:pStyle w:val="Style13"/>
        <w:keepNext w:val="0"/>
        <w:keepLines w:val="0"/>
        <w:widowControl w:val="0"/>
        <w:numPr>
          <w:ilvl w:val="0"/>
          <w:numId w:val="17"/>
        </w:numPr>
        <w:shd w:val="clear" w:color="auto" w:fill="auto"/>
        <w:tabs>
          <w:tab w:pos="1105" w:val="left"/>
        </w:tabs>
        <w:bidi w:val="0"/>
        <w:spacing w:before="0" w:line="276" w:lineRule="auto"/>
        <w:ind w:left="0" w:right="0" w:firstLine="800"/>
        <w:jc w:val="both"/>
      </w:pPr>
      <w:r>
        <w:rPr>
          <w:color w:val="000000"/>
          <w:spacing w:val="0"/>
          <w:w w:val="100"/>
          <w:position w:val="0"/>
          <w:shd w:val="clear" w:color="auto" w:fill="auto"/>
          <w:lang w:val="pt-PT" w:eastAsia="pt-PT" w:bidi="pt-PT"/>
        </w:rPr>
        <w:t>- os procedimentos de seleção das eventuais entidades autorizadas e credenciadas e de contratação de prestadores de serviços;</w:t>
      </w:r>
    </w:p>
    <w:p>
      <w:pPr>
        <w:pStyle w:val="Style13"/>
        <w:keepNext w:val="0"/>
        <w:keepLines w:val="0"/>
        <w:widowControl w:val="0"/>
        <w:numPr>
          <w:ilvl w:val="0"/>
          <w:numId w:val="17"/>
        </w:numPr>
        <w:shd w:val="clear" w:color="auto" w:fill="auto"/>
        <w:tabs>
          <w:tab w:pos="1097" w:val="left"/>
        </w:tabs>
        <w:bidi w:val="0"/>
        <w:spacing w:before="0" w:line="276" w:lineRule="auto"/>
        <w:ind w:left="0" w:right="0" w:firstLine="800"/>
        <w:jc w:val="both"/>
      </w:pPr>
      <w:r>
        <w:rPr>
          <w:color w:val="000000"/>
          <w:spacing w:val="0"/>
          <w:w w:val="100"/>
          <w:position w:val="0"/>
          <w:shd w:val="clear" w:color="auto" w:fill="auto"/>
          <w:lang w:val="pt-PT" w:eastAsia="pt-PT" w:bidi="pt-PT"/>
        </w:rPr>
        <w:t xml:space="preserve">- as informações relativas ao processo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 instituições para receber as aplicações dos recursos do RPPS;</w:t>
      </w:r>
    </w:p>
    <w:p>
      <w:pPr>
        <w:pStyle w:val="Style13"/>
        <w:keepNext w:val="0"/>
        <w:keepLines w:val="0"/>
        <w:widowControl w:val="0"/>
        <w:numPr>
          <w:ilvl w:val="0"/>
          <w:numId w:val="17"/>
        </w:numPr>
        <w:shd w:val="clear" w:color="auto" w:fill="auto"/>
        <w:tabs>
          <w:tab w:pos="1083" w:val="left"/>
        </w:tabs>
        <w:bidi w:val="0"/>
        <w:spacing w:before="0" w:after="460" w:line="276" w:lineRule="auto"/>
        <w:ind w:left="0" w:right="0" w:firstLine="800"/>
        <w:jc w:val="both"/>
      </w:pPr>
      <w:r>
        <w:rPr>
          <w:color w:val="000000"/>
          <w:spacing w:val="0"/>
          <w:w w:val="100"/>
          <w:position w:val="0"/>
          <w:shd w:val="clear" w:color="auto" w:fill="auto"/>
          <w:lang w:val="pt-PT" w:eastAsia="pt-PT" w:bidi="pt-PT"/>
        </w:rPr>
        <w:t xml:space="preserve">- a relação das entidades credenciadas para atuar com o RPPS e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 xml:space="preserve">data de atualização do </w:t>
      </w:r>
      <w:r>
        <w:rPr>
          <w:color w:val="000000"/>
          <w:spacing w:val="0"/>
          <w:w w:val="100"/>
          <w:position w:val="0"/>
          <w:shd w:val="clear" w:color="auto" w:fill="auto"/>
          <w:lang w:val="pt-BR" w:eastAsia="pt-BR" w:bidi="pt-BR"/>
        </w:rPr>
        <w:t>credenciamento.</w:t>
      </w:r>
    </w:p>
    <w:p>
      <w:pPr>
        <w:pStyle w:val="Style13"/>
        <w:keepNext w:val="0"/>
        <w:keepLines w:val="0"/>
        <w:widowControl w:val="0"/>
        <w:shd w:val="clear" w:color="auto" w:fill="auto"/>
        <w:bidi w:val="0"/>
        <w:spacing w:before="0" w:line="276" w:lineRule="auto"/>
        <w:ind w:left="0" w:right="0" w:firstLine="800"/>
        <w:jc w:val="both"/>
      </w:pPr>
      <w:r>
        <w:rPr>
          <w:color w:val="000000"/>
          <w:spacing w:val="0"/>
          <w:w w:val="100"/>
          <w:position w:val="0"/>
          <w:shd w:val="clear" w:color="auto" w:fill="auto"/>
          <w:lang w:val="pt-PT" w:eastAsia="pt-PT" w:bidi="pt-PT"/>
        </w:rPr>
        <w:t xml:space="preserve">E, por </w:t>
      </w:r>
      <w:r>
        <w:rPr>
          <w:color w:val="000000"/>
          <w:spacing w:val="0"/>
          <w:w w:val="100"/>
          <w:position w:val="0"/>
          <w:shd w:val="clear" w:color="auto" w:fill="auto"/>
          <w:lang w:val="pt-BR" w:eastAsia="pt-BR" w:bidi="pt-BR"/>
        </w:rPr>
        <w:t xml:space="preserve">fim, </w:t>
      </w:r>
      <w:r>
        <w:rPr>
          <w:color w:val="000000"/>
          <w:spacing w:val="0"/>
          <w:w w:val="100"/>
          <w:position w:val="0"/>
          <w:shd w:val="clear" w:color="auto" w:fill="auto"/>
          <w:lang w:val="pt-PT" w:eastAsia="pt-PT" w:bidi="pt-PT"/>
        </w:rPr>
        <w:t xml:space="preserve">esta Política de Investimentos atende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normas a seguir:</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Resolução do Conselho Monetário Nacional n° 5.272/2025;</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Portaria MTP n° 1.467/2022;</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Portaria MPS n° 2.010/2025</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Normas Gerais do RPPS (leis municipais da gestão do RPPS);</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 xml:space="preserve">Normas de </w:t>
      </w:r>
      <w:r>
        <w:rPr>
          <w:color w:val="000000"/>
          <w:spacing w:val="0"/>
          <w:w w:val="100"/>
          <w:position w:val="0"/>
          <w:shd w:val="clear" w:color="auto" w:fill="auto"/>
          <w:lang w:val="pt-BR" w:eastAsia="pt-BR" w:bidi="pt-BR"/>
        </w:rPr>
        <w:t xml:space="preserve">Credenciamento </w:t>
      </w:r>
      <w:r>
        <w:rPr>
          <w:color w:val="000000"/>
          <w:spacing w:val="0"/>
          <w:w w:val="100"/>
          <w:position w:val="0"/>
          <w:shd w:val="clear" w:color="auto" w:fill="auto"/>
          <w:lang w:val="pt-PT" w:eastAsia="pt-PT" w:bidi="pt-PT"/>
        </w:rPr>
        <w:t>determinadas pelo MPS;</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Normas da Comissão de Valores Mobiliários relativas aos Fundos de Investimentos;</w:t>
      </w:r>
    </w:p>
    <w:p>
      <w:pPr>
        <w:pStyle w:val="Style13"/>
        <w:keepNext w:val="0"/>
        <w:keepLines w:val="0"/>
        <w:widowControl w:val="0"/>
        <w:numPr>
          <w:ilvl w:val="0"/>
          <w:numId w:val="19"/>
        </w:numPr>
        <w:shd w:val="clear" w:color="auto" w:fill="auto"/>
        <w:tabs>
          <w:tab w:pos="1500" w:val="left"/>
        </w:tabs>
        <w:bidi w:val="0"/>
        <w:spacing w:before="0" w:line="276" w:lineRule="auto"/>
        <w:ind w:left="0" w:right="0" w:firstLine="800"/>
        <w:jc w:val="both"/>
      </w:pPr>
      <w:r>
        <w:rPr>
          <w:color w:val="000000"/>
          <w:spacing w:val="0"/>
          <w:w w:val="100"/>
          <w:position w:val="0"/>
          <w:shd w:val="clear" w:color="auto" w:fill="auto"/>
          <w:lang w:val="pt-PT" w:eastAsia="pt-PT" w:bidi="pt-PT"/>
        </w:rPr>
        <w:t>Normas do Banco Central do Brasil;</w:t>
      </w:r>
    </w:p>
    <w:p>
      <w:pPr>
        <w:pStyle w:val="Style13"/>
        <w:keepNext w:val="0"/>
        <w:keepLines w:val="0"/>
        <w:widowControl w:val="0"/>
        <w:numPr>
          <w:ilvl w:val="0"/>
          <w:numId w:val="19"/>
        </w:numPr>
        <w:shd w:val="clear" w:color="auto" w:fill="auto"/>
        <w:tabs>
          <w:tab w:pos="1500" w:val="left"/>
        </w:tabs>
        <w:bidi w:val="0"/>
        <w:spacing w:before="0" w:after="440" w:line="276" w:lineRule="auto"/>
        <w:ind w:left="0" w:right="0" w:firstLine="800"/>
        <w:jc w:val="both"/>
      </w:pPr>
      <w:r>
        <w:rPr>
          <w:color w:val="000000"/>
          <w:spacing w:val="0"/>
          <w:w w:val="100"/>
          <w:position w:val="0"/>
          <w:shd w:val="clear" w:color="auto" w:fill="auto"/>
          <w:lang w:val="pt-PT" w:eastAsia="pt-PT" w:bidi="pt-PT"/>
        </w:rPr>
        <w:t>Normas e Modelos da ANBIMA.</w:t>
      </w:r>
    </w:p>
    <w:p>
      <w:pPr>
        <w:pStyle w:val="Style13"/>
        <w:keepNext w:val="0"/>
        <w:keepLines w:val="0"/>
        <w:widowControl w:val="0"/>
        <w:shd w:val="clear" w:color="auto" w:fill="auto"/>
        <w:bidi w:val="0"/>
        <w:spacing w:before="0" w:after="440" w:line="276" w:lineRule="auto"/>
        <w:ind w:left="0" w:right="0" w:firstLine="800"/>
        <w:jc w:val="both"/>
      </w:pPr>
      <w:r>
        <w:rPr>
          <w:color w:val="000000"/>
          <w:spacing w:val="0"/>
          <w:w w:val="100"/>
          <w:position w:val="0"/>
          <w:shd w:val="clear" w:color="auto" w:fill="auto"/>
          <w:lang w:val="pt-PT" w:eastAsia="pt-PT" w:bidi="pt-PT"/>
        </w:rPr>
        <w:t xml:space="preserve">É parte integrante desta Política de Investimentos cópia da </w:t>
      </w:r>
      <w:r>
        <w:rPr>
          <w:b/>
          <w:bCs/>
          <w:color w:val="000000"/>
          <w:spacing w:val="0"/>
          <w:w w:val="100"/>
          <w:position w:val="0"/>
          <w:sz w:val="18"/>
          <w:szCs w:val="18"/>
          <w:shd w:val="clear" w:color="auto" w:fill="auto"/>
          <w:lang w:val="pt-PT" w:eastAsia="pt-PT" w:bidi="pt-PT"/>
        </w:rPr>
        <w:t xml:space="preserve">Ata </w:t>
      </w:r>
      <w:r>
        <w:rPr>
          <w:color w:val="000000"/>
          <w:spacing w:val="0"/>
          <w:w w:val="100"/>
          <w:position w:val="0"/>
          <w:shd w:val="clear" w:color="auto" w:fill="auto"/>
          <w:lang w:val="pt-PT" w:eastAsia="pt-PT" w:bidi="pt-PT"/>
        </w:rPr>
        <w:t xml:space="preserve">do </w:t>
      </w:r>
      <w:r>
        <w:rPr>
          <w:b/>
          <w:bCs/>
          <w:color w:val="000000"/>
          <w:spacing w:val="0"/>
          <w:w w:val="100"/>
          <w:position w:val="0"/>
          <w:sz w:val="18"/>
          <w:szCs w:val="18"/>
          <w:shd w:val="clear" w:color="auto" w:fill="auto"/>
          <w:lang w:val="pt-BR" w:eastAsia="pt-BR" w:bidi="pt-BR"/>
        </w:rPr>
        <w:t xml:space="preserve">COMITÊ </w:t>
      </w:r>
      <w:r>
        <w:rPr>
          <w:b/>
          <w:bCs/>
          <w:color w:val="000000"/>
          <w:spacing w:val="0"/>
          <w:w w:val="100"/>
          <w:position w:val="0"/>
          <w:sz w:val="18"/>
          <w:szCs w:val="18"/>
          <w:shd w:val="clear" w:color="auto" w:fill="auto"/>
          <w:lang w:val="pt-PT" w:eastAsia="pt-PT" w:bidi="pt-PT"/>
        </w:rPr>
        <w:t xml:space="preserve">DE INVESTIMENTOS </w:t>
      </w:r>
      <w:r>
        <w:rPr>
          <w:color w:val="000000"/>
          <w:spacing w:val="0"/>
          <w:w w:val="100"/>
          <w:position w:val="0"/>
          <w:shd w:val="clear" w:color="auto" w:fill="auto"/>
          <w:lang w:val="pt-PT" w:eastAsia="pt-PT" w:bidi="pt-PT"/>
        </w:rPr>
        <w:t xml:space="preserve">e Ata do </w:t>
      </w:r>
      <w:r>
        <w:rPr>
          <w:b/>
          <w:bCs/>
          <w:color w:val="000000"/>
          <w:spacing w:val="0"/>
          <w:w w:val="100"/>
          <w:position w:val="0"/>
          <w:sz w:val="18"/>
          <w:szCs w:val="18"/>
          <w:shd w:val="clear" w:color="auto" w:fill="auto"/>
          <w:lang w:val="pt-PT" w:eastAsia="pt-PT" w:bidi="pt-PT"/>
        </w:rPr>
        <w:t xml:space="preserve">CONSELHO MUNICIPAL DE PREVIDÊNCIA - CMP </w:t>
      </w:r>
      <w:r>
        <w:rPr>
          <w:color w:val="000000"/>
          <w:spacing w:val="0"/>
          <w:w w:val="100"/>
          <w:position w:val="0"/>
          <w:shd w:val="clear" w:color="auto" w:fill="auto"/>
          <w:lang w:val="pt-PT" w:eastAsia="pt-PT" w:bidi="pt-PT"/>
        </w:rPr>
        <w:t xml:space="preserve">que aprovam o presente instrumento,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assinadas por seus membros.</w:t>
      </w:r>
    </w:p>
    <w:p>
      <w:pPr>
        <w:pStyle w:val="Style13"/>
        <w:keepNext w:val="0"/>
        <w:keepLines w:val="0"/>
        <w:widowControl w:val="0"/>
        <w:shd w:val="clear" w:color="auto" w:fill="auto"/>
        <w:bidi w:val="0"/>
        <w:spacing w:before="0" w:after="820" w:line="259" w:lineRule="auto"/>
        <w:ind w:left="0" w:right="0" w:firstLine="800"/>
        <w:jc w:val="both"/>
        <w:rPr>
          <w:sz w:val="18"/>
          <w:szCs w:val="18"/>
        </w:rPr>
      </w:pPr>
      <w:r>
        <w:rPr>
          <w:color w:val="000000"/>
          <w:spacing w:val="0"/>
          <w:w w:val="100"/>
          <w:position w:val="0"/>
          <w:sz w:val="19"/>
          <w:szCs w:val="19"/>
          <w:shd w:val="clear" w:color="auto" w:fill="auto"/>
          <w:lang w:val="pt-PT" w:eastAsia="pt-PT" w:bidi="pt-PT"/>
        </w:rPr>
        <w:t xml:space="preserve">O </w:t>
      </w:r>
      <w:r>
        <w:rPr>
          <w:b/>
          <w:bCs/>
          <w:color w:val="000000"/>
          <w:spacing w:val="0"/>
          <w:w w:val="100"/>
          <w:position w:val="0"/>
          <w:sz w:val="22"/>
          <w:szCs w:val="22"/>
          <w:shd w:val="clear" w:color="auto" w:fill="auto"/>
          <w:lang w:val="pt-PT" w:eastAsia="pt-PT" w:bidi="pt-PT"/>
        </w:rPr>
        <w:t xml:space="preserve">CONSELHO MUNICIPAL DE PREVIDÊNCIA - CMP, </w:t>
      </w:r>
      <w:r>
        <w:rPr>
          <w:color w:val="000000"/>
          <w:spacing w:val="0"/>
          <w:w w:val="100"/>
          <w:position w:val="0"/>
          <w:sz w:val="19"/>
          <w:szCs w:val="19"/>
          <w:shd w:val="clear" w:color="auto" w:fill="auto"/>
          <w:lang w:val="pt-PT" w:eastAsia="pt-PT" w:bidi="pt-PT"/>
        </w:rPr>
        <w:t xml:space="preserve">no uso das atribuições que lhe são conferidas pela </w:t>
      </w:r>
      <w:r>
        <w:rPr>
          <w:b/>
          <w:bCs/>
          <w:color w:val="483217"/>
          <w:spacing w:val="0"/>
          <w:w w:val="100"/>
          <w:position w:val="0"/>
          <w:sz w:val="18"/>
          <w:szCs w:val="18"/>
          <w:shd w:val="clear" w:color="auto" w:fill="auto"/>
          <w:lang w:val="pt-PT" w:eastAsia="pt-PT" w:bidi="pt-PT"/>
        </w:rPr>
        <w:t xml:space="preserve">Lei n° 415, de 29 de Março de 2022, </w:t>
      </w:r>
      <w:r>
        <w:rPr>
          <w:color w:val="000000"/>
          <w:spacing w:val="0"/>
          <w:w w:val="100"/>
          <w:position w:val="0"/>
          <w:sz w:val="19"/>
          <w:szCs w:val="19"/>
          <w:shd w:val="clear" w:color="auto" w:fill="auto"/>
          <w:lang w:val="pt-PT" w:eastAsia="pt-PT" w:bidi="pt-PT"/>
        </w:rPr>
        <w:t>toma público que, em sessão realizada em 30/03/2026, com base no art. 4</w:t>
      </w:r>
      <w:r>
        <w:rPr>
          <w:color w:val="000000"/>
          <w:spacing w:val="0"/>
          <w:w w:val="100"/>
          <w:position w:val="0"/>
          <w:sz w:val="19"/>
          <w:szCs w:val="19"/>
          <w:shd w:val="clear" w:color="auto" w:fill="auto"/>
          <w:vertAlign w:val="superscript"/>
          <w:lang w:val="pt-PT" w:eastAsia="pt-PT" w:bidi="pt-PT"/>
        </w:rPr>
        <w:t>o</w:t>
      </w:r>
      <w:r>
        <w:rPr>
          <w:color w:val="000000"/>
          <w:spacing w:val="0"/>
          <w:w w:val="100"/>
          <w:position w:val="0"/>
          <w:sz w:val="19"/>
          <w:szCs w:val="19"/>
          <w:shd w:val="clear" w:color="auto" w:fill="auto"/>
          <w:lang w:val="pt-PT" w:eastAsia="pt-PT" w:bidi="pt-PT"/>
        </w:rPr>
        <w:t xml:space="preserve"> Resolução CMN n° 5.272/2025, APROVA esta POLÍTICA DE INVESTIMENTOS referente ao </w:t>
      </w:r>
      <w:r>
        <w:rPr>
          <w:b/>
          <w:bCs/>
          <w:color w:val="000000"/>
          <w:spacing w:val="0"/>
          <w:w w:val="100"/>
          <w:position w:val="0"/>
          <w:sz w:val="18"/>
          <w:szCs w:val="18"/>
          <w:shd w:val="clear" w:color="auto" w:fill="auto"/>
          <w:lang w:val="pt-PT" w:eastAsia="pt-PT" w:bidi="pt-PT"/>
        </w:rPr>
        <w:t>EXERCÍCIO DE 2026.</w:t>
      </w:r>
    </w:p>
    <w:p>
      <w:pPr>
        <w:widowControl w:val="0"/>
        <w:jc w:val="center"/>
        <w:rPr>
          <w:sz w:val="2"/>
          <w:szCs w:val="2"/>
        </w:rPr>
      </w:pPr>
      <w:r>
        <w:drawing>
          <wp:inline>
            <wp:extent cx="5638800" cy="1298575"/>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170"/>
                    <a:stretch/>
                  </pic:blipFill>
                  <pic:spPr>
                    <a:xfrm>
                      <a:ext cx="5638800" cy="1298575"/>
                    </a:xfrm>
                    <a:prstGeom prst="rect"/>
                  </pic:spPr>
                </pic:pic>
              </a:graphicData>
            </a:graphic>
          </wp:inline>
        </w:drawing>
      </w:r>
      <w:r>
        <w:br w:type="page"/>
      </w:r>
    </w:p>
    <w:p>
      <w:pPr>
        <w:pStyle w:val="Style19"/>
        <w:keepNext/>
        <w:keepLines/>
        <w:widowControl w:val="0"/>
        <w:shd w:val="clear" w:color="auto" w:fill="auto"/>
        <w:bidi w:val="0"/>
        <w:spacing w:before="0" w:after="400" w:line="240" w:lineRule="auto"/>
        <w:ind w:left="440" w:right="0" w:firstLine="0"/>
        <w:jc w:val="center"/>
      </w:pPr>
      <w:bookmarkStart w:id="27" w:name="bookmark27"/>
      <w:r>
        <w:rPr>
          <w:spacing w:val="0"/>
          <w:w w:val="100"/>
          <w:position w:val="0"/>
          <w:shd w:val="clear" w:color="auto" w:fill="auto"/>
          <w:lang w:val="pt-PT" w:eastAsia="pt-PT" w:bidi="pt-PT"/>
        </w:rPr>
        <w:t xml:space="preserve">ANEXO </w:t>
      </w:r>
      <w:r>
        <w:rPr>
          <w:color w:val="B88C6E"/>
          <w:spacing w:val="0"/>
          <w:w w:val="100"/>
          <w:position w:val="0"/>
          <w:shd w:val="clear" w:color="auto" w:fill="auto"/>
          <w:lang w:val="pt-PT" w:eastAsia="pt-PT" w:bidi="pt-PT"/>
        </w:rPr>
        <w:t>li*</w:t>
      </w:r>
      <w:bookmarkEnd w:id="27"/>
    </w:p>
    <w:tbl>
      <w:tblPr>
        <w:tblOverlap w:val="never"/>
        <w:jc w:val="center"/>
        <w:tblLayout w:type="fixed"/>
      </w:tblPr>
      <w:tblGrid>
        <w:gridCol w:w="5580"/>
        <w:gridCol w:w="871"/>
        <w:gridCol w:w="878"/>
        <w:gridCol w:w="533"/>
        <w:gridCol w:w="670"/>
        <w:gridCol w:w="554"/>
      </w:tblGrid>
      <w:tr>
        <w:trPr>
          <w:trHeight w:val="259" w:hRule="exact"/>
        </w:trPr>
        <w:tc>
          <w:tcPr>
            <w:gridSpan w:val="6"/>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RESUMO DA POLÍTICA DE INVESTIMENTOS - RESOLUÇÃO CMN n® 5.272/2025</w:t>
            </w:r>
          </w:p>
        </w:tc>
      </w:tr>
      <w:tr>
        <w:trPr>
          <w:trHeight w:val="180" w:hRule="exact"/>
        </w:trPr>
        <w:tc>
          <w:tcPr>
            <w:vMerge w:val="restart"/>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 xml:space="preserve">Alocação </w:t>
            </w:r>
            <w:r>
              <w:rPr>
                <w:color w:val="000000"/>
                <w:spacing w:val="0"/>
                <w:w w:val="100"/>
                <w:position w:val="0"/>
                <w:sz w:val="11"/>
                <w:szCs w:val="11"/>
                <w:shd w:val="clear" w:color="auto" w:fill="auto"/>
                <w:lang w:val="pt-PT" w:eastAsia="pt-PT" w:bidi="pt-PT"/>
              </w:rPr>
              <w:t>dos Recursos/Diversificação</w:t>
            </w:r>
          </w:p>
        </w:tc>
        <w:tc>
          <w:tcPr>
            <w:gridSpan w:val="5"/>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BR" w:eastAsia="pt-BR" w:bidi="pt-BR"/>
              </w:rPr>
              <w:t xml:space="preserve">Alocação </w:t>
            </w:r>
            <w:r>
              <w:rPr>
                <w:color w:val="000000"/>
                <w:spacing w:val="0"/>
                <w:w w:val="100"/>
                <w:position w:val="0"/>
                <w:sz w:val="11"/>
                <w:szCs w:val="11"/>
                <w:shd w:val="clear" w:color="auto" w:fill="auto"/>
                <w:lang w:val="pt-PT" w:eastAsia="pt-PT" w:bidi="pt-PT"/>
              </w:rPr>
              <w:t>dos recursos</w:t>
            </w:r>
          </w:p>
        </w:tc>
      </w:tr>
      <w:tr>
        <w:trPr>
          <w:trHeight w:val="324"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4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Limite da</w:t>
            </w:r>
          </w:p>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Resolução %</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Limite do Inciso</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40" w:line="240" w:lineRule="auto"/>
              <w:ind w:left="0" w:right="0" w:firstLine="0"/>
              <w:jc w:val="center"/>
              <w:rPr>
                <w:sz w:val="10"/>
                <w:szCs w:val="10"/>
              </w:rPr>
            </w:pPr>
            <w:r>
              <w:rPr>
                <w:color w:val="000000"/>
                <w:spacing w:val="0"/>
                <w:w w:val="100"/>
                <w:position w:val="0"/>
                <w:sz w:val="10"/>
                <w:szCs w:val="10"/>
                <w:shd w:val="clear" w:color="auto" w:fill="auto"/>
                <w:lang w:val="pt-BR" w:eastAsia="pt-BR" w:bidi="pt-BR"/>
              </w:rPr>
              <w:t>Umite</w:t>
            </w:r>
          </w:p>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Inferior %</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4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Estratégia</w:t>
            </w:r>
          </w:p>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Alvo %</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4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Limite de</w:t>
            </w:r>
          </w:p>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Superior</w:t>
            </w:r>
          </w:p>
        </w:tc>
      </w:tr>
      <w:tr>
        <w:trPr>
          <w:trHeight w:val="194"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Renda Rxa - Art. 7®</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100,0%</w:t>
            </w:r>
          </w:p>
        </w:tc>
        <w:tc>
          <w:tcPr>
            <w:tcBorders>
              <w:top w:val="single" w:sz="4"/>
              <w:right w:val="single" w:sz="4"/>
            </w:tcBorders>
            <w:shd w:val="clear" w:color="auto" w:fill="FFFFFF"/>
            <w:vAlign w:val="top"/>
          </w:tcPr>
          <w:p>
            <w:pPr>
              <w:widowControl w:val="0"/>
              <w:rPr>
                <w:sz w:val="10"/>
                <w:szCs w:val="10"/>
              </w:rPr>
            </w:pPr>
          </w:p>
        </w:tc>
      </w:tr>
      <w:tr>
        <w:trPr>
          <w:trHeight w:val="194"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investimento/ETF -100% Títulos Públicos - Art. 7®, 1</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99,5%</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100,0%</w:t>
            </w:r>
          </w:p>
        </w:tc>
      </w:tr>
      <w:tr>
        <w:trPr>
          <w:trHeight w:val="209"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 xml:space="preserve">Títulos de emissão do Tesouro Nacional - Oferta primária ou plataforma </w:t>
            </w:r>
            <w:r>
              <w:rPr>
                <w:color w:val="000000"/>
                <w:spacing w:val="0"/>
                <w:w w:val="100"/>
                <w:position w:val="0"/>
                <w:sz w:val="10"/>
                <w:szCs w:val="10"/>
                <w:shd w:val="clear" w:color="auto" w:fill="auto"/>
                <w:lang w:val="pt-BR" w:eastAsia="pt-BR" w:bidi="pt-BR"/>
              </w:rPr>
              <w:t xml:space="preserve">eletrônica </w:t>
            </w:r>
            <w:r>
              <w:rPr>
                <w:color w:val="000000"/>
                <w:spacing w:val="0"/>
                <w:w w:val="100"/>
                <w:position w:val="0"/>
                <w:sz w:val="10"/>
                <w:szCs w:val="10"/>
                <w:shd w:val="clear" w:color="auto" w:fill="auto"/>
                <w:lang w:val="pt-PT" w:eastAsia="pt-PT" w:bidi="pt-PT"/>
              </w:rPr>
              <w:t>- Art. 7». 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0,5%</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50,0%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Títulos de emissão do Tesouro Nacional - registrado na Selic - Art. 7®, III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Operações Compromissadas - 100% Títulos Públicos SELIC - Art. 7®, IV</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5%</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9"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investimento/ETF - Renda Fixa - Art. 7», V</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80%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35,0%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Ativos de renda fixa emitidos por instituições financeiras - Art. 7®, VI (observados limites por instituição)</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20%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94"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 Renda Hxa - Crédito Privado - An. 7®, VII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w:t>
            </w:r>
          </w:p>
        </w:tc>
      </w:tr>
      <w:tr>
        <w:trPr>
          <w:trHeight w:val="209"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 Leis n® 12.431/2011 e 14.801/2024 - Art. 7®, VIII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 xml:space="preserve">Cotas de subclasses </w:t>
            </w:r>
            <w:r>
              <w:rPr>
                <w:color w:val="000000"/>
                <w:spacing w:val="0"/>
                <w:w w:val="100"/>
                <w:position w:val="0"/>
                <w:sz w:val="10"/>
                <w:szCs w:val="10"/>
                <w:shd w:val="clear" w:color="auto" w:fill="auto"/>
                <w:lang w:val="pt-BR" w:eastAsia="pt-BR" w:bidi="pt-BR"/>
              </w:rPr>
              <w:t xml:space="preserve">sênior </w:t>
            </w:r>
            <w:r>
              <w:rPr>
                <w:color w:val="000000"/>
                <w:spacing w:val="0"/>
                <w:w w:val="100"/>
                <w:position w:val="0"/>
                <w:sz w:val="10"/>
                <w:szCs w:val="10"/>
                <w:shd w:val="clear" w:color="auto" w:fill="auto"/>
                <w:lang w:val="pt-PT" w:eastAsia="pt-PT" w:bidi="pt-PT"/>
              </w:rPr>
              <w:t>de FIDC - Art. 7®, IX</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20%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Renda Variável - Art. 8®</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0,0%</w:t>
            </w:r>
          </w:p>
        </w:tc>
        <w:tc>
          <w:tcPr>
            <w:tcBorders>
              <w:top w:val="single" w:sz="4"/>
              <w:right w:val="single" w:sz="4"/>
            </w:tcBorders>
            <w:shd w:val="clear" w:color="auto" w:fill="FFFFFF"/>
            <w:vAlign w:val="top"/>
          </w:tcPr>
          <w:p>
            <w:pPr>
              <w:widowControl w:val="0"/>
              <w:rPr>
                <w:sz w:val="10"/>
                <w:szCs w:val="10"/>
              </w:rPr>
            </w:pP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investimentos - Ações - Art. 8®, 1</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58"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ETF de Ações - Art. 8®. 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vMerge w:val="restart"/>
            <w:tcBorders>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50%</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66"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ETF BDR-Ações - BDR-ETF de Ações - Art. 8®, III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66"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ETF Internacional - Art. 8®, IV</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94"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Investimento no Exterior - Art. 9®</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0,0%</w:t>
            </w:r>
          </w:p>
        </w:tc>
        <w:tc>
          <w:tcPr>
            <w:tcBorders>
              <w:top w:val="single" w:sz="4"/>
              <w:right w:val="single" w:sz="4"/>
            </w:tcBorders>
            <w:shd w:val="clear" w:color="auto" w:fill="FFFFFF"/>
            <w:vAlign w:val="top"/>
          </w:tcPr>
          <w:p>
            <w:pPr>
              <w:widowControl w:val="0"/>
              <w:rPr>
                <w:sz w:val="10"/>
                <w:szCs w:val="10"/>
              </w:rPr>
            </w:pP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 Renda Fixa - Dívida Externa - Art. 9®, 1</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9"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no exterior - Investidores Qualificados - Art. 9®, 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10%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no exterior - Investidores em Geral - Art. 9®, III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Fundos Estruturados - Art. 10®</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0,0%</w:t>
            </w:r>
          </w:p>
        </w:tc>
        <w:tc>
          <w:tcPr>
            <w:tcBorders>
              <w:top w:val="single" w:sz="4"/>
              <w:right w:val="single" w:sz="4"/>
            </w:tcBorders>
            <w:shd w:val="clear" w:color="auto" w:fill="FFFFFF"/>
            <w:vAlign w:val="top"/>
          </w:tcPr>
          <w:p>
            <w:pPr>
              <w:widowControl w:val="0"/>
              <w:rPr>
                <w:sz w:val="10"/>
                <w:szCs w:val="10"/>
              </w:rPr>
            </w:pPr>
          </w:p>
        </w:tc>
      </w:tr>
      <w:tr>
        <w:trPr>
          <w:trHeight w:val="20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 Multimercado - Art. 10,1</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9,0%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Fiagro - Art. 10, II</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vMerge w:val="restart"/>
            <w:tcBorders>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20%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FIP - Art. 10,111</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Classes de fundos de investimento - Ações Mercado de Acesso - Art. 10, IV</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0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Fundos Imobiliários - Art. 11®</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0,0%</w:t>
            </w:r>
          </w:p>
        </w:tc>
        <w:tc>
          <w:tcPr>
            <w:tcBorders>
              <w:top w:val="single" w:sz="4"/>
              <w:right w:val="single" w:sz="4"/>
            </w:tcBorders>
            <w:shd w:val="clear" w:color="auto" w:fill="FFFFFF"/>
            <w:vAlign w:val="top"/>
          </w:tcPr>
          <w:p>
            <w:pPr>
              <w:widowControl w:val="0"/>
              <w:rPr>
                <w:sz w:val="10"/>
                <w:szCs w:val="10"/>
              </w:rPr>
            </w:pPr>
          </w:p>
        </w:tc>
      </w:tr>
      <w:tr>
        <w:trPr>
          <w:trHeight w:val="209"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 xml:space="preserve">Fundo/Classe de </w:t>
            </w:r>
            <w:r>
              <w:rPr>
                <w:color w:val="000000"/>
                <w:spacing w:val="0"/>
                <w:w w:val="100"/>
                <w:position w:val="0"/>
                <w:sz w:val="10"/>
                <w:szCs w:val="10"/>
                <w:shd w:val="clear" w:color="auto" w:fill="auto"/>
                <w:lang w:val="pt-BR" w:eastAsia="pt-BR" w:bidi="pt-BR"/>
              </w:rPr>
              <w:t xml:space="preserve">Investimento </w:t>
            </w:r>
            <w:r>
              <w:rPr>
                <w:color w:val="000000"/>
                <w:spacing w:val="0"/>
                <w:w w:val="100"/>
                <w:position w:val="0"/>
                <w:sz w:val="10"/>
                <w:szCs w:val="10"/>
                <w:shd w:val="clear" w:color="auto" w:fill="auto"/>
                <w:lang w:val="pt-PT" w:eastAsia="pt-PT" w:bidi="pt-PT"/>
              </w:rPr>
              <w:t>Imobiliário - Art 11</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20%</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194"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PT" w:eastAsia="pt-PT" w:bidi="pt-PT"/>
              </w:rPr>
              <w:t>Empréstimos Consignados Art. 12®</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0,0%</w:t>
            </w:r>
          </w:p>
        </w:tc>
        <w:tc>
          <w:tcPr>
            <w:tcBorders>
              <w:top w:val="single" w:sz="4"/>
              <w:right w:val="single" w:sz="4"/>
            </w:tcBorders>
            <w:shd w:val="clear" w:color="auto" w:fill="FFFFFF"/>
            <w:vAlign w:val="top"/>
          </w:tcPr>
          <w:p>
            <w:pPr>
              <w:widowControl w:val="0"/>
              <w:rPr>
                <w:sz w:val="10"/>
                <w:szCs w:val="10"/>
              </w:rPr>
            </w:pPr>
          </w:p>
        </w:tc>
      </w:tr>
      <w:tr>
        <w:trPr>
          <w:trHeight w:val="20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PT" w:eastAsia="pt-PT" w:bidi="pt-PT"/>
              </w:rPr>
              <w:t>Empréstimos Consignados - Art 12°</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5%</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5%</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c>
          <w:tcPr>
            <w:tcBorders>
              <w:top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0"/>
                <w:szCs w:val="10"/>
              </w:rPr>
            </w:pPr>
            <w:r>
              <w:rPr>
                <w:color w:val="000000"/>
                <w:spacing w:val="0"/>
                <w:w w:val="100"/>
                <w:position w:val="0"/>
                <w:sz w:val="10"/>
                <w:szCs w:val="10"/>
                <w:shd w:val="clear" w:color="auto" w:fill="auto"/>
                <w:lang w:val="pt-PT" w:eastAsia="pt-PT" w:bidi="pt-PT"/>
              </w:rPr>
              <w:t>0,0%</w:t>
            </w:r>
          </w:p>
        </w:tc>
      </w:tr>
      <w:tr>
        <w:trPr>
          <w:trHeight w:val="259" w:hRule="exact"/>
        </w:trPr>
        <w:tc>
          <w:tcPr>
            <w:tcBorders>
              <w:top w:val="single" w:sz="4"/>
              <w:left w:val="single" w:sz="4"/>
              <w:bottom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4"/>
                <w:szCs w:val="14"/>
              </w:rPr>
            </w:pPr>
            <w:r>
              <w:rPr>
                <w:color w:val="000000"/>
                <w:spacing w:val="0"/>
                <w:w w:val="100"/>
                <w:position w:val="0"/>
                <w:sz w:val="14"/>
                <w:szCs w:val="14"/>
                <w:shd w:val="clear" w:color="auto" w:fill="auto"/>
                <w:lang w:val="pt-PT" w:eastAsia="pt-PT" w:bidi="pt-PT"/>
              </w:rPr>
              <w:t>Total</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1"/>
                <w:szCs w:val="11"/>
              </w:rPr>
            </w:pPr>
            <w:r>
              <w:rPr>
                <w:color w:val="000000"/>
                <w:spacing w:val="0"/>
                <w:w w:val="100"/>
                <w:position w:val="0"/>
                <w:sz w:val="11"/>
                <w:szCs w:val="11"/>
                <w:shd w:val="clear" w:color="auto" w:fill="auto"/>
                <w:lang w:val="pt-PT" w:eastAsia="pt-PT" w:bidi="pt-PT"/>
              </w:rPr>
              <w:t>100,00%</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4499" w:line="1" w:lineRule="exact"/>
      </w:pPr>
    </w:p>
    <w:p>
      <w:pPr>
        <w:widowControl w:val="0"/>
        <w:spacing w:line="1" w:lineRule="exact"/>
      </w:pPr>
    </w:p>
    <w:p>
      <w:pPr>
        <w:widowControl w:val="0"/>
        <w:jc w:val="right"/>
        <w:rPr>
          <w:sz w:val="2"/>
          <w:szCs w:val="2"/>
        </w:rPr>
      </w:pPr>
      <w:r>
        <w:drawing>
          <wp:inline>
            <wp:extent cx="1292225" cy="567055"/>
            <wp:docPr id="296" name="Picutre 296"/>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72"/>
                    <a:stretch/>
                  </pic:blipFill>
                  <pic:spPr>
                    <a:xfrm>
                      <a:ext cx="1292225" cy="567055"/>
                    </a:xfrm>
                    <a:prstGeom prst="rect"/>
                  </pic:spPr>
                </pic:pic>
              </a:graphicData>
            </a:graphic>
          </wp:inline>
        </w:drawing>
      </w:r>
    </w:p>
    <w:sectPr>
      <w:footnotePr>
        <w:pos w:val="pageBottom"/>
        <w:numFmt w:val="decimal"/>
        <w:numRestart w:val="continuous"/>
      </w:footnotePr>
      <w:type w:val="continuous"/>
      <w:pgSz w:w="11900" w:h="16840"/>
      <w:pgMar w:top="2065" w:left="1526" w:right="1287" w:bottom="1664" w:header="0" w:footer="123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1216660</wp:posOffset>
              </wp:positionH>
              <wp:positionV relativeFrom="page">
                <wp:posOffset>689610</wp:posOffset>
              </wp:positionV>
              <wp:extent cx="5399405" cy="292735"/>
              <wp:wrapNone/>
              <wp:docPr id="1" name="Shape 1"/>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95.799999999999997pt;margin-top:54.299999999999997pt;width:425.14999999999998pt;height:23.0500000000000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1216660</wp:posOffset>
              </wp:positionH>
              <wp:positionV relativeFrom="page">
                <wp:posOffset>689610</wp:posOffset>
              </wp:positionV>
              <wp:extent cx="5399405" cy="292735"/>
              <wp:wrapNone/>
              <wp:docPr id="3" name="Shape 3"/>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029" type="#_x0000_t202" style="position:absolute;margin-left:95.799999999999997pt;margin-top:54.299999999999997pt;width:425.14999999999998pt;height:23.0500000000000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1083945</wp:posOffset>
              </wp:positionH>
              <wp:positionV relativeFrom="page">
                <wp:posOffset>723265</wp:posOffset>
              </wp:positionV>
              <wp:extent cx="5399405" cy="297180"/>
              <wp:wrapNone/>
              <wp:docPr id="5" name="Shape 5"/>
              <a:graphic xmlns:a="http://schemas.openxmlformats.org/drawingml/2006/main">
                <a:graphicData uri="http://schemas.microsoft.com/office/word/2010/wordprocessingShape">
                  <wps:wsp>
                    <wps:cNvSpPr txBox="1"/>
                    <wps:spPr>
                      <a:xfrm>
                        <a:ext cx="5399405" cy="2971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031" type="#_x0000_t202" style="position:absolute;margin-left:85.349999999999994pt;margin-top:56.950000000000003pt;width:425.14999999999998pt;height:23.399999999999999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6716395</wp:posOffset>
              </wp:positionH>
              <wp:positionV relativeFrom="page">
                <wp:posOffset>2195195</wp:posOffset>
              </wp:positionV>
              <wp:extent cx="64135" cy="95885"/>
              <wp:wrapNone/>
              <wp:docPr id="7" name="Shape 7"/>
              <a:graphic xmlns:a="http://schemas.openxmlformats.org/drawingml/2006/main">
                <a:graphicData uri="http://schemas.microsoft.com/office/word/2010/wordprocessingShape">
                  <wps:wsp>
                    <wps:cNvSpPr txBox="1"/>
                    <wps:spPr>
                      <a:xfrm>
                        <a:ext cx="64135" cy="9588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PT" w:eastAsia="pt-PT" w:bidi="pt-PT"/>
                            </w:rPr>
                            <w:t>5</w:t>
                          </w:r>
                        </w:p>
                      </w:txbxContent>
                    </wps:txbx>
                    <wps:bodyPr wrap="none" lIns="0" tIns="0" rIns="0" bIns="0">
                      <a:spAutoFit/>
                    </wps:bodyPr>
                  </wps:wsp>
                </a:graphicData>
              </a:graphic>
            </wp:anchor>
          </w:drawing>
        </mc:Choice>
        <mc:Fallback>
          <w:pict>
            <v:shape id="_x0000_s1033" type="#_x0000_t202" style="position:absolute;margin-left:528.85000000000002pt;margin-top:172.84999999999999pt;width:5.0499999999999998pt;height:7.5499999999999998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b/>
                        <w:bCs/>
                        <w:color w:val="000000"/>
                        <w:spacing w:val="0"/>
                        <w:w w:val="100"/>
                        <w:position w:val="0"/>
                        <w:sz w:val="18"/>
                        <w:szCs w:val="18"/>
                        <w:shd w:val="clear" w:color="auto" w:fill="auto"/>
                        <w:lang w:val="pt-PT" w:eastAsia="pt-PT" w:bidi="pt-PT"/>
                      </w:rPr>
                      <w:t>5</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1216660</wp:posOffset>
              </wp:positionH>
              <wp:positionV relativeFrom="page">
                <wp:posOffset>689610</wp:posOffset>
              </wp:positionV>
              <wp:extent cx="5399405" cy="292735"/>
              <wp:wrapNone/>
              <wp:docPr id="9" name="Shape 9"/>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035" type="#_x0000_t202" style="position:absolute;margin-left:95.799999999999997pt;margin-top:54.299999999999997pt;width:425.14999999999998pt;height:23.050000000000001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1216660</wp:posOffset>
              </wp:positionH>
              <wp:positionV relativeFrom="page">
                <wp:posOffset>689610</wp:posOffset>
              </wp:positionV>
              <wp:extent cx="5399405" cy="292735"/>
              <wp:wrapNone/>
              <wp:docPr id="49" name="Shape 49"/>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075" type="#_x0000_t202" style="position:absolute;margin-left:95.799999999999997pt;margin-top:54.299999999999997pt;width:425.14999999999998pt;height:23.050000000000001pt;z-index:-18874405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1216660</wp:posOffset>
              </wp:positionH>
              <wp:positionV relativeFrom="page">
                <wp:posOffset>689610</wp:posOffset>
              </wp:positionV>
              <wp:extent cx="5399405" cy="292735"/>
              <wp:wrapNone/>
              <wp:docPr id="51" name="Shape 51"/>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077" type="#_x0000_t202" style="position:absolute;margin-left:95.799999999999997pt;margin-top:54.299999999999997pt;width:425.14999999999998pt;height:23.050000000000001pt;z-index:-18874405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1216660</wp:posOffset>
              </wp:positionH>
              <wp:positionV relativeFrom="page">
                <wp:posOffset>689610</wp:posOffset>
              </wp:positionV>
              <wp:extent cx="5399405" cy="292735"/>
              <wp:wrapNone/>
              <wp:docPr id="97" name="Shape 97"/>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23" type="#_x0000_t202" style="position:absolute;margin-left:95.799999999999997pt;margin-top:54.299999999999997pt;width:425.14999999999998pt;height:23.050000000000001pt;z-index:-18874404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7" behindDoc="1" locked="0" layoutInCell="1" allowOverlap="1">
              <wp:simplePos x="0" y="0"/>
              <wp:positionH relativeFrom="page">
                <wp:posOffset>1069975</wp:posOffset>
              </wp:positionH>
              <wp:positionV relativeFrom="page">
                <wp:posOffset>695960</wp:posOffset>
              </wp:positionV>
              <wp:extent cx="5399405" cy="292735"/>
              <wp:wrapNone/>
              <wp:docPr id="99" name="Shape 99"/>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25" type="#_x0000_t202" style="position:absolute;margin-left:84.25pt;margin-top:54.799999999999997pt;width:425.14999999999998pt;height:23.050000000000001pt;z-index:-18874404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1065530</wp:posOffset>
              </wp:positionH>
              <wp:positionV relativeFrom="page">
                <wp:posOffset>700405</wp:posOffset>
              </wp:positionV>
              <wp:extent cx="5394960" cy="297180"/>
              <wp:wrapNone/>
              <wp:docPr id="101" name="Shape 101"/>
              <a:graphic xmlns:a="http://schemas.openxmlformats.org/drawingml/2006/main">
                <a:graphicData uri="http://schemas.microsoft.com/office/word/2010/wordprocessingShape">
                  <wps:wsp>
                    <wps:cNvSpPr txBox="1"/>
                    <wps:spPr>
                      <a:xfrm>
                        <a:ext cx="5394960" cy="2971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27" type="#_x0000_t202" style="position:absolute;margin-left:83.900000000000006pt;margin-top:55.149999999999999pt;width:424.80000000000001pt;height:23.399999999999999pt;z-index:-18874404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1072515</wp:posOffset>
              </wp:positionH>
              <wp:positionV relativeFrom="page">
                <wp:posOffset>704850</wp:posOffset>
              </wp:positionV>
              <wp:extent cx="5399405" cy="297180"/>
              <wp:wrapNone/>
              <wp:docPr id="115" name="Shape 115"/>
              <a:graphic xmlns:a="http://schemas.openxmlformats.org/drawingml/2006/main">
                <a:graphicData uri="http://schemas.microsoft.com/office/word/2010/wordprocessingShape">
                  <wps:wsp>
                    <wps:cNvSpPr txBox="1"/>
                    <wps:spPr>
                      <a:xfrm>
                        <a:ext cx="5399405" cy="2971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41" type="#_x0000_t202" style="position:absolute;margin-left:84.450000000000003pt;margin-top:55.5pt;width:425.14999999999998pt;height:23.399999999999999pt;z-index:-18874404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1216660</wp:posOffset>
              </wp:positionH>
              <wp:positionV relativeFrom="page">
                <wp:posOffset>689610</wp:posOffset>
              </wp:positionV>
              <wp:extent cx="5399405" cy="292735"/>
              <wp:wrapNone/>
              <wp:docPr id="117" name="Shape 117"/>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43" type="#_x0000_t202" style="position:absolute;margin-left:95.799999999999997pt;margin-top:54.299999999999997pt;width:425.14999999999998pt;height:23.050000000000001pt;z-index:-18874404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1216660</wp:posOffset>
              </wp:positionH>
              <wp:positionV relativeFrom="page">
                <wp:posOffset>689610</wp:posOffset>
              </wp:positionV>
              <wp:extent cx="5399405" cy="292735"/>
              <wp:wrapNone/>
              <wp:docPr id="121" name="Shape 121"/>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47" type="#_x0000_t202" style="position:absolute;margin-left:95.799999999999997pt;margin-top:54.299999999999997pt;width:425.14999999999998pt;height:23.050000000000001pt;z-index:-18874403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1216660</wp:posOffset>
              </wp:positionH>
              <wp:positionV relativeFrom="page">
                <wp:posOffset>689610</wp:posOffset>
              </wp:positionV>
              <wp:extent cx="5399405" cy="292735"/>
              <wp:wrapNone/>
              <wp:docPr id="123" name="Shape 123"/>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49" type="#_x0000_t202" style="position:absolute;margin-left:95.799999999999997pt;margin-top:54.299999999999997pt;width:425.14999999999998pt;height:23.050000000000001pt;z-index:-18874403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1045210</wp:posOffset>
              </wp:positionH>
              <wp:positionV relativeFrom="page">
                <wp:posOffset>706755</wp:posOffset>
              </wp:positionV>
              <wp:extent cx="5399405" cy="301625"/>
              <wp:wrapNone/>
              <wp:docPr id="173" name="Shape 173"/>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199" type="#_x0000_t202" style="position:absolute;margin-left:82.299999999999997pt;margin-top:55.649999999999999pt;width:425.14999999999998pt;height:23.75pt;z-index:-18874403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1045210</wp:posOffset>
              </wp:positionH>
              <wp:positionV relativeFrom="page">
                <wp:posOffset>706755</wp:posOffset>
              </wp:positionV>
              <wp:extent cx="5399405" cy="301625"/>
              <wp:wrapNone/>
              <wp:docPr id="175" name="Shape 175"/>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01" type="#_x0000_t202" style="position:absolute;margin-left:82.299999999999997pt;margin-top:55.649999999999999pt;width:425.14999999999998pt;height:23.75pt;z-index:-18874402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1216660</wp:posOffset>
              </wp:positionH>
              <wp:positionV relativeFrom="page">
                <wp:posOffset>689610</wp:posOffset>
              </wp:positionV>
              <wp:extent cx="5399405" cy="292735"/>
              <wp:wrapNone/>
              <wp:docPr id="193" name="Shape 193"/>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19" type="#_x0000_t202" style="position:absolute;margin-left:95.799999999999997pt;margin-top:54.299999999999997pt;width:425.14999999999998pt;height:23.050000000000001pt;z-index:-18874402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1216660</wp:posOffset>
              </wp:positionH>
              <wp:positionV relativeFrom="page">
                <wp:posOffset>689610</wp:posOffset>
              </wp:positionV>
              <wp:extent cx="5399405" cy="292735"/>
              <wp:wrapNone/>
              <wp:docPr id="195" name="Shape 195"/>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21" type="#_x0000_t202" style="position:absolute;margin-left:95.799999999999997pt;margin-top:54.299999999999997pt;width:425.14999999999998pt;height:23.050000000000001pt;z-index:-18874402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1038860</wp:posOffset>
              </wp:positionH>
              <wp:positionV relativeFrom="page">
                <wp:posOffset>694055</wp:posOffset>
              </wp:positionV>
              <wp:extent cx="5399405" cy="301625"/>
              <wp:wrapNone/>
              <wp:docPr id="214" name="Shape 214"/>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40" type="#_x0000_t202" style="position:absolute;margin-left:81.799999999999997pt;margin-top:54.649999999999999pt;width:425.14999999999998pt;height:23.75pt;z-index:-18874402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5" behindDoc="1" locked="0" layoutInCell="1" allowOverlap="1">
              <wp:simplePos x="0" y="0"/>
              <wp:positionH relativeFrom="page">
                <wp:posOffset>1038860</wp:posOffset>
              </wp:positionH>
              <wp:positionV relativeFrom="page">
                <wp:posOffset>694055</wp:posOffset>
              </wp:positionV>
              <wp:extent cx="5399405" cy="301625"/>
              <wp:wrapNone/>
              <wp:docPr id="216" name="Shape 216"/>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42" type="#_x0000_t202" style="position:absolute;margin-left:81.799999999999997pt;margin-top:54.649999999999999pt;width:425.14999999999998pt;height:23.75pt;z-index:-18874401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1216660</wp:posOffset>
              </wp:positionH>
              <wp:positionV relativeFrom="page">
                <wp:posOffset>689610</wp:posOffset>
              </wp:positionV>
              <wp:extent cx="5399405" cy="292735"/>
              <wp:wrapNone/>
              <wp:docPr id="226" name="Shape 226"/>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52" type="#_x0000_t202" style="position:absolute;margin-left:95.799999999999997pt;margin-top:54.299999999999997pt;width:425.14999999999998pt;height:23.050000000000001pt;z-index:-18874401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1" behindDoc="1" locked="0" layoutInCell="1" allowOverlap="1">
              <wp:simplePos x="0" y="0"/>
              <wp:positionH relativeFrom="page">
                <wp:posOffset>1216660</wp:posOffset>
              </wp:positionH>
              <wp:positionV relativeFrom="page">
                <wp:posOffset>689610</wp:posOffset>
              </wp:positionV>
              <wp:extent cx="5399405" cy="292735"/>
              <wp:wrapNone/>
              <wp:docPr id="228" name="Shape 228"/>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54" type="#_x0000_t202" style="position:absolute;margin-left:95.799999999999997pt;margin-top:54.299999999999997pt;width:425.14999999999998pt;height:23.050000000000001pt;z-index:-18874401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3" behindDoc="1" locked="0" layoutInCell="1" allowOverlap="1">
              <wp:simplePos x="0" y="0"/>
              <wp:positionH relativeFrom="page">
                <wp:posOffset>1216660</wp:posOffset>
              </wp:positionH>
              <wp:positionV relativeFrom="page">
                <wp:posOffset>689610</wp:posOffset>
              </wp:positionV>
              <wp:extent cx="5399405" cy="292735"/>
              <wp:wrapNone/>
              <wp:docPr id="231" name="Shape 231"/>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57" type="#_x0000_t202" style="position:absolute;margin-left:95.799999999999997pt;margin-top:54.299999999999997pt;width:425.14999999999998pt;height:23.050000000000001pt;z-index:-18874401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1216660</wp:posOffset>
              </wp:positionH>
              <wp:positionV relativeFrom="page">
                <wp:posOffset>689610</wp:posOffset>
              </wp:positionV>
              <wp:extent cx="5399405" cy="292735"/>
              <wp:wrapNone/>
              <wp:docPr id="233" name="Shape 233"/>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59" type="#_x0000_t202" style="position:absolute;margin-left:95.799999999999997pt;margin-top:54.299999999999997pt;width:425.14999999999998pt;height:23.050000000000001pt;z-index:-18874400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1045210</wp:posOffset>
              </wp:positionH>
              <wp:positionV relativeFrom="page">
                <wp:posOffset>689610</wp:posOffset>
              </wp:positionV>
              <wp:extent cx="5399405" cy="297180"/>
              <wp:wrapNone/>
              <wp:docPr id="235" name="Shape 235"/>
              <a:graphic xmlns:a="http://schemas.openxmlformats.org/drawingml/2006/main">
                <a:graphicData uri="http://schemas.microsoft.com/office/word/2010/wordprocessingShape">
                  <wps:wsp>
                    <wps:cNvSpPr txBox="1"/>
                    <wps:spPr>
                      <a:xfrm>
                        <a:ext cx="5399405" cy="2971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61" type="#_x0000_t202" style="position:absolute;margin-left:82.299999999999997pt;margin-top:54.299999999999997pt;width:425.14999999999998pt;height:23.399999999999999pt;z-index:-18874400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1043305</wp:posOffset>
              </wp:positionH>
              <wp:positionV relativeFrom="page">
                <wp:posOffset>689610</wp:posOffset>
              </wp:positionV>
              <wp:extent cx="5399405" cy="301625"/>
              <wp:wrapNone/>
              <wp:docPr id="244" name="Shape 244"/>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70" type="#_x0000_t202" style="position:absolute;margin-left:82.150000000000006pt;margin-top:54.299999999999997pt;width:425.14999999999998pt;height:23.75pt;z-index:-188744002;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1043305</wp:posOffset>
              </wp:positionH>
              <wp:positionV relativeFrom="page">
                <wp:posOffset>689610</wp:posOffset>
              </wp:positionV>
              <wp:extent cx="5399405" cy="301625"/>
              <wp:wrapNone/>
              <wp:docPr id="246" name="Shape 246"/>
              <a:graphic xmlns:a="http://schemas.openxmlformats.org/drawingml/2006/main">
                <a:graphicData uri="http://schemas.microsoft.com/office/word/2010/wordprocessingShape">
                  <wps:wsp>
                    <wps:cNvSpPr txBox="1"/>
                    <wps:spPr>
                      <a:xfrm>
                        <a:ext cx="5399405" cy="3016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72" type="#_x0000_t202" style="position:absolute;margin-left:82.150000000000006pt;margin-top:54.299999999999997pt;width:425.14999999999998pt;height:23.75pt;z-index:-188744000;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1033780</wp:posOffset>
              </wp:positionH>
              <wp:positionV relativeFrom="page">
                <wp:posOffset>680720</wp:posOffset>
              </wp:positionV>
              <wp:extent cx="5399405" cy="306070"/>
              <wp:wrapNone/>
              <wp:docPr id="248" name="Shape 248"/>
              <a:graphic xmlns:a="http://schemas.openxmlformats.org/drawingml/2006/main">
                <a:graphicData uri="http://schemas.microsoft.com/office/word/2010/wordprocessingShape">
                  <wps:wsp>
                    <wps:cNvSpPr txBox="1"/>
                    <wps:spPr>
                      <a:xfrm>
                        <a:ext cx="5399405" cy="3060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274" type="#_x0000_t202" style="position:absolute;margin-left:81.400000000000006pt;margin-top:53.600000000000001pt;width:425.14999999999998pt;height:24.100000000000001pt;z-index:-188743998;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1216660</wp:posOffset>
              </wp:positionH>
              <wp:positionV relativeFrom="page">
                <wp:posOffset>689610</wp:posOffset>
              </wp:positionV>
              <wp:extent cx="5399405" cy="292735"/>
              <wp:wrapNone/>
              <wp:docPr id="275" name="Shape 275"/>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301" type="#_x0000_t202" style="position:absolute;margin-left:95.799999999999997pt;margin-top:54.299999999999997pt;width:425.14999999999998pt;height:23.050000000000001pt;z-index:-188743996;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9" behindDoc="1" locked="0" layoutInCell="1" allowOverlap="1">
              <wp:simplePos x="0" y="0"/>
              <wp:positionH relativeFrom="page">
                <wp:posOffset>1216660</wp:posOffset>
              </wp:positionH>
              <wp:positionV relativeFrom="page">
                <wp:posOffset>689610</wp:posOffset>
              </wp:positionV>
              <wp:extent cx="5399405" cy="292735"/>
              <wp:wrapNone/>
              <wp:docPr id="277" name="Shape 277"/>
              <a:graphic xmlns:a="http://schemas.openxmlformats.org/drawingml/2006/main">
                <a:graphicData uri="http://schemas.microsoft.com/office/word/2010/wordprocessingShape">
                  <wps:wsp>
                    <wps:cNvSpPr txBox="1"/>
                    <wps:spPr>
                      <a:xfrm>
                        <a:ext cx="5399405" cy="29273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wps:txbx>
                    <wps:bodyPr wrap="none" lIns="0" tIns="0" rIns="0" bIns="0">
                      <a:spAutoFit/>
                    </wps:bodyPr>
                  </wps:wsp>
                </a:graphicData>
              </a:graphic>
            </wp:anchor>
          </w:drawing>
        </mc:Choice>
        <mc:Fallback>
          <w:pict>
            <v:shape id="_x0000_s1303" type="#_x0000_t202" style="position:absolute;margin-left:95.799999999999997pt;margin-top:54.299999999999997pt;width:425.14999999999998pt;height:23.050000000000001pt;z-index:-188743994;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ESTADO DO AMAZONAS</w:t>
                    </w:r>
                  </w:p>
                  <w:p>
                    <w:pPr>
                      <w:pStyle w:val="Style4"/>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000000"/>
                        <w:spacing w:val="0"/>
                        <w:w w:val="100"/>
                        <w:position w:val="0"/>
                        <w:sz w:val="19"/>
                        <w:szCs w:val="19"/>
                        <w:shd w:val="clear" w:color="auto" w:fill="auto"/>
                        <w:lang w:val="pt-PT" w:eastAsia="pt-PT" w:bidi="pt-PT"/>
                      </w:rPr>
                      <w:t>FUNDO DE APOSENTADORIA E PENSIONISTAS DOS SERVIDORES MUNICIPAIS DE ENVIRA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2">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bullet"/>
      <w:lvlText w:val="V"/>
      <w:rPr>
        <w:rFonts w:ascii="Arial" w:eastAsia="Arial" w:hAnsi="Arial" w:cs="Arial"/>
        <w:b w:val="0"/>
        <w:bCs w:val="0"/>
        <w:i w:val="0"/>
        <w:iCs w:val="0"/>
        <w:smallCaps w:val="0"/>
        <w:strike w:val="0"/>
        <w:color w:val="000000"/>
        <w:spacing w:val="0"/>
        <w:w w:val="100"/>
        <w:position w:val="0"/>
        <w:sz w:val="16"/>
        <w:szCs w:val="16"/>
        <w:u w:val="none"/>
        <w:shd w:val="clear" w:color="auto" w:fill="auto"/>
        <w:lang w:val="pt-PT" w:eastAsia="pt-PT" w:bidi="pt-PT"/>
      </w:rPr>
    </w:lvl>
  </w:abstractNum>
  <w:abstractNum w:abstractNumId="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1"/>
      <w:numFmt w:val="upp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6">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8">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ing #1|1_"/>
    <w:basedOn w:val="DefaultParagraphFont"/>
    <w:link w:val="Style2"/>
    <w:rPr>
      <w:rFonts w:ascii="Arial" w:eastAsia="Arial" w:hAnsi="Arial" w:cs="Arial"/>
      <w:b/>
      <w:bCs/>
      <w:i w:val="0"/>
      <w:iCs w:val="0"/>
      <w:smallCaps w:val="0"/>
      <w:strike w:val="0"/>
      <w:sz w:val="46"/>
      <w:szCs w:val="46"/>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8">
    <w:name w:val="Other|1_"/>
    <w:basedOn w:val="DefaultParagraphFont"/>
    <w:link w:val="Style7"/>
    <w:rPr>
      <w:rFonts w:ascii="Arial" w:eastAsia="Arial" w:hAnsi="Arial" w:cs="Arial"/>
      <w:b w:val="0"/>
      <w:bCs w:val="0"/>
      <w:i w:val="0"/>
      <w:iCs w:val="0"/>
      <w:smallCaps w:val="0"/>
      <w:strike w:val="0"/>
      <w:sz w:val="16"/>
      <w:szCs w:val="16"/>
      <w:u w:val="none"/>
    </w:rPr>
  </w:style>
  <w:style w:type="character" w:customStyle="1" w:styleId="CharStyle11">
    <w:name w:val="Body text|1_"/>
    <w:basedOn w:val="DefaultParagraphFont"/>
    <w:link w:val="Style10"/>
    <w:rPr>
      <w:rFonts w:ascii="Arial" w:eastAsia="Arial" w:hAnsi="Arial" w:cs="Arial"/>
      <w:b w:val="0"/>
      <w:bCs w:val="0"/>
      <w:i w:val="0"/>
      <w:iCs w:val="0"/>
      <w:smallCaps w:val="0"/>
      <w:strike w:val="0"/>
      <w:sz w:val="16"/>
      <w:szCs w:val="16"/>
      <w:u w:val="none"/>
    </w:rPr>
  </w:style>
  <w:style w:type="character" w:customStyle="1" w:styleId="CharStyle14">
    <w:name w:val="Body text|2_"/>
    <w:basedOn w:val="DefaultParagraphFont"/>
    <w:link w:val="Style13"/>
    <w:rPr>
      <w:rFonts w:ascii="Arial" w:eastAsia="Arial" w:hAnsi="Arial" w:cs="Arial"/>
      <w:b w:val="0"/>
      <w:bCs w:val="0"/>
      <w:i w:val="0"/>
      <w:iCs w:val="0"/>
      <w:smallCaps w:val="0"/>
      <w:strike w:val="0"/>
      <w:sz w:val="19"/>
      <w:szCs w:val="19"/>
      <w:u w:val="none"/>
    </w:rPr>
  </w:style>
  <w:style w:type="character" w:customStyle="1" w:styleId="CharStyle17">
    <w:name w:val="Heading #3|1_"/>
    <w:basedOn w:val="DefaultParagraphFont"/>
    <w:link w:val="Style16"/>
    <w:rPr>
      <w:rFonts w:ascii="Arial" w:eastAsia="Arial" w:hAnsi="Arial" w:cs="Arial"/>
      <w:b/>
      <w:bCs/>
      <w:i w:val="0"/>
      <w:iCs w:val="0"/>
      <w:smallCaps w:val="0"/>
      <w:strike w:val="0"/>
      <w:sz w:val="18"/>
      <w:szCs w:val="18"/>
      <w:u w:val="none"/>
    </w:rPr>
  </w:style>
  <w:style w:type="character" w:customStyle="1" w:styleId="CharStyle20">
    <w:name w:val="Heading #2|1_"/>
    <w:basedOn w:val="DefaultParagraphFont"/>
    <w:link w:val="Style19"/>
    <w:rPr>
      <w:rFonts w:ascii="Arial" w:eastAsia="Arial" w:hAnsi="Arial" w:cs="Arial"/>
      <w:b/>
      <w:bCs/>
      <w:i w:val="0"/>
      <w:iCs w:val="0"/>
      <w:smallCaps w:val="0"/>
      <w:strike w:val="0"/>
      <w:color w:val="4E6896"/>
      <w:sz w:val="32"/>
      <w:szCs w:val="32"/>
      <w:u w:val="none"/>
    </w:rPr>
  </w:style>
  <w:style w:type="character" w:customStyle="1" w:styleId="CharStyle26">
    <w:name w:val="Picture caption|1_"/>
    <w:basedOn w:val="DefaultParagraphFont"/>
    <w:link w:val="Style25"/>
    <w:rPr>
      <w:rFonts w:ascii="Arial" w:eastAsia="Arial" w:hAnsi="Arial" w:cs="Arial"/>
      <w:b w:val="0"/>
      <w:bCs w:val="0"/>
      <w:i w:val="0"/>
      <w:iCs w:val="0"/>
      <w:smallCaps w:val="0"/>
      <w:strike w:val="0"/>
      <w:sz w:val="14"/>
      <w:szCs w:val="14"/>
      <w:u w:val="none"/>
    </w:rPr>
  </w:style>
  <w:style w:type="character" w:customStyle="1" w:styleId="CharStyle43">
    <w:name w:val="Body text|3_"/>
    <w:basedOn w:val="DefaultParagraphFont"/>
    <w:link w:val="Style42"/>
    <w:rPr>
      <w:rFonts w:ascii="Arial" w:eastAsia="Arial" w:hAnsi="Arial" w:cs="Arial"/>
      <w:b w:val="0"/>
      <w:bCs w:val="0"/>
      <w:i w:val="0"/>
      <w:iCs w:val="0"/>
      <w:smallCaps w:val="0"/>
      <w:strike w:val="0"/>
      <w:sz w:val="10"/>
      <w:szCs w:val="10"/>
      <w:u w:val="none"/>
    </w:rPr>
  </w:style>
  <w:style w:type="character" w:customStyle="1" w:styleId="CharStyle53">
    <w:name w:val="Table caption|1_"/>
    <w:basedOn w:val="DefaultParagraphFont"/>
    <w:link w:val="Style52"/>
    <w:rPr>
      <w:rFonts w:ascii="Arial" w:eastAsia="Arial" w:hAnsi="Arial" w:cs="Arial"/>
      <w:b w:val="0"/>
      <w:bCs w:val="0"/>
      <w:i w:val="0"/>
      <w:iCs w:val="0"/>
      <w:smallCaps w:val="0"/>
      <w:strike w:val="0"/>
      <w:sz w:val="16"/>
      <w:szCs w:val="16"/>
      <w:u w:val="none"/>
    </w:rPr>
  </w:style>
  <w:style w:type="paragraph" w:customStyle="1" w:styleId="Style2">
    <w:name w:val="Heading #1|1"/>
    <w:basedOn w:val="Normal"/>
    <w:link w:val="CharStyle3"/>
    <w:pPr>
      <w:widowControl w:val="0"/>
      <w:shd w:val="clear" w:color="auto" w:fill="FFFFFF"/>
      <w:spacing w:after="1320" w:line="264" w:lineRule="auto"/>
      <w:ind w:left="260" w:right="1040"/>
      <w:outlineLvl w:val="0"/>
    </w:pPr>
    <w:rPr>
      <w:rFonts w:ascii="Arial" w:eastAsia="Arial" w:hAnsi="Arial" w:cs="Arial"/>
      <w:b/>
      <w:bCs/>
      <w:i w:val="0"/>
      <w:iCs w:val="0"/>
      <w:smallCaps w:val="0"/>
      <w:strike w:val="0"/>
      <w:sz w:val="46"/>
      <w:szCs w:val="46"/>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7">
    <w:name w:val="Other|1"/>
    <w:basedOn w:val="Normal"/>
    <w:link w:val="CharStyle8"/>
    <w:pPr>
      <w:widowControl w:val="0"/>
      <w:shd w:val="clear" w:color="auto" w:fill="FFFFFF"/>
      <w:spacing w:line="286" w:lineRule="auto"/>
    </w:pPr>
    <w:rPr>
      <w:rFonts w:ascii="Arial" w:eastAsia="Arial" w:hAnsi="Arial" w:cs="Arial"/>
      <w:b w:val="0"/>
      <w:bCs w:val="0"/>
      <w:i w:val="0"/>
      <w:iCs w:val="0"/>
      <w:smallCaps w:val="0"/>
      <w:strike w:val="0"/>
      <w:sz w:val="16"/>
      <w:szCs w:val="16"/>
      <w:u w:val="none"/>
    </w:rPr>
  </w:style>
  <w:style w:type="paragraph" w:customStyle="1" w:styleId="Style10">
    <w:name w:val="Body text|1"/>
    <w:basedOn w:val="Normal"/>
    <w:link w:val="CharStyle11"/>
    <w:pPr>
      <w:widowControl w:val="0"/>
      <w:shd w:val="clear" w:color="auto" w:fill="FFFFFF"/>
      <w:spacing w:line="286" w:lineRule="auto"/>
    </w:pPr>
    <w:rPr>
      <w:rFonts w:ascii="Arial" w:eastAsia="Arial" w:hAnsi="Arial" w:cs="Arial"/>
      <w:b w:val="0"/>
      <w:bCs w:val="0"/>
      <w:i w:val="0"/>
      <w:iCs w:val="0"/>
      <w:smallCaps w:val="0"/>
      <w:strike w:val="0"/>
      <w:sz w:val="16"/>
      <w:szCs w:val="16"/>
      <w:u w:val="none"/>
    </w:rPr>
  </w:style>
  <w:style w:type="paragraph" w:customStyle="1" w:styleId="Style13">
    <w:name w:val="Body text|2"/>
    <w:basedOn w:val="Normal"/>
    <w:link w:val="CharStyle14"/>
    <w:pPr>
      <w:widowControl w:val="0"/>
      <w:shd w:val="clear" w:color="auto" w:fill="FFFFFF"/>
      <w:spacing w:after="100" w:line="271" w:lineRule="auto"/>
      <w:ind w:firstLine="720"/>
    </w:pPr>
    <w:rPr>
      <w:rFonts w:ascii="Arial" w:eastAsia="Arial" w:hAnsi="Arial" w:cs="Arial"/>
      <w:b w:val="0"/>
      <w:bCs w:val="0"/>
      <w:i w:val="0"/>
      <w:iCs w:val="0"/>
      <w:smallCaps w:val="0"/>
      <w:strike w:val="0"/>
      <w:sz w:val="19"/>
      <w:szCs w:val="19"/>
      <w:u w:val="none"/>
    </w:rPr>
  </w:style>
  <w:style w:type="paragraph" w:customStyle="1" w:styleId="Style16">
    <w:name w:val="Heading #3|1"/>
    <w:basedOn w:val="Normal"/>
    <w:link w:val="CharStyle17"/>
    <w:pPr>
      <w:widowControl w:val="0"/>
      <w:shd w:val="clear" w:color="auto" w:fill="FFFFFF"/>
      <w:spacing w:after="100" w:line="283" w:lineRule="auto"/>
      <w:outlineLvl w:val="2"/>
    </w:pPr>
    <w:rPr>
      <w:rFonts w:ascii="Arial" w:eastAsia="Arial" w:hAnsi="Arial" w:cs="Arial"/>
      <w:b/>
      <w:bCs/>
      <w:i w:val="0"/>
      <w:iCs w:val="0"/>
      <w:smallCaps w:val="0"/>
      <w:strike w:val="0"/>
      <w:sz w:val="18"/>
      <w:szCs w:val="18"/>
      <w:u w:val="none"/>
    </w:rPr>
  </w:style>
  <w:style w:type="paragraph" w:customStyle="1" w:styleId="Style19">
    <w:name w:val="Heading #2|1"/>
    <w:basedOn w:val="Normal"/>
    <w:link w:val="CharStyle20"/>
    <w:pPr>
      <w:widowControl w:val="0"/>
      <w:shd w:val="clear" w:color="auto" w:fill="FFFFFF"/>
      <w:spacing w:after="200"/>
      <w:ind w:left="220"/>
      <w:outlineLvl w:val="1"/>
    </w:pPr>
    <w:rPr>
      <w:rFonts w:ascii="Arial" w:eastAsia="Arial" w:hAnsi="Arial" w:cs="Arial"/>
      <w:b/>
      <w:bCs/>
      <w:i w:val="0"/>
      <w:iCs w:val="0"/>
      <w:smallCaps w:val="0"/>
      <w:strike w:val="0"/>
      <w:color w:val="4E6896"/>
      <w:sz w:val="32"/>
      <w:szCs w:val="32"/>
      <w:u w:val="none"/>
    </w:rPr>
  </w:style>
  <w:style w:type="paragraph" w:customStyle="1" w:styleId="Style25">
    <w:name w:val="Picture caption|1"/>
    <w:basedOn w:val="Normal"/>
    <w:link w:val="CharStyle26"/>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42">
    <w:name w:val="Body text|3"/>
    <w:basedOn w:val="Normal"/>
    <w:link w:val="CharStyle43"/>
    <w:pPr>
      <w:widowControl w:val="0"/>
      <w:shd w:val="clear" w:color="auto" w:fill="FFFFFF"/>
      <w:spacing w:after="90"/>
      <w:ind w:left="1430" w:firstLine="140"/>
    </w:pPr>
    <w:rPr>
      <w:rFonts w:ascii="Arial" w:eastAsia="Arial" w:hAnsi="Arial" w:cs="Arial"/>
      <w:b w:val="0"/>
      <w:bCs w:val="0"/>
      <w:i w:val="0"/>
      <w:iCs w:val="0"/>
      <w:smallCaps w:val="0"/>
      <w:strike w:val="0"/>
      <w:sz w:val="10"/>
      <w:szCs w:val="10"/>
      <w:u w:val="none"/>
    </w:rPr>
  </w:style>
  <w:style w:type="paragraph" w:customStyle="1" w:styleId="Style52">
    <w:name w:val="Table caption|1"/>
    <w:basedOn w:val="Normal"/>
    <w:link w:val="CharStyle53"/>
    <w:pPr>
      <w:widowControl w:val="0"/>
      <w:shd w:val="clear" w:color="auto" w:fill="FFFFFF"/>
    </w:pPr>
    <w:rPr>
      <w:rFonts w:ascii="Arial" w:eastAsia="Arial" w:hAnsi="Arial" w:cs="Arial"/>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header" Target="header5.xml"/><Relationship Id="rId22" Type="http://schemas.openxmlformats.org/officeDocument/2006/relationships/header" Target="header6.xml"/><Relationship Id="rId23" Type="http://schemas.openxmlformats.org/officeDocument/2006/relationships/image" Target="media/image7.jpeg"/><Relationship Id="rId24" Type="http://schemas.openxmlformats.org/officeDocument/2006/relationships/image" Target="media/image7.jpeg" TargetMode="External"/><Relationship Id="rId25" Type="http://schemas.openxmlformats.org/officeDocument/2006/relationships/image" Target="media/image8.jpeg"/><Relationship Id="rId26" Type="http://schemas.openxmlformats.org/officeDocument/2006/relationships/image" Target="media/image8.jpeg" TargetMode="External"/><Relationship Id="rId27" Type="http://schemas.openxmlformats.org/officeDocument/2006/relationships/image" Target="media/image9.jpeg"/><Relationship Id="rId28" Type="http://schemas.openxmlformats.org/officeDocument/2006/relationships/image" Target="media/image9.jpeg" TargetMode="External"/><Relationship Id="rId29" Type="http://schemas.openxmlformats.org/officeDocument/2006/relationships/image" Target="media/image10.jpeg"/><Relationship Id="rId30" Type="http://schemas.openxmlformats.org/officeDocument/2006/relationships/image" Target="media/image10.jpeg" TargetMode="External"/><Relationship Id="rId31" Type="http://schemas.openxmlformats.org/officeDocument/2006/relationships/image" Target="media/image11.jpeg"/><Relationship Id="rId32" Type="http://schemas.openxmlformats.org/officeDocument/2006/relationships/image" Target="media/image11.jpeg" TargetMode="External"/><Relationship Id="rId33" Type="http://schemas.openxmlformats.org/officeDocument/2006/relationships/image" Target="media/image12.jpeg"/><Relationship Id="rId34" Type="http://schemas.openxmlformats.org/officeDocument/2006/relationships/image" Target="media/image12.jpeg" TargetMode="External"/><Relationship Id="rId35" Type="http://schemas.openxmlformats.org/officeDocument/2006/relationships/image" Target="media/image13.jpeg"/><Relationship Id="rId36" Type="http://schemas.openxmlformats.org/officeDocument/2006/relationships/image" Target="media/image13.jpeg" TargetMode="External"/><Relationship Id="rId37" Type="http://schemas.openxmlformats.org/officeDocument/2006/relationships/image" Target="media/image14.jpeg"/><Relationship Id="rId38" Type="http://schemas.openxmlformats.org/officeDocument/2006/relationships/image" Target="media/image14.jpeg" TargetMode="External"/><Relationship Id="rId39" Type="http://schemas.openxmlformats.org/officeDocument/2006/relationships/image" Target="media/image15.jpeg"/><Relationship Id="rId40" Type="http://schemas.openxmlformats.org/officeDocument/2006/relationships/image" Target="media/image15.jpeg" TargetMode="External"/><Relationship Id="rId41" Type="http://schemas.openxmlformats.org/officeDocument/2006/relationships/image" Target="media/image16.jpeg"/><Relationship Id="rId42" Type="http://schemas.openxmlformats.org/officeDocument/2006/relationships/image" Target="media/image16.jpeg" TargetMode="External"/><Relationship Id="rId43" Type="http://schemas.openxmlformats.org/officeDocument/2006/relationships/image" Target="media/image17.jpeg"/><Relationship Id="rId44" Type="http://schemas.openxmlformats.org/officeDocument/2006/relationships/image" Target="media/image17.jpeg" TargetMode="External"/><Relationship Id="rId45" Type="http://schemas.openxmlformats.org/officeDocument/2006/relationships/image" Target="media/image18.jpeg"/><Relationship Id="rId46" Type="http://schemas.openxmlformats.org/officeDocument/2006/relationships/image" Target="media/image18.jpeg" TargetMode="External"/><Relationship Id="rId47" Type="http://schemas.openxmlformats.org/officeDocument/2006/relationships/header" Target="header7.xml"/><Relationship Id="rId48" Type="http://schemas.openxmlformats.org/officeDocument/2006/relationships/header" Target="header8.xml"/><Relationship Id="rId49" Type="http://schemas.openxmlformats.org/officeDocument/2006/relationships/header" Target="header9.xml"/><Relationship Id="rId50" Type="http://schemas.openxmlformats.org/officeDocument/2006/relationships/image" Target="media/image19.jpeg"/><Relationship Id="rId51" Type="http://schemas.openxmlformats.org/officeDocument/2006/relationships/image" Target="media/image19.jpeg" TargetMode="External"/><Relationship Id="rId52" Type="http://schemas.openxmlformats.org/officeDocument/2006/relationships/image" Target="media/image20.jpeg"/><Relationship Id="rId53" Type="http://schemas.openxmlformats.org/officeDocument/2006/relationships/image" Target="media/image20.jpeg" TargetMode="External"/><Relationship Id="rId54" Type="http://schemas.openxmlformats.org/officeDocument/2006/relationships/image" Target="media/image21.jpeg"/><Relationship Id="rId55" Type="http://schemas.openxmlformats.org/officeDocument/2006/relationships/image" Target="media/image21.jpeg" TargetMode="External"/><Relationship Id="rId56" Type="http://schemas.openxmlformats.org/officeDocument/2006/relationships/image" Target="media/image22.jpeg"/><Relationship Id="rId57" Type="http://schemas.openxmlformats.org/officeDocument/2006/relationships/image" Target="media/image22.jpeg" TargetMode="External"/><Relationship Id="rId58" Type="http://schemas.openxmlformats.org/officeDocument/2006/relationships/image" Target="media/image23.jpeg"/><Relationship Id="rId59" Type="http://schemas.openxmlformats.org/officeDocument/2006/relationships/image" Target="media/image23.jpeg" TargetMode="External"/><Relationship Id="rId60" Type="http://schemas.openxmlformats.org/officeDocument/2006/relationships/image" Target="media/image24.jpeg"/><Relationship Id="rId61" Type="http://schemas.openxmlformats.org/officeDocument/2006/relationships/image" Target="media/image24.jpeg" TargetMode="External"/><Relationship Id="rId62" Type="http://schemas.openxmlformats.org/officeDocument/2006/relationships/header" Target="header10.xml"/><Relationship Id="rId63" Type="http://schemas.openxmlformats.org/officeDocument/2006/relationships/header" Target="header11.xml"/><Relationship Id="rId64" Type="http://schemas.openxmlformats.org/officeDocument/2006/relationships/image" Target="media/image25.jpeg"/><Relationship Id="rId65" Type="http://schemas.openxmlformats.org/officeDocument/2006/relationships/image" Target="media/image25.jpeg" TargetMode="External"/><Relationship Id="rId66" Type="http://schemas.openxmlformats.org/officeDocument/2006/relationships/header" Target="header12.xml"/><Relationship Id="rId67" Type="http://schemas.openxmlformats.org/officeDocument/2006/relationships/header" Target="header13.xml"/><Relationship Id="rId68" Type="http://schemas.openxmlformats.org/officeDocument/2006/relationships/image" Target="media/image26.jpeg"/><Relationship Id="rId69" Type="http://schemas.openxmlformats.org/officeDocument/2006/relationships/image" Target="media/image26.jpeg" TargetMode="External"/><Relationship Id="rId70" Type="http://schemas.openxmlformats.org/officeDocument/2006/relationships/image" Target="media/image27.jpeg"/><Relationship Id="rId71" Type="http://schemas.openxmlformats.org/officeDocument/2006/relationships/image" Target="media/image27.jpeg" TargetMode="External"/><Relationship Id="rId72" Type="http://schemas.openxmlformats.org/officeDocument/2006/relationships/image" Target="media/image28.jpeg"/><Relationship Id="rId73" Type="http://schemas.openxmlformats.org/officeDocument/2006/relationships/image" Target="media/image28.jpeg" TargetMode="External"/><Relationship Id="rId74" Type="http://schemas.openxmlformats.org/officeDocument/2006/relationships/image" Target="media/image29.jpeg"/><Relationship Id="rId75" Type="http://schemas.openxmlformats.org/officeDocument/2006/relationships/image" Target="media/image29.jpeg" TargetMode="External"/><Relationship Id="rId76" Type="http://schemas.openxmlformats.org/officeDocument/2006/relationships/image" Target="media/image30.jpeg"/><Relationship Id="rId77" Type="http://schemas.openxmlformats.org/officeDocument/2006/relationships/image" Target="media/image30.jpeg" TargetMode="External"/><Relationship Id="rId78" Type="http://schemas.openxmlformats.org/officeDocument/2006/relationships/image" Target="media/image31.jpeg"/><Relationship Id="rId79" Type="http://schemas.openxmlformats.org/officeDocument/2006/relationships/image" Target="media/image31.jpeg" TargetMode="External"/><Relationship Id="rId80" Type="http://schemas.openxmlformats.org/officeDocument/2006/relationships/image" Target="media/image32.jpeg"/><Relationship Id="rId81" Type="http://schemas.openxmlformats.org/officeDocument/2006/relationships/image" Target="media/image32.jpeg" TargetMode="External"/><Relationship Id="rId82" Type="http://schemas.openxmlformats.org/officeDocument/2006/relationships/image" Target="media/image33.jpeg"/><Relationship Id="rId83" Type="http://schemas.openxmlformats.org/officeDocument/2006/relationships/image" Target="media/image33.jpeg" TargetMode="External"/><Relationship Id="rId84" Type="http://schemas.openxmlformats.org/officeDocument/2006/relationships/image" Target="media/image34.jpeg"/><Relationship Id="rId85" Type="http://schemas.openxmlformats.org/officeDocument/2006/relationships/image" Target="media/image34.jpeg" TargetMode="External"/><Relationship Id="rId86" Type="http://schemas.openxmlformats.org/officeDocument/2006/relationships/header" Target="header14.xml"/><Relationship Id="rId87" Type="http://schemas.openxmlformats.org/officeDocument/2006/relationships/header" Target="header15.xml"/><Relationship Id="rId88" Type="http://schemas.openxmlformats.org/officeDocument/2006/relationships/image" Target="media/image35.jpeg"/><Relationship Id="rId89" Type="http://schemas.openxmlformats.org/officeDocument/2006/relationships/image" Target="media/image35.jpeg" TargetMode="External"/><Relationship Id="rId90" Type="http://schemas.openxmlformats.org/officeDocument/2006/relationships/image" Target="media/image36.jpeg"/><Relationship Id="rId91" Type="http://schemas.openxmlformats.org/officeDocument/2006/relationships/image" Target="media/image36.jpeg" TargetMode="External"/><Relationship Id="rId92" Type="http://schemas.openxmlformats.org/officeDocument/2006/relationships/image" Target="media/image37.jpeg"/><Relationship Id="rId93" Type="http://schemas.openxmlformats.org/officeDocument/2006/relationships/image" Target="media/image37.jpeg" TargetMode="External"/><Relationship Id="rId94" Type="http://schemas.openxmlformats.org/officeDocument/2006/relationships/image" Target="media/image38.jpeg"/><Relationship Id="rId95" Type="http://schemas.openxmlformats.org/officeDocument/2006/relationships/image" Target="media/image38.jpeg" TargetMode="External"/><Relationship Id="rId96" Type="http://schemas.openxmlformats.org/officeDocument/2006/relationships/image" Target="media/image39.jpeg"/><Relationship Id="rId97" Type="http://schemas.openxmlformats.org/officeDocument/2006/relationships/image" Target="media/image39.jpeg" TargetMode="External"/><Relationship Id="rId98" Type="http://schemas.openxmlformats.org/officeDocument/2006/relationships/header" Target="header16.xml"/><Relationship Id="rId99" Type="http://schemas.openxmlformats.org/officeDocument/2006/relationships/header" Target="header17.xml"/><Relationship Id="rId100" Type="http://schemas.openxmlformats.org/officeDocument/2006/relationships/image" Target="media/image40.jpeg"/><Relationship Id="rId101" Type="http://schemas.openxmlformats.org/officeDocument/2006/relationships/image" Target="media/image40.jpeg" TargetMode="External"/><Relationship Id="rId102" Type="http://schemas.openxmlformats.org/officeDocument/2006/relationships/image" Target="media/image41.jpeg"/><Relationship Id="rId103" Type="http://schemas.openxmlformats.org/officeDocument/2006/relationships/image" Target="media/image41.jpeg" TargetMode="External"/><Relationship Id="rId104" Type="http://schemas.openxmlformats.org/officeDocument/2006/relationships/image" Target="media/image42.jpeg"/><Relationship Id="rId105" Type="http://schemas.openxmlformats.org/officeDocument/2006/relationships/image" Target="media/image42.jpeg" TargetMode="External"/><Relationship Id="rId106" Type="http://schemas.openxmlformats.org/officeDocument/2006/relationships/image" Target="media/image43.jpeg"/><Relationship Id="rId107" Type="http://schemas.openxmlformats.org/officeDocument/2006/relationships/image" Target="media/image43.jpeg" TargetMode="External"/><Relationship Id="rId108" Type="http://schemas.openxmlformats.org/officeDocument/2006/relationships/image" Target="media/image44.jpeg"/><Relationship Id="rId109" Type="http://schemas.openxmlformats.org/officeDocument/2006/relationships/image" Target="media/image44.jpeg" TargetMode="External"/><Relationship Id="rId110" Type="http://schemas.openxmlformats.org/officeDocument/2006/relationships/image" Target="media/image45.jpeg"/><Relationship Id="rId111" Type="http://schemas.openxmlformats.org/officeDocument/2006/relationships/image" Target="media/image45.jpeg" TargetMode="External"/><Relationship Id="rId112" Type="http://schemas.openxmlformats.org/officeDocument/2006/relationships/header" Target="header18.xml"/><Relationship Id="rId113" Type="http://schemas.openxmlformats.org/officeDocument/2006/relationships/header" Target="header19.xml"/><Relationship Id="rId114" Type="http://schemas.openxmlformats.org/officeDocument/2006/relationships/image" Target="media/image46.jpeg"/><Relationship Id="rId115" Type="http://schemas.openxmlformats.org/officeDocument/2006/relationships/image" Target="media/image46.jpeg" TargetMode="External"/><Relationship Id="rId116" Type="http://schemas.openxmlformats.org/officeDocument/2006/relationships/image" Target="media/image47.jpeg"/><Relationship Id="rId117" Type="http://schemas.openxmlformats.org/officeDocument/2006/relationships/image" Target="media/image47.jpeg" TargetMode="External"/><Relationship Id="rId118" Type="http://schemas.openxmlformats.org/officeDocument/2006/relationships/image" Target="media/image48.jpeg"/><Relationship Id="rId119" Type="http://schemas.openxmlformats.org/officeDocument/2006/relationships/image" Target="media/image48.jpeg" TargetMode="External"/><Relationship Id="rId120" Type="http://schemas.openxmlformats.org/officeDocument/2006/relationships/image" Target="media/image49.jpeg"/><Relationship Id="rId121" Type="http://schemas.openxmlformats.org/officeDocument/2006/relationships/image" Target="media/image49.jpeg" TargetMode="External"/><Relationship Id="rId122" Type="http://schemas.openxmlformats.org/officeDocument/2006/relationships/header" Target="header20.xml"/><Relationship Id="rId123" Type="http://schemas.openxmlformats.org/officeDocument/2006/relationships/header" Target="header21.xml"/><Relationship Id="rId124" Type="http://schemas.openxmlformats.org/officeDocument/2006/relationships/image" Target="media/image50.jpeg"/><Relationship Id="rId125" Type="http://schemas.openxmlformats.org/officeDocument/2006/relationships/image" Target="media/image50.jpeg" TargetMode="External"/><Relationship Id="rId126" Type="http://schemas.openxmlformats.org/officeDocument/2006/relationships/header" Target="header22.xml"/><Relationship Id="rId127" Type="http://schemas.openxmlformats.org/officeDocument/2006/relationships/header" Target="header23.xml"/><Relationship Id="rId128" Type="http://schemas.openxmlformats.org/officeDocument/2006/relationships/header" Target="header24.xml"/><Relationship Id="rId129" Type="http://schemas.openxmlformats.org/officeDocument/2006/relationships/image" Target="media/image51.jpeg"/><Relationship Id="rId130" Type="http://schemas.openxmlformats.org/officeDocument/2006/relationships/image" Target="media/image51.jpeg" TargetMode="External"/><Relationship Id="rId131" Type="http://schemas.openxmlformats.org/officeDocument/2006/relationships/image" Target="media/image52.jpeg"/><Relationship Id="rId132" Type="http://schemas.openxmlformats.org/officeDocument/2006/relationships/image" Target="media/image52.jpeg" TargetMode="External"/><Relationship Id="rId133" Type="http://schemas.openxmlformats.org/officeDocument/2006/relationships/image" Target="media/image53.jpeg"/><Relationship Id="rId134" Type="http://schemas.openxmlformats.org/officeDocument/2006/relationships/image" Target="media/image53.jpeg" TargetMode="External"/><Relationship Id="rId135" Type="http://schemas.openxmlformats.org/officeDocument/2006/relationships/image" Target="media/image54.jpeg"/><Relationship Id="rId136" Type="http://schemas.openxmlformats.org/officeDocument/2006/relationships/image" Target="media/image54.jpeg" TargetMode="External"/><Relationship Id="rId137" Type="http://schemas.openxmlformats.org/officeDocument/2006/relationships/header" Target="header25.xml"/><Relationship Id="rId138" Type="http://schemas.openxmlformats.org/officeDocument/2006/relationships/header" Target="header26.xml"/><Relationship Id="rId139" Type="http://schemas.openxmlformats.org/officeDocument/2006/relationships/header" Target="header27.xml"/><Relationship Id="rId140" Type="http://schemas.openxmlformats.org/officeDocument/2006/relationships/image" Target="media/image55.jpeg"/><Relationship Id="rId141" Type="http://schemas.openxmlformats.org/officeDocument/2006/relationships/image" Target="media/image55.jpeg" TargetMode="External"/><Relationship Id="rId142" Type="http://schemas.openxmlformats.org/officeDocument/2006/relationships/image" Target="media/image56.jpeg"/><Relationship Id="rId143" Type="http://schemas.openxmlformats.org/officeDocument/2006/relationships/image" Target="media/image56.jpeg" TargetMode="External"/><Relationship Id="rId144" Type="http://schemas.openxmlformats.org/officeDocument/2006/relationships/image" Target="media/image57.jpeg"/><Relationship Id="rId145" Type="http://schemas.openxmlformats.org/officeDocument/2006/relationships/image" Target="media/image57.jpeg" TargetMode="External"/><Relationship Id="rId146" Type="http://schemas.openxmlformats.org/officeDocument/2006/relationships/image" Target="media/image58.jpeg"/><Relationship Id="rId147" Type="http://schemas.openxmlformats.org/officeDocument/2006/relationships/image" Target="media/image58.jpeg" TargetMode="External"/><Relationship Id="rId148" Type="http://schemas.openxmlformats.org/officeDocument/2006/relationships/image" Target="media/image59.jpeg"/><Relationship Id="rId149" Type="http://schemas.openxmlformats.org/officeDocument/2006/relationships/image" Target="media/image59.jpeg" TargetMode="External"/><Relationship Id="rId150" Type="http://schemas.openxmlformats.org/officeDocument/2006/relationships/image" Target="media/image60.jpeg"/><Relationship Id="rId151" Type="http://schemas.openxmlformats.org/officeDocument/2006/relationships/image" Target="media/image60.jpeg" TargetMode="External"/><Relationship Id="rId152" Type="http://schemas.openxmlformats.org/officeDocument/2006/relationships/image" Target="media/image61.jpeg"/><Relationship Id="rId153" Type="http://schemas.openxmlformats.org/officeDocument/2006/relationships/image" Target="media/image61.jpeg" TargetMode="External"/><Relationship Id="rId154" Type="http://schemas.openxmlformats.org/officeDocument/2006/relationships/image" Target="media/image62.jpeg"/><Relationship Id="rId155" Type="http://schemas.openxmlformats.org/officeDocument/2006/relationships/image" Target="media/image62.jpeg" TargetMode="External"/><Relationship Id="rId156" Type="http://schemas.openxmlformats.org/officeDocument/2006/relationships/header" Target="header28.xml"/><Relationship Id="rId157" Type="http://schemas.openxmlformats.org/officeDocument/2006/relationships/header" Target="header29.xml"/><Relationship Id="rId158" Type="http://schemas.openxmlformats.org/officeDocument/2006/relationships/image" Target="media/image63.jpeg"/><Relationship Id="rId159" Type="http://schemas.openxmlformats.org/officeDocument/2006/relationships/image" Target="media/image63.jpeg" TargetMode="External"/><Relationship Id="rId160" Type="http://schemas.openxmlformats.org/officeDocument/2006/relationships/image" Target="media/image64.jpeg"/><Relationship Id="rId161" Type="http://schemas.openxmlformats.org/officeDocument/2006/relationships/image" Target="media/image64.jpeg" TargetMode="External"/><Relationship Id="rId162" Type="http://schemas.openxmlformats.org/officeDocument/2006/relationships/image" Target="media/image65.jpeg"/><Relationship Id="rId163" Type="http://schemas.openxmlformats.org/officeDocument/2006/relationships/image" Target="media/image65.jpeg" TargetMode="External"/><Relationship Id="rId164" Type="http://schemas.openxmlformats.org/officeDocument/2006/relationships/image" Target="media/image66.jpeg"/><Relationship Id="rId165" Type="http://schemas.openxmlformats.org/officeDocument/2006/relationships/image" Target="media/image66.jpeg" TargetMode="External"/><Relationship Id="rId166" Type="http://schemas.openxmlformats.org/officeDocument/2006/relationships/image" Target="media/image67.jpeg"/><Relationship Id="rId167" Type="http://schemas.openxmlformats.org/officeDocument/2006/relationships/image" Target="media/image67.jpeg" TargetMode="External"/><Relationship Id="rId168" Type="http://schemas.openxmlformats.org/officeDocument/2006/relationships/image" Target="media/image68.jpeg"/><Relationship Id="rId169" Type="http://schemas.openxmlformats.org/officeDocument/2006/relationships/image" Target="media/image68.jpeg" TargetMode="External"/><Relationship Id="rId170" Type="http://schemas.openxmlformats.org/officeDocument/2006/relationships/image" Target="media/image69.jpeg"/><Relationship Id="rId171" Type="http://schemas.openxmlformats.org/officeDocument/2006/relationships/image" Target="media/image69.jpeg" TargetMode="External"/><Relationship Id="rId172" Type="http://schemas.openxmlformats.org/officeDocument/2006/relationships/image" Target="media/image70.jpeg"/><Relationship Id="rId173" Type="http://schemas.openxmlformats.org/officeDocument/2006/relationships/image" Target="media/image70.jpeg" TargetMode="External"/></Relationships>
</file>