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1511935" distL="114300" distR="151130" simplePos="0" relativeHeight="125829378" behindDoc="0" locked="0" layoutInCell="1" allowOverlap="1">
                <wp:simplePos x="0" y="0"/>
                <wp:positionH relativeFrom="page">
                  <wp:posOffset>6539865</wp:posOffset>
                </wp:positionH>
                <wp:positionV relativeFrom="paragraph">
                  <wp:posOffset>5312410</wp:posOffset>
                </wp:positionV>
                <wp:extent cx="575945" cy="125095"/>
                <wp:wrapSquare wrapText="lef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7594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Até o Bimestre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14.95000000000005pt;margin-top:418.30000000000001pt;width:45.350000000000001pt;height:9.8499999999999996pt;z-index:-125829375;mso-wrap-distance-left:9.pt;mso-wrap-distance-right:11.9pt;mso-wrap-distance-bottom:119.0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Até o Bimestre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350520" distB="0" distL="224155" distR="114300" simplePos="0" relativeHeight="125829380" behindDoc="0" locked="0" layoutInCell="1" allowOverlap="1">
                <wp:simplePos x="0" y="0"/>
                <wp:positionH relativeFrom="page">
                  <wp:posOffset>6649720</wp:posOffset>
                </wp:positionH>
                <wp:positionV relativeFrom="paragraph">
                  <wp:posOffset>5662930</wp:posOffset>
                </wp:positionV>
                <wp:extent cx="502920" cy="1286510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12865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2.850.076,03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1.882.821,07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1.882.821,07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1.882.821,07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967.254,96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500"/>
                              <w:jc w:val="both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0,00 0,00 0,00 0,00 0,00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523.60000000000002pt;margin-top:445.89999999999998pt;width:39.600000000000001pt;height:101.3pt;z-index:-125829373;mso-wrap-distance-left:17.649999999999999pt;mso-wrap-distance-top:27.600000000000001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2.850.076,03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1.882.821,07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1.882.821,07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1.882.821,07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967.254,96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500"/>
                        <w:jc w:val="both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0,00 0,00 0,00 0,00 0,00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Pensões e Aposentadoria de Envira - FAPENV</w:t>
      </w:r>
      <w:bookmarkEnd w:id="0"/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center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RELATÓRIO RESUMIDO DA EXECUÇÃO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</w:t>
      </w:r>
      <w:bookmarkEnd w:id="1"/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 w:line="300" w:lineRule="auto"/>
        <w:ind w:right="0" w:firstLine="0"/>
        <w:jc w:val="center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DEMONSTRATIVO SIMPLIFICADO DO RELATÓRIO RESUMIDO DA EXECUÇÃO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</w:t>
        <w:br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ORÇAMENTO FISCAL E DA SEGURIDADE SOCIAL</w:t>
      </w:r>
      <w:bookmarkEnd w:id="2"/>
    </w:p>
    <w:p>
      <w:pPr>
        <w:pStyle w:val="Style9"/>
        <w:keepNext/>
        <w:keepLines/>
        <w:widowControl w:val="0"/>
        <w:shd w:val="clear" w:color="auto" w:fill="auto"/>
        <w:tabs>
          <w:tab w:pos="2477" w:val="left"/>
        </w:tabs>
        <w:bidi w:val="0"/>
        <w:spacing w:before="0" w:after="0" w:line="300" w:lineRule="auto"/>
        <w:ind w:left="0" w:right="0" w:firstLine="0"/>
        <w:jc w:val="both"/>
      </w:pPr>
      <w:bookmarkStart w:id="3" w:name="bookmark3"/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ide 2</w:t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PERÍODO: Janeiro a junho 2025/BIMESTRE Maio-Junho</w:t>
      </w:r>
      <w:bookmarkEnd w:id="3"/>
    </w:p>
    <w:p>
      <w:pPr>
        <w:pStyle w:val="Style12"/>
        <w:keepNext w:val="0"/>
        <w:keepLines w:val="0"/>
        <w:widowControl w:val="0"/>
        <w:shd w:val="clear" w:color="auto" w:fill="auto"/>
        <w:tabs>
          <w:tab w:leader="underscore" w:pos="1014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LRF, Ari. 48 - Anexo 14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none"/>
          <w:shd w:val="clear" w:color="auto" w:fill="auto"/>
          <w:lang w:val="pt-PT" w:eastAsia="pt-PT" w:bidi="pt-PT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R$1</w:t>
      </w:r>
    </w:p>
    <w:tbl>
      <w:tblPr>
        <w:tblOverlap w:val="never"/>
        <w:jc w:val="center"/>
        <w:tblLayout w:type="fixed"/>
      </w:tblPr>
      <w:tblGrid>
        <w:gridCol w:w="6797"/>
        <w:gridCol w:w="3787"/>
      </w:tblGrid>
      <w:tr>
        <w:trPr>
          <w:trHeight w:val="595" w:hRule="exact"/>
        </w:trPr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BALANÇO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ORÇAMENTÁRIO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Até o Bimestre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 Inicial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 Atualizada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Realizadas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2.850.076,03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Déficit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Orçamentário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Saldos de Exercícios Anteriores (Utilizados para Créditos Adicionais)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586" w:hRule="exact"/>
        </w:trPr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BALANÇO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ORÇAMENTÁRIO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 DESPESAS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7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Até o Bimestre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Dotação Inicial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3.742.300,00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Créditos Adicionais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7.700,00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Dotação Atualizada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3.750.000,00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Empenhadas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2.176.350,14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Liquidadas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2.069.346,58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Pagas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2.063.048,58</w:t>
            </w:r>
          </w:p>
        </w:tc>
      </w:tr>
      <w:tr>
        <w:trPr>
          <w:trHeight w:val="168" w:hRule="exact"/>
        </w:trPr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Superávit Orçamentário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780.729,45</w:t>
            </w:r>
          </w:p>
        </w:tc>
      </w:tr>
    </w:tbl>
    <w:p>
      <w:pPr>
        <w:widowControl w:val="0"/>
        <w:spacing w:after="31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tabs>
          <w:tab w:pos="9527" w:val="left"/>
        </w:tabs>
        <w:bidi w:val="0"/>
        <w:spacing w:before="0" w:after="200" w:line="240" w:lineRule="auto"/>
        <w:ind w:left="7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DESPESAS POR FUNÇÃO / SUBFUNÇÃO</w:t>
        <w:tab/>
        <w:t>Até o Bimestre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0376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Despesas Empenhadas</w:t>
        <w:tab/>
        <w:t>2.176.350,14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tabs>
          <w:tab w:leader="underscore" w:pos="10376" w:val="right"/>
        </w:tabs>
        <w:bidi w:val="0"/>
        <w:spacing w:before="0" w:after="32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Despesas Liquidadas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2.069.346,58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9527" w:val="left"/>
        </w:tabs>
        <w:bidi w:val="0"/>
        <w:spacing w:before="0" w:after="200" w:line="240" w:lineRule="auto"/>
        <w:ind w:left="70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RECEITA CORRENTE LÍQUIDA - RCL</w:t>
        <w:tab/>
        <w:t>Até o Bimestre</w:t>
      </w:r>
    </w:p>
    <w:p>
      <w:pPr>
        <w:pStyle w:val="Style18"/>
        <w:keepNext w:val="0"/>
        <w:keepLines w:val="0"/>
        <w:widowControl w:val="0"/>
        <w:shd w:val="clear" w:color="auto" w:fill="auto"/>
        <w:tabs>
          <w:tab w:pos="10376" w:val="right"/>
        </w:tabs>
        <w:bidi w:val="0"/>
        <w:spacing w:before="0" w:after="0" w:line="240" w:lineRule="auto"/>
        <w:ind w:left="0" w:right="0" w:firstLine="0"/>
        <w:jc w:val="both"/>
      </w:pPr>
      <w:r>
        <w:fldChar w:fldCharType="begin"/>
        <w:instrText xml:space="preserve"> TOC \o "1-5" \h \z </w:instrText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Receita Corrente Líquida</w:t>
        <w:tab/>
        <w:t>0,00</w:t>
      </w:r>
    </w:p>
    <w:p>
      <w:pPr>
        <w:pStyle w:val="Style18"/>
        <w:keepNext w:val="0"/>
        <w:keepLines w:val="0"/>
        <w:widowControl w:val="0"/>
        <w:shd w:val="clear" w:color="auto" w:fill="auto"/>
        <w:tabs>
          <w:tab w:pos="10376" w:val="righ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Receita Corrente Líquida Ajustada para Cálculo dos Limites de Endividamento</w:t>
        <w:tab/>
        <w:t>0,00</w:t>
      </w:r>
    </w:p>
    <w:p>
      <w:pPr>
        <w:pStyle w:val="Style18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tabs>
          <w:tab w:leader="underscore" w:pos="10114" w:val="left"/>
        </w:tabs>
        <w:bidi w:val="0"/>
        <w:spacing w:before="0" w:after="32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Receita Corrente Líquida Ajustada para Cálculo dos Limites da Despesa com Pessoal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0,00</w:t>
      </w:r>
      <w:r>
        <w:fldChar w:fldCharType="end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70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RECEITAS/DESPESAS DOS REGIMES DE PREVIDÊNCIA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264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Regime Próprio de Previdência dos Servidores - PLANO PREVIDENCIÁRIO Receitas Previdenciárias Realizadas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Despesas Previdenciárias Empenhadas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Despesas Previdenciárias Liquidadas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698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Despesas Previdenciárias Pagas Resultado Previdenciário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264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Regime Próprio de Previdência dos Servidores - PLANO FINANCEIRO Receitas Previdenciárias Realizadas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698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Despesas Previdenciárias Empenhadas Despesas Previdenciárias Liquidadas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Despesas Previdenciárias Pagas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/>
        <w:ind w:left="0" w:right="0" w:firstLine="0"/>
        <w:jc w:val="left"/>
      </w:pPr>
      <w:r>
        <mc:AlternateContent>
          <mc:Choice Requires="wps">
            <w:drawing>
              <wp:anchor distT="207010" distB="530225" distL="504190" distR="4780915" simplePos="0" relativeHeight="125829382" behindDoc="0" locked="0" layoutInCell="1" allowOverlap="1">
                <wp:simplePos x="0" y="0"/>
                <wp:positionH relativeFrom="page">
                  <wp:posOffset>894715</wp:posOffset>
                </wp:positionH>
                <wp:positionV relativeFrom="margin">
                  <wp:posOffset>7223760</wp:posOffset>
                </wp:positionV>
                <wp:extent cx="1539240" cy="125095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3924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RESULTADO PRIMÁRIO E NOMINAL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70.450000000000003pt;margin-top:568.79999999999995pt;width:121.2pt;height:9.8499999999999996pt;z-index:-125829371;mso-wrap-distance-left:39.700000000000003pt;mso-wrap-distance-top:16.300000000000001pt;mso-wrap-distance-right:376.44999999999999pt;mso-wrap-distance-bottom:41.7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RESULTADO PRIMÁRIO E NOMINAL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570230" distB="0" distL="114300" distR="4817110" simplePos="0" relativeHeight="125829384" behindDoc="0" locked="0" layoutInCell="1" allowOverlap="1">
                <wp:simplePos x="0" y="0"/>
                <wp:positionH relativeFrom="page">
                  <wp:posOffset>504825</wp:posOffset>
                </wp:positionH>
                <wp:positionV relativeFrom="margin">
                  <wp:posOffset>7586980</wp:posOffset>
                </wp:positionV>
                <wp:extent cx="1892935" cy="292735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2935" cy="2927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14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Resultado Primário (SEM RPPS) - Acima da Linha Resultado Nominal (SEM RPPS) - Abaixo da Linha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39.75pt;margin-top:597.39999999999998pt;width:149.05000000000001pt;height:23.050000000000001pt;z-index:-125829369;mso-wrap-distance-left:9.pt;mso-wrap-distance-top:44.899999999999999pt;mso-wrap-distance-right:379.3000000000000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14" w:lineRule="auto"/>
                        <w:ind w:left="0" w:right="0" w:firstLine="0"/>
                        <w:jc w:val="both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Resultado Primário (SEM RPPS) - Acima da Linha Resultado Nominal (SEM RPPS) - Abaixo da Linha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15240" distL="4591685" distR="1614170" simplePos="0" relativeHeight="125829386" behindDoc="0" locked="0" layoutInCell="1" allowOverlap="1">
                <wp:simplePos x="0" y="0"/>
                <wp:positionH relativeFrom="page">
                  <wp:posOffset>4982210</wp:posOffset>
                </wp:positionH>
                <wp:positionV relativeFrom="margin">
                  <wp:posOffset>7016750</wp:posOffset>
                </wp:positionV>
                <wp:extent cx="618490" cy="84709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18490" cy="8470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Meta Fixada no Anexo de Metas Fiscais da LDO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(a)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392.30000000000001pt;margin-top:552.5pt;width:48.700000000000003pt;height:66.700000000000003pt;z-index:-125829367;mso-wrap-distance-left:361.55000000000001pt;mso-wrap-distance-right:127.09999999999999pt;mso-wrap-distance-bottom:1.2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0" w:lineRule="auto"/>
                        <w:ind w:left="0" w:right="0" w:firstLine="0"/>
                        <w:jc w:val="both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Meta Fixada no Anexo de Metas Fiscais da LDO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0" w:lineRule="auto"/>
                        <w:ind w:left="0" w:right="0" w:firstLine="0"/>
                        <w:jc w:val="cente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(a)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0" w:lineRule="auto"/>
                        <w:ind w:left="0" w:right="0" w:firstLine="0"/>
                        <w:jc w:val="righ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0" w:lineRule="auto"/>
                        <w:ind w:left="0" w:right="0" w:firstLine="0"/>
                        <w:jc w:val="righ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304800" distL="5445125" distR="903605" simplePos="0" relativeHeight="125829388" behindDoc="0" locked="0" layoutInCell="1" allowOverlap="1">
                <wp:simplePos x="0" y="0"/>
                <wp:positionH relativeFrom="page">
                  <wp:posOffset>5835650</wp:posOffset>
                </wp:positionH>
                <wp:positionV relativeFrom="margin">
                  <wp:posOffset>7016750</wp:posOffset>
                </wp:positionV>
                <wp:extent cx="475615" cy="55753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5575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7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Resultado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7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Apurado até</w:t>
                              <w:br/>
                              <w:t>o Bimestre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7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(b)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59.5pt;margin-top:552.5pt;width:37.450000000000003pt;height:43.899999999999999pt;z-index:-125829365;mso-wrap-distance-left:428.75pt;mso-wrap-distance-right:71.150000000000006pt;mso-wrap-distance-bottom:24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7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Resultado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7" w:lineRule="auto"/>
                        <w:ind w:left="0" w:right="0" w:firstLine="0"/>
                        <w:jc w:val="cente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Apurado até</w:t>
                        <w:br/>
                        <w:t>o Bimestre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7" w:lineRule="auto"/>
                        <w:ind w:left="0" w:right="0" w:firstLine="0"/>
                        <w:jc w:val="cente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(b)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594360" distL="6164580" distR="114300" simplePos="0" relativeHeight="125829390" behindDoc="0" locked="0" layoutInCell="1" allowOverlap="1">
                <wp:simplePos x="0" y="0"/>
                <wp:positionH relativeFrom="page">
                  <wp:posOffset>6555105</wp:posOffset>
                </wp:positionH>
                <wp:positionV relativeFrom="margin">
                  <wp:posOffset>7016750</wp:posOffset>
                </wp:positionV>
                <wp:extent cx="545465" cy="26797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45465" cy="2679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% em Relação</w:t>
                              <w:br/>
                              <w:t>àMeta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16.14999999999998pt;margin-top:552.5pt;width:42.950000000000003pt;height:21.100000000000001pt;z-index:-125829363;mso-wrap-distance-left:485.39999999999998pt;mso-wrap-distance-right:9.pt;mso-wrap-distance-bottom:46.799999999999997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6" w:lineRule="auto"/>
                        <w:ind w:left="0" w:right="0" w:firstLine="0"/>
                        <w:jc w:val="cente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% em Relação</w:t>
                        <w:br/>
                        <w:t>àMeta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393065" distB="338455" distL="6335395" distR="287655" simplePos="0" relativeHeight="125829392" behindDoc="0" locked="0" layoutInCell="1" allowOverlap="1">
                <wp:simplePos x="0" y="0"/>
                <wp:positionH relativeFrom="page">
                  <wp:posOffset>6725920</wp:posOffset>
                </wp:positionH>
                <wp:positionV relativeFrom="margin">
                  <wp:posOffset>7409815</wp:posOffset>
                </wp:positionV>
                <wp:extent cx="201295" cy="13081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1295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(b/a)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29.60000000000002pt;margin-top:583.45000000000005pt;width:15.85pt;height:10.300000000000001pt;z-index:-125829361;mso-wrap-distance-left:498.85000000000002pt;mso-wrap-distance-top:30.949999999999999pt;mso-wrap-distance-right:22.649999999999999pt;mso-wrap-distance-bottom:26.649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(b/a)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560705" distB="170815" distL="5753100" distR="882015" simplePos="0" relativeHeight="125829394" behindDoc="0" locked="0" layoutInCell="1" allowOverlap="1">
                <wp:simplePos x="0" y="0"/>
                <wp:positionH relativeFrom="page">
                  <wp:posOffset>6143625</wp:posOffset>
                </wp:positionH>
                <wp:positionV relativeFrom="margin">
                  <wp:posOffset>7577455</wp:posOffset>
                </wp:positionV>
                <wp:extent cx="189230" cy="13081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230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83.75pt;margin-top:596.64999999999998pt;width:14.9pt;height:10.300000000000001pt;z-index:-125829359;mso-wrap-distance-left:453.pt;mso-wrap-distance-top:44.149999999999999pt;mso-wrap-distance-right:69.450000000000003pt;mso-wrap-distance-bottom:13.449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697865" distB="36195" distL="5637530" distR="882015" simplePos="0" relativeHeight="125829396" behindDoc="0" locked="0" layoutInCell="1" allowOverlap="1">
                <wp:simplePos x="0" y="0"/>
                <wp:positionH relativeFrom="page">
                  <wp:posOffset>6028055</wp:posOffset>
                </wp:positionH>
                <wp:positionV relativeFrom="margin">
                  <wp:posOffset>7714615</wp:posOffset>
                </wp:positionV>
                <wp:extent cx="304800" cy="12827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480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-302,27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74.64999999999998pt;margin-top:607.45000000000005pt;width:24.pt;height:10.1pt;z-index:-125829357;mso-wrap-distance-left:443.89999999999998pt;mso-wrap-distance-top:54.950000000000003pt;mso-wrap-distance-right:69.450000000000003pt;mso-wrap-distance-bottom:2.850000000000000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-302,27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Resultado Previdenciário</w:t>
      </w:r>
      <w:r>
        <w:br w:type="page"/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line="240" w:lineRule="auto"/>
        <w:ind w:right="0" w:firstLine="0"/>
        <w:jc w:val="center"/>
      </w:pPr>
      <w:bookmarkStart w:id="4" w:name="bookmark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Pensões e Aposentadoria de Envira - FAPENV</w:t>
      </w:r>
      <w:bookmarkEnd w:id="4"/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/>
        <w:ind w:right="0" w:firstLine="0"/>
        <w:jc w:val="center"/>
      </w:pPr>
      <w:bookmarkStart w:id="5" w:name="bookmark5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RELATÓRIO RESUMIDO DA EXECUÇÃO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</w:t>
        <w:br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DEMONSTRATIVO SIMPLIFICADO DO RELATÓRIO RESUMIDO DA EXECUÇÃO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</w:t>
        <w:br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ORÇAMENTO FISCAL E DA SEGURIDADE SOCIAL</w:t>
      </w:r>
      <w:bookmarkEnd w:id="5"/>
    </w:p>
    <w:p>
      <w:pPr>
        <w:pStyle w:val="Style9"/>
        <w:keepNext/>
        <w:keepLines/>
        <w:widowControl w:val="0"/>
        <w:shd w:val="clear" w:color="auto" w:fill="auto"/>
        <w:tabs>
          <w:tab w:pos="2549" w:val="left"/>
        </w:tabs>
        <w:bidi w:val="0"/>
        <w:spacing w:before="0" w:after="60"/>
        <w:ind w:left="0" w:right="0" w:firstLine="0"/>
        <w:jc w:val="both"/>
      </w:pPr>
      <w:bookmarkStart w:id="6" w:name="bookmark6"/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2 de 2</w:t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PERÍODO: Janeiro a junho 2025/BIMESTRE Maio - Junho</w:t>
      </w:r>
      <w:bookmarkEnd w:id="6"/>
    </w:p>
    <w:p>
      <w:pPr>
        <w:pStyle w:val="Style12"/>
        <w:keepNext w:val="0"/>
        <w:keepLines w:val="0"/>
        <w:widowControl w:val="0"/>
        <w:shd w:val="clear" w:color="auto" w:fill="auto"/>
        <w:tabs>
          <w:tab w:leader="underscore" w:pos="1014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LRF, Ari. 48 - Anexo 14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none"/>
          <w:shd w:val="clear" w:color="auto" w:fill="auto"/>
          <w:lang w:val="pt-PT" w:eastAsia="pt-PT" w:bidi="pt-PT"/>
        </w:rPr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R$1</w:t>
      </w:r>
    </w:p>
    <w:tbl>
      <w:tblPr>
        <w:tblOverlap w:val="never"/>
        <w:jc w:val="center"/>
        <w:tblLayout w:type="fixed"/>
      </w:tblPr>
      <w:tblGrid>
        <w:gridCol w:w="5842"/>
        <w:gridCol w:w="1478"/>
        <w:gridCol w:w="979"/>
        <w:gridCol w:w="1258"/>
        <w:gridCol w:w="998"/>
      </w:tblGrid>
      <w:tr>
        <w:trPr>
          <w:trHeight w:val="562" w:hRule="exact"/>
        </w:trPr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MOVIMENTAÇÃO DOS RESTOS A PAGAR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Inscrição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Cancelamento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Até o Bimestre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Pagamento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Até o Bimestre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aPagar</w:t>
            </w:r>
          </w:p>
        </w:tc>
      </w:tr>
      <w:tr>
        <w:trPr>
          <w:trHeight w:val="235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RESTOS A PAGAR PROCESSADOS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2,10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2,10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Poder Executivo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2,10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Poder Legislativo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Poder Judiciário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Ministério Publico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Defensoria Pública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RESTOS A PAGAR NÃO-PROCESSADOS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Poder Executivo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1.992,76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Poder Legislativo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Poder Judiciário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Ministério Público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Defensoria Pública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1.994,86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1.994,86</w:t>
            </w:r>
          </w:p>
        </w:tc>
      </w:tr>
      <w:tr>
        <w:trPr>
          <w:trHeight w:val="365" w:hRule="exact"/>
        </w:trPr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Apurado</w:t>
            </w:r>
          </w:p>
        </w:tc>
        <w:tc>
          <w:tcPr>
            <w:gridSpan w:val="3"/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Limites Constitucionais Anuais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BFDC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4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COM MANUTENÇÃO E DESENVOLVIMENTO DO ENSINO - MDE</w:t>
            </w:r>
          </w:p>
        </w:tc>
        <w:tc>
          <w:tcPr>
            <w:tcBorders/>
            <w:shd w:val="clear" w:color="auto" w:fill="BFDC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até o Bimestre</w:t>
            </w:r>
          </w:p>
        </w:tc>
        <w:tc>
          <w:tcPr>
            <w:gridSpan w:val="3"/>
            <w:tcBorders>
              <w:top w:val="single" w:sz="4"/>
            </w:tcBorders>
            <w:shd w:val="clear" w:color="auto" w:fill="BFDC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 Mínimo a Aplicar no % Aplicado até o Bimestre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BFDC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Exercício</w:t>
            </w:r>
          </w:p>
        </w:tc>
        <w:tc>
          <w:tcPr>
            <w:tcBorders/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Mínimo Anual de 25% das Receitas de Impostos na Manutenção e Desenvolvimento do Ensino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25,00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Mínimo Anual de 70% do FUNDEB na Remuneração dos Profissionais da Educação Básica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Percentual da Complementação da União ao FUNDEB (VAAT) na Educação Infantil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2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Mínimo de 15% da Complementação da União ao FUNDEB (VAAT) em Despesas de Capital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4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widowControl w:val="0"/>
        <w:spacing w:after="37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4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98" behindDoc="0" locked="0" layoutInCell="1" allowOverlap="1">
                <wp:simplePos x="0" y="0"/>
                <wp:positionH relativeFrom="page">
                  <wp:posOffset>5114925</wp:posOffset>
                </wp:positionH>
                <wp:positionV relativeFrom="paragraph">
                  <wp:posOffset>12700</wp:posOffset>
                </wp:positionV>
                <wp:extent cx="2008505" cy="137160"/>
                <wp:wrapSquare wrapText="left"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08505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Valor Apurado até o Bimestre Saldo Não Realizado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02.75pt;margin-top:1.pt;width:158.15000000000001pt;height:10.800000000000001pt;z-index:-12582935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Valor Apurado até o Bimestre Saldo Não Realizado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25400" distB="0" distL="114300" distR="5585460" simplePos="0" relativeHeight="125829400" behindDoc="0" locked="0" layoutInCell="1" allowOverlap="1">
                <wp:simplePos x="0" y="0"/>
                <wp:positionH relativeFrom="page">
                  <wp:posOffset>542925</wp:posOffset>
                </wp:positionH>
                <wp:positionV relativeFrom="margin">
                  <wp:posOffset>4819015</wp:posOffset>
                </wp:positionV>
                <wp:extent cx="1167130" cy="26797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67130" cy="2679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86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Receita de Operação de Crédito Despesa de Capital Líquida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2.75pt;margin-top:379.44999999999999pt;width:91.900000000000006pt;height:21.100000000000001pt;z-index:-125829353;mso-wrap-distance-left:9.pt;mso-wrap-distance-top:2.pt;mso-wrap-distance-right:439.8000000000000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86" w:lineRule="auto"/>
                        <w:ind w:left="0" w:right="0" w:firstLine="0"/>
                        <w:jc w:val="both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Receita de Operação de Crédito Despesa de Capital Líquida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5400" distB="15240" distL="5207635" distR="1323975" simplePos="0" relativeHeight="125829402" behindDoc="0" locked="0" layoutInCell="1" allowOverlap="1">
                <wp:simplePos x="0" y="0"/>
                <wp:positionH relativeFrom="page">
                  <wp:posOffset>5636260</wp:posOffset>
                </wp:positionH>
                <wp:positionV relativeFrom="margin">
                  <wp:posOffset>4819015</wp:posOffset>
                </wp:positionV>
                <wp:extent cx="335280" cy="25273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3528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1.298,00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43.80000000000001pt;margin-top:379.44999999999999pt;width:26.399999999999999pt;height:19.899999999999999pt;z-index:-125829351;mso-wrap-distance-left:410.05000000000001pt;mso-wrap-distance-top:2.pt;mso-wrap-distance-right:104.25pt;mso-wrap-distance-bottom:1.2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1.298,00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5400" distB="15240" distL="6411595" distR="113665" simplePos="0" relativeHeight="125829404" behindDoc="0" locked="0" layoutInCell="1" allowOverlap="1">
                <wp:simplePos x="0" y="0"/>
                <wp:positionH relativeFrom="page">
                  <wp:posOffset>6840220</wp:posOffset>
                </wp:positionH>
                <wp:positionV relativeFrom="margin">
                  <wp:posOffset>4819015</wp:posOffset>
                </wp:positionV>
                <wp:extent cx="341630" cy="25273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4163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8.702,00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538.60000000000002pt;margin-top:379.44999999999999pt;width:26.899999999999999pt;height:19.899999999999999pt;z-index:-125829349;mso-wrap-distance-left:504.85000000000002pt;mso-wrap-distance-top:2.pt;mso-wrap-distance-right:8.9499999999999993pt;mso-wrap-distance-bottom:1.2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8.702,00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RECEITAS DE OPERAÇÕES DE CRÉDITO E DESPESAS DE CAPITAL</w:t>
      </w:r>
    </w:p>
    <w:tbl>
      <w:tblPr>
        <w:tblOverlap w:val="never"/>
        <w:jc w:val="center"/>
        <w:tblLayout w:type="fixed"/>
      </w:tblPr>
      <w:tblGrid>
        <w:gridCol w:w="5669"/>
        <w:gridCol w:w="1723"/>
        <w:gridCol w:w="2549"/>
        <w:gridCol w:w="638"/>
      </w:tblGrid>
      <w:tr>
        <w:trPr>
          <w:trHeight w:val="523" w:hRule="exact"/>
        </w:trPr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DA ALIENAÇÃO DE ATIVOS E APLICAÇÃO DOS RECURSOS</w:t>
            </w:r>
          </w:p>
        </w:tc>
        <w:tc>
          <w:tcPr>
            <w:gridSpan w:val="3"/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3862" w:val="left"/>
              </w:tabs>
              <w:bidi w:val="0"/>
              <w:spacing w:before="0" w:after="0" w:line="240" w:lineRule="auto"/>
              <w:ind w:left="150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apurado até o Bimestre</w:t>
              <w:tab/>
              <w:t>Saldo a Realizar</w:t>
            </w:r>
          </w:p>
        </w:tc>
      </w:tr>
      <w:tr>
        <w:trPr>
          <w:trHeight w:val="408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de Capital Resultante da Alienação de Ativos Aplicação dos Recursos da Alienação de Ativos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gridSpan w:val="4"/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41" w:hRule="exact"/>
        </w:trPr>
        <w:tc>
          <w:tcPr>
            <w:vMerge w:val="restart"/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COM AÇÕES E SERVIÇOS PÚBLICOS DE SAÚDE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Apurado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Limite Constitucional Anual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94" w:hRule="exact"/>
        </w:trPr>
        <w:tc>
          <w:tcPr>
            <w:vMerge/>
            <w:tcBorders/>
            <w:shd w:val="clear" w:color="auto" w:fill="BFDCC0"/>
            <w:vAlign w:val="center"/>
          </w:tcPr>
          <w:p>
            <w:pPr/>
          </w:p>
        </w:tc>
        <w:tc>
          <w:tcPr>
            <w:tcBorders/>
            <w:shd w:val="clear" w:color="auto" w:fill="BFDCC0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até o Bimestre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BFDCC0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hanging="48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 Mínimo a Aplicar no % Aplicado até o Bimestre Exercício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com Ações e Serviços Públicos de Saúde executadas com recursos de impostos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38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widowControl w:val="0"/>
        <w:spacing w:after="1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5933"/>
        <w:gridCol w:w="4704"/>
      </w:tblGrid>
      <w:tr>
        <w:trPr>
          <w:trHeight w:val="350" w:hRule="exact"/>
        </w:trPr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DE CARÁTER CONTINUADO DERIVADAS DE PPP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 Apurado no Exercício Corrente</w:t>
            </w:r>
          </w:p>
        </w:tc>
      </w:tr>
      <w:tr>
        <w:trPr>
          <w:trHeight w:val="187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das Despesas Consideradas para o Limite / RCL (%)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sectPr>
      <w:footerReference w:type="default" r:id="rId5"/>
      <w:footerReference w:type="even" r:id="rId6"/>
      <w:footnotePr>
        <w:pos w:val="pageBottom"/>
        <w:numFmt w:val="decimal"/>
        <w:numRestart w:val="continuous"/>
      </w:footnotePr>
      <w:pgSz w:w="11900" w:h="16840"/>
      <w:pgMar w:top="663" w:left="759" w:right="495" w:bottom="5037" w:header="0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6944995</wp:posOffset>
              </wp:positionH>
              <wp:positionV relativeFrom="page">
                <wp:posOffset>8035290</wp:posOffset>
              </wp:positionV>
              <wp:extent cx="146050" cy="207010"/>
              <wp:wrapNone/>
              <wp:docPr id="29" name="Shape 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6050" cy="2070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0,00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0,00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5" type="#_x0000_t202" style="position:absolute;margin-left:546.85000000000002pt;margin-top:632.70000000000005pt;width:11.5pt;height:16.30000000000000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0,00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0,00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520065</wp:posOffset>
              </wp:positionH>
              <wp:positionV relativeFrom="page">
                <wp:posOffset>7995285</wp:posOffset>
              </wp:positionV>
              <wp:extent cx="6702425" cy="0"/>
              <wp:wrapNone/>
              <wp:docPr id="31" name="Shape 3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70242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40.950000000000003pt;margin-top:629.54999999999995pt;width:527.7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5">
    <w:name w:val="Heading #1|1_"/>
    <w:basedOn w:val="DefaultParagraphFont"/>
    <w:link w:val="Style4"/>
    <w:rPr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7">
    <w:name w:val="Header or footer|2_"/>
    <w:basedOn w:val="DefaultParagraphFont"/>
    <w:link w:val="Style6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0">
    <w:name w:val="Heading #2|1_"/>
    <w:basedOn w:val="DefaultParagraphFont"/>
    <w:link w:val="Style9"/>
    <w:rPr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3">
    <w:name w:val="Table caption|1_"/>
    <w:basedOn w:val="DefaultParagraphFont"/>
    <w:link w:val="Style12"/>
    <w:rPr>
      <w:b w:val="0"/>
      <w:bCs w:val="0"/>
      <w:i w:val="0"/>
      <w:iCs w:val="0"/>
      <w:smallCaps w:val="0"/>
      <w:strike w:val="0"/>
      <w:sz w:val="14"/>
      <w:szCs w:val="14"/>
      <w:u w:val="single"/>
    </w:rPr>
  </w:style>
  <w:style w:type="character" w:customStyle="1" w:styleId="CharStyle16">
    <w:name w:val="Other|1_"/>
    <w:basedOn w:val="DefaultParagraphFont"/>
    <w:link w:val="Style15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9">
    <w:name w:val="Table of contents|1_"/>
    <w:basedOn w:val="DefaultParagraphFont"/>
    <w:link w:val="Style18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line="271" w:lineRule="auto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4">
    <w:name w:val="Heading #1|1"/>
    <w:basedOn w:val="Normal"/>
    <w:link w:val="CharStyle5"/>
    <w:pPr>
      <w:widowControl w:val="0"/>
      <w:shd w:val="clear" w:color="auto" w:fill="FFFFFF"/>
      <w:spacing w:after="260"/>
      <w:ind w:left="80"/>
      <w:jc w:val="center"/>
      <w:outlineLvl w:val="0"/>
    </w:pPr>
    <w:rPr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6">
    <w:name w:val="Header or footer|2"/>
    <w:basedOn w:val="Normal"/>
    <w:link w:val="CharStyle7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9">
    <w:name w:val="Heading #2|1"/>
    <w:basedOn w:val="Normal"/>
    <w:link w:val="CharStyle10"/>
    <w:pPr>
      <w:widowControl w:val="0"/>
      <w:shd w:val="clear" w:color="auto" w:fill="FFFFFF"/>
      <w:spacing w:line="283" w:lineRule="auto"/>
      <w:ind w:left="80"/>
      <w:jc w:val="center"/>
      <w:outlineLvl w:val="1"/>
    </w:pPr>
    <w:rPr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12">
    <w:name w:val="Table caption|1"/>
    <w:basedOn w:val="Normal"/>
    <w:link w:val="CharStyle1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4"/>
      <w:szCs w:val="14"/>
      <w:u w:val="single"/>
    </w:rPr>
  </w:style>
  <w:style w:type="paragraph" w:customStyle="1" w:styleId="Style15">
    <w:name w:val="Other|1"/>
    <w:basedOn w:val="Normal"/>
    <w:link w:val="CharStyle16"/>
    <w:pPr>
      <w:widowControl w:val="0"/>
      <w:shd w:val="clear" w:color="auto" w:fill="FFFFFF"/>
      <w:jc w:val="right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8">
    <w:name w:val="Table of contents|1"/>
    <w:basedOn w:val="Normal"/>
    <w:link w:val="CharStyle19"/>
    <w:pPr>
      <w:widowControl w:val="0"/>
      <w:shd w:val="clear" w:color="auto" w:fill="FFFFFF"/>
      <w:spacing w:after="160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