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"/>
    </w:p>
    <w:p>
      <w:pPr>
        <w:pStyle w:val="Style4"/>
        <w:keepNext/>
        <w:keepLines/>
        <w:widowControl w:val="0"/>
        <w:shd w:val="clear" w:color="auto" w:fill="auto"/>
        <w:bidi w:val="0"/>
        <w:spacing w:before="0"/>
        <w:ind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DAS RECEITAS OP. CRÉDITO E DESPESA DE CAPITAL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  <w:br/>
        <w:t>PERÍODO: Janeiro a agosto 2025/BIMESTRE Julho - Agosto</w:t>
      </w:r>
      <w:bookmarkEnd w:id="2"/>
    </w:p>
    <w:tbl>
      <w:tblPr>
        <w:tblOverlap w:val="never"/>
        <w:jc w:val="left"/>
        <w:tblLayout w:type="fixed"/>
      </w:tblPr>
      <w:tblGrid>
        <w:gridCol w:w="5390"/>
        <w:gridCol w:w="1157"/>
        <w:gridCol w:w="3514"/>
        <w:gridCol w:w="1138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7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JANAAGO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305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NÃO REALIZADO (c) = (a-b)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OPERAÇÕES DE CRÉDITO (I)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SALDO NÃO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JANAAGO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EXECUTADO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(d)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(e)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(f) = (d-e)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3.498,00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6.502,00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3.498,00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6.502,00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Inversões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Incentivos Fiscais a Contribuinte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Incentivos Fiscais a Contribuinte por Instituições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DE CAPITAL LÍQUIDA (II)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3.498,00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6.502,00</w:t>
            </w:r>
          </w:p>
        </w:tc>
      </w:tr>
    </w:tbl>
    <w:p>
      <w:pPr>
        <w:pStyle w:val="Style10"/>
        <w:keepNext w:val="0"/>
        <w:keepLines w:val="0"/>
        <w:framePr w:w="2717" w:h="206" w:hSpace="8481" w:wrap="notBeside" w:vAnchor="text" w:hAnchor="text" w:x="5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RREO - ANEXO 9 (LRF,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art.53,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, inciso I)</w:t>
      </w:r>
    </w:p>
    <w:p>
      <w:pPr>
        <w:pStyle w:val="Style10"/>
        <w:keepNext w:val="0"/>
        <w:keepLines w:val="0"/>
        <w:framePr w:w="274" w:h="173" w:hSpace="10924" w:wrap="notBeside" w:vAnchor="text" w:hAnchor="text" w:x="10484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376"/>
        <w:gridCol w:w="1157"/>
        <w:gridCol w:w="3514"/>
        <w:gridCol w:w="1133"/>
      </w:tblGrid>
      <w:tr>
        <w:trPr>
          <w:trHeight w:val="4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PARA APURAÇÃO DA REGRA DE OURO (III) = (II -1)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&lt;(d-a)&gt;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3.498,00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&lt;(e - b)&gt;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6.502,00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&lt;(f-c)&gt;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Notas: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3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&lt; Operações de Crédito descritas na CF, art. 167, inciso IU&gt;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Durante o exercício, somente as despesas liquidadas são consideradas executadas. No encerramento do exercício, as despesas não liquidadas inscritas em restos a pagar não processados são também consideradas executadas. Dessa forma, para maior transparência, as despesas executadas estão segregadas em: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liquidadas, consideradas aquelas em que houve a entrega do material ou serviço, nos termos do art. 63 da Lei 4.320/64;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empenhadas, mas não liquidadas, inscritas em Restos a Pagar não processados, consideradas liquidadas no encerramento do exercício, por força do art.35, inciso II da Lei 4.320/64.</w:t>
      </w:r>
    </w:p>
    <w:p>
      <w:pPr>
        <w:widowControl w:val="0"/>
        <w:spacing w:after="7099" w:line="1" w:lineRule="exact"/>
      </w:pP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FONTE: SCPI - Contabilidade [22258], FUNDO DE APOSENTADORIA E PENSÕES DOS SERVIDORES MU</w:t>
      </w:r>
    </w:p>
    <w:sectPr>
      <w:footnotePr>
        <w:pos w:val="pageBottom"/>
        <w:numFmt w:val="decimal"/>
        <w:numRestart w:val="continuous"/>
      </w:footnotePr>
      <w:pgSz w:w="11900" w:h="16840"/>
      <w:pgMar w:top="418" w:left="427" w:right="275" w:bottom="418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ing #2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Other|1_"/>
    <w:basedOn w:val="DefaultParagraphFont"/>
    <w:link w:val="Style7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Table caption|1_"/>
    <w:basedOn w:val="DefaultParagraphFont"/>
    <w:link w:val="Style10"/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4">
    <w:name w:val="Body text|1_"/>
    <w:basedOn w:val="DefaultParagraphFont"/>
    <w:link w:val="Style13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240"/>
      <w:ind w:left="24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ing #2|1"/>
    <w:basedOn w:val="Normal"/>
    <w:link w:val="CharStyle5"/>
    <w:pPr>
      <w:widowControl w:val="0"/>
      <w:shd w:val="clear" w:color="auto" w:fill="FFFFFF"/>
      <w:spacing w:after="360" w:line="276" w:lineRule="auto"/>
      <w:ind w:left="380"/>
      <w:jc w:val="center"/>
      <w:outlineLvl w:val="1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Other|1"/>
    <w:basedOn w:val="Normal"/>
    <w:link w:val="CharStyle8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Table caption|1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after="300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