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"/>
    </w:p>
    <w:p>
      <w:pPr>
        <w:pStyle w:val="Style4"/>
        <w:keepNext/>
        <w:keepLines/>
        <w:widowControl w:val="0"/>
        <w:shd w:val="clear" w:color="auto" w:fill="auto"/>
        <w:bidi w:val="0"/>
        <w:spacing w:before="0"/>
        <w:ind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DAS RECEITAS OP. CRÉDITO E DESPESA DE CAPITAL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  <w:br/>
        <w:t>PERÍODO: Janeiro a fevereiro 2025/BIMESTRE Janeiro - Fevereiro</w:t>
      </w:r>
      <w:bookmarkEnd w:id="2"/>
    </w:p>
    <w:tbl>
      <w:tblPr>
        <w:tblOverlap w:val="never"/>
        <w:jc w:val="left"/>
        <w:tblLayout w:type="fixed"/>
      </w:tblPr>
      <w:tblGrid>
        <w:gridCol w:w="5390"/>
        <w:gridCol w:w="1157"/>
        <w:gridCol w:w="3514"/>
        <w:gridCol w:w="1138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7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JANAFEV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305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NÃO REALIZADO (c) = (a-b)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OPERAÇÕES DE CRÉDITO (I)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SALDO NÃO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JANAFEV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EXECUTADO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(d)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(e)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(f) = (d-e)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318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Inversões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Incentivos Fiscais a Contribuinte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Incentivos Fiscais a Contribuinte por Instituições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DE CAPITAL LÍQUIDA (II)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318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</w:tr>
    </w:tbl>
    <w:p>
      <w:pPr>
        <w:pStyle w:val="Style10"/>
        <w:keepNext w:val="0"/>
        <w:keepLines w:val="0"/>
        <w:framePr w:w="2717" w:h="206" w:hSpace="8481" w:wrap="notBeside" w:vAnchor="text" w:hAnchor="text" w:x="5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RREO - ANEXO 9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art.53,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, inciso I)</w:t>
      </w:r>
    </w:p>
    <w:p>
      <w:pPr>
        <w:pStyle w:val="Style10"/>
        <w:keepNext w:val="0"/>
        <w:keepLines w:val="0"/>
        <w:framePr w:w="274" w:h="173" w:hSpace="10924" w:wrap="notBeside" w:vAnchor="text" w:hAnchor="text" w:x="10484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</w:t>
      </w: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09215" cy="9144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09215" cy="91440"/>
                    </a:xfrm>
                    <a:prstGeom prst="rect"/>
                  </pic:spPr>
                </pic:pic>
              </a:graphicData>
            </a:graphic>
          </wp:inline>
        </w:drawing>
      </w:r>
    </w:p>
    <w:tbl>
      <w:tblPr>
        <w:tblOverlap w:val="never"/>
        <w:jc w:val="center"/>
        <w:tblLayout w:type="fixed"/>
      </w:tblPr>
      <w:tblGrid>
        <w:gridCol w:w="5376"/>
        <w:gridCol w:w="1157"/>
        <w:gridCol w:w="3514"/>
        <w:gridCol w:w="1133"/>
      </w:tblGrid>
      <w:tr>
        <w:trPr>
          <w:trHeight w:val="4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PARA APURAÇÃO DA REGRA DE OURO (III) = (II -1)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&lt;(d-a)&gt;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&lt;(e - b)&gt;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&lt;(f-c)&gt;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Notas: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3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&lt; Operações de Crédito descritas na CF, art. 167, inciso IU&gt;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Durante o exercício, somente as despesas liquidadas são consideradas executadas. No encerramento do exercício, as despesas não liquidadas inscritas em restos a pagar não processados são também consideradas executadas. Dessa forma, para maior transparência, as despesas executadas estão segregadas em: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liquidadas, consideradas aquelas em que houve a entrega do material ou serviço, nos termos do art. 63 da Lei 4.320/64;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empenhadas, mas não liquidadas, inscritas em Restos a Pagar não processados, consideradas liquidadas no encerramento do exercício, por força do art.35, inciso II da Lei 4.320/64.</w:t>
      </w:r>
    </w:p>
    <w:p>
      <w:pPr>
        <w:widowControl w:val="0"/>
        <w:spacing w:after="7099" w:line="1" w:lineRule="exact"/>
      </w:pP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FONTE: SCPI - Contabilidade [21979], FUNDO DE APOSENTADORIA E PENSÕES DOS SERVIDORES MU</w:t>
      </w:r>
    </w:p>
    <w:sectPr>
      <w:footnotePr>
        <w:pos w:val="pageBottom"/>
        <w:numFmt w:val="decimal"/>
        <w:numRestart w:val="continuous"/>
      </w:footnotePr>
      <w:pgSz w:w="11900" w:h="16840"/>
      <w:pgMar w:top="418" w:left="427" w:right="275" w:bottom="418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ing #2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Other|1_"/>
    <w:basedOn w:val="DefaultParagraphFont"/>
    <w:link w:val="Style7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Table caption|1_"/>
    <w:basedOn w:val="DefaultParagraphFont"/>
    <w:link w:val="Style10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240"/>
      <w:ind w:left="24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FFFFFF"/>
      <w:spacing w:after="360" w:line="276" w:lineRule="auto"/>
      <w:ind w:left="380"/>
      <w:jc w:val="center"/>
      <w:outlineLvl w:val="1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Table caption|1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