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413" w:h="211" w:wrap="none" w:hAnchor="page" w:x="304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 de 1</w:t>
      </w:r>
      <w:bookmarkEnd w:id="0"/>
    </w:p>
    <w:p>
      <w:pPr>
        <w:pStyle w:val="Style4"/>
        <w:keepNext w:val="0"/>
        <w:keepLines w:val="0"/>
        <w:framePr w:w="2395" w:h="211" w:wrap="none" w:hAnchor="page" w:x="290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7 (LRF, art. 53, inciso V)</w:t>
      </w:r>
    </w:p>
    <w:p>
      <w:pPr>
        <w:pStyle w:val="Style4"/>
        <w:keepNext w:val="0"/>
        <w:keepLines w:val="0"/>
        <w:framePr w:w="1272" w:h="221" w:wrap="none" w:hAnchor="page" w:x="1965" w:y="2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PODER/ORGÃO</w:t>
      </w:r>
    </w:p>
    <w:p>
      <w:pPr>
        <w:pStyle w:val="Style7"/>
        <w:keepNext/>
        <w:keepLines/>
        <w:framePr w:w="6955" w:h="1450" w:wrap="none" w:hAnchor="page" w:x="48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de Pensões e Aposentadoria de Envira - FAPENV</w:t>
      </w:r>
      <w:bookmarkEnd w:id="1"/>
    </w:p>
    <w:p>
      <w:pPr>
        <w:pStyle w:val="Style9"/>
        <w:keepNext w:val="0"/>
        <w:keepLines w:val="0"/>
        <w:framePr w:w="6955" w:h="1450" w:wrap="none" w:hAnchor="page" w:x="4802" w:y="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DOS RESTOS A PAGAR POR PODER E ORGÃO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 FISCAL E DA SEGURIDADE SOCIAL</w:t>
        <w:br/>
        <w:t>PERÍODO: Janeiro a agosto 2025/BIMESTRE Julho - Agosto</w:t>
      </w:r>
    </w:p>
    <w:p>
      <w:pPr>
        <w:pStyle w:val="Style12"/>
        <w:keepNext w:val="0"/>
        <w:keepLines w:val="0"/>
        <w:framePr w:w="274" w:h="173" w:wrap="none" w:hAnchor="page" w:x="15976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</w:t>
      </w:r>
    </w:p>
    <w:tbl>
      <w:tblPr>
        <w:tblOverlap w:val="never"/>
        <w:jc w:val="left"/>
        <w:tblLayout w:type="fixed"/>
      </w:tblPr>
      <w:tblGrid>
        <w:gridCol w:w="960"/>
        <w:gridCol w:w="941"/>
        <w:gridCol w:w="946"/>
        <w:gridCol w:w="979"/>
        <w:gridCol w:w="941"/>
        <w:gridCol w:w="946"/>
        <w:gridCol w:w="946"/>
        <w:gridCol w:w="974"/>
        <w:gridCol w:w="960"/>
        <w:gridCol w:w="979"/>
      </w:tblGrid>
      <w:tr>
        <w:trPr>
          <w:trHeight w:val="19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CF"/>
            <w:vAlign w:val="bottom"/>
          </w:tcPr>
          <w:p>
            <w:pPr>
              <w:framePr w:w="9571" w:h="768" w:hSpace="643" w:vSpace="442" w:wrap="none" w:hAnchor="page" w:x="4970" w:y="2464"/>
            </w:pPr>
          </w:p>
        </w:tc>
      </w:tr>
      <w:tr>
        <w:trPr>
          <w:trHeight w:val="154" w:hRule="exact"/>
        </w:trPr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Dezembro 2024</w:t>
            </w: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Dezembro 2024</w:t>
            </w: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CFD8CF"/>
            <w:vAlign w:val="top"/>
          </w:tcPr>
          <w:p>
            <w:pPr>
              <w:framePr w:w="9571" w:h="768" w:hSpace="643" w:vSpace="442" w:wrap="none" w:hAnchor="page" w:x="4970" w:y="246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: = (a+b) - (c+d)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(f)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(g)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(h)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(i)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9571" w:h="768" w:hSpace="643" w:vSpace="442" w:wrap="none" w:hAnchor="page" w:x="4970" w:y="246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0)</w:t>
            </w:r>
          </w:p>
        </w:tc>
      </w:tr>
    </w:tbl>
    <w:p>
      <w:pPr>
        <w:framePr w:w="9571" w:h="768" w:hSpace="643" w:vSpace="442" w:wrap="none" w:hAnchor="page" w:x="4970" w:y="2464"/>
        <w:widowControl w:val="0"/>
        <w:spacing w:line="1" w:lineRule="exact"/>
      </w:pPr>
    </w:p>
    <w:p>
      <w:pPr>
        <w:pStyle w:val="Style18"/>
        <w:keepNext w:val="0"/>
        <w:keepLines w:val="0"/>
        <w:framePr w:w="2582" w:h="197" w:wrap="none" w:hAnchor="page" w:x="11320" w:y="2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RESTOS A PAGAR NÃO PROCESSADOS</w:t>
      </w:r>
    </w:p>
    <w:p>
      <w:pPr>
        <w:pStyle w:val="Style18"/>
        <w:keepNext w:val="0"/>
        <w:keepLines w:val="0"/>
        <w:framePr w:w="370" w:h="197" w:wrap="none" w:hAnchor="page" w:x="14815" w:y="2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</w:t>
      </w:r>
    </w:p>
    <w:p>
      <w:pPr>
        <w:pStyle w:val="Style18"/>
        <w:keepNext w:val="0"/>
        <w:keepLines w:val="0"/>
        <w:framePr w:w="3720" w:h="432" w:wrap="none" w:hAnchor="page" w:x="5512" w:y="2022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RESTOS A PAGAR PROCESSADOS E NÃO PROCESSADOS LIQUIDADOS EM EXERCÍCIOS ANTERIORES</w:t>
      </w:r>
    </w:p>
    <w:p>
      <w:pPr>
        <w:pStyle w:val="Style4"/>
        <w:keepNext w:val="0"/>
        <w:keepLines w:val="0"/>
        <w:framePr w:w="370" w:h="389" w:wrap="none" w:hAnchor="page" w:x="15760" w:y="2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</w:t>
      </w:r>
    </w:p>
    <w:p>
      <w:pPr>
        <w:pStyle w:val="Style4"/>
        <w:keepNext w:val="0"/>
        <w:keepLines w:val="0"/>
        <w:framePr w:w="370" w:h="389" w:wrap="none" w:hAnchor="page" w:x="15760" w:y="2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tbl>
      <w:tblPr>
        <w:tblOverlap w:val="never"/>
        <w:jc w:val="left"/>
        <w:tblLayout w:type="fixed"/>
      </w:tblPr>
      <w:tblGrid>
        <w:gridCol w:w="533"/>
        <w:gridCol w:w="4358"/>
        <w:gridCol w:w="1114"/>
        <w:gridCol w:w="941"/>
        <w:gridCol w:w="955"/>
        <w:gridCol w:w="960"/>
        <w:gridCol w:w="950"/>
        <w:gridCol w:w="830"/>
        <w:gridCol w:w="1070"/>
        <w:gridCol w:w="960"/>
        <w:gridCol w:w="965"/>
        <w:gridCol w:w="854"/>
        <w:gridCol w:w="950"/>
        <w:gridCol w:w="797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CFD8CF"/>
            <w:vAlign w:val="top"/>
          </w:tcPr>
          <w:p>
            <w:pPr>
              <w:framePr w:w="16238" w:h="1104" w:vSpace="192" w:wrap="none" w:hAnchor="page" w:x="227" w:y="32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(EXCETO INTRA-ORÇAMENTÁRIOS) (I)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1.994,86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1.994,86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FUNDO DE APOSENTADORIA E PENSÕES DE ENVIRA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1.994,86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CF"/>
            <w:vAlign w:val="top"/>
          </w:tcPr>
          <w:p>
            <w:pPr>
              <w:framePr w:w="16238" w:h="1104" w:vSpace="192" w:wrap="none" w:hAnchor="page" w:x="227" w:y="322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(INTRA-ORÇAMENTÁRIOS) (II)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CFD8CF"/>
            <w:vAlign w:val="top"/>
          </w:tcPr>
          <w:p>
            <w:pPr>
              <w:framePr w:w="16238" w:h="1104" w:vSpace="192" w:wrap="none" w:hAnchor="page" w:x="227" w:y="322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(in) = (i + n)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1.992,76</w:t>
            </w:r>
          </w:p>
        </w:tc>
        <w:tc>
          <w:tcPr>
            <w:tcBorders/>
            <w:shd w:val="clear" w:color="auto" w:fill="CFD8CF"/>
            <w:vAlign w:val="center"/>
          </w:tcPr>
          <w:p>
            <w:pPr>
              <w:pStyle w:val="Style14"/>
              <w:keepNext w:val="0"/>
              <w:keepLines w:val="0"/>
              <w:framePr w:w="16238" w:h="1104" w:vSpace="192" w:wrap="none" w:hAnchor="page" w:x="227" w:y="32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1.994,86</w:t>
            </w:r>
          </w:p>
        </w:tc>
      </w:tr>
    </w:tbl>
    <w:p>
      <w:pPr>
        <w:framePr w:w="16238" w:h="1104" w:vSpace="192" w:wrap="none" w:hAnchor="page" w:x="227" w:y="3222"/>
        <w:widowControl w:val="0"/>
        <w:spacing w:line="1" w:lineRule="exact"/>
      </w:pPr>
    </w:p>
    <w:p>
      <w:pPr>
        <w:pStyle w:val="Style18"/>
        <w:keepNext w:val="0"/>
        <w:keepLines w:val="0"/>
        <w:framePr w:w="931" w:h="206" w:wrap="none" w:hAnchor="page" w:x="14531" w:y="30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k=(f+g) - (i+j)</w:t>
      </w:r>
    </w:p>
    <w:p>
      <w:pPr>
        <w:pStyle w:val="Style4"/>
        <w:keepNext w:val="0"/>
        <w:keepLines w:val="0"/>
        <w:framePr w:w="6475" w:h="206" w:wrap="none" w:hAnchor="page" w:x="290" w:y="1046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[22258], FUNDO DE APOSENTADORIA E PENSÕES DOS SERVIDORES MU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6840" w:h="11900" w:orient="landscape"/>
      <w:pgMar w:top="533" w:left="226" w:right="375" w:bottom="501" w:header="105" w:footer="7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2|1_"/>
    <w:basedOn w:val="DefaultParagraphFont"/>
    <w:link w:val="Style2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Body text|2_"/>
    <w:basedOn w:val="DefaultParagraphFont"/>
    <w:link w:val="Style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3_"/>
    <w:basedOn w:val="DefaultParagraphFont"/>
    <w:link w:val="Style12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9">
    <w:name w:val="Table caption|1_"/>
    <w:basedOn w:val="DefaultParagraphFont"/>
    <w:link w:val="Style1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outlineLvl w:val="1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line="259" w:lineRule="auto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center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  <w:spacing w:line="266" w:lineRule="auto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