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Fundo de Pensões e Aposentadoria de Envira - FAPENV</w:t>
      </w:r>
      <w:bookmarkEnd w:id="0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40" w:line="185" w:lineRule="auto"/>
        <w:ind w:left="4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RELATÓRIO RESUMIDO DA EXECUÇÃO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</w:t>
      </w: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/>
        <w:ind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DEMONSTRATIVO DA EXECUÇÃO DAS DESPESAS POR FUNÇÃO E SUBFUNÇÃO</w:t>
        <w:br/>
      </w: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ORÇAMENTOS FISCAIS E DA SEGURIDADE SOCIAL</w:t>
      </w:r>
      <w:bookmarkEnd w:id="1"/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340" w:line="252" w:lineRule="auto"/>
        <w:ind w:left="4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PERÍODO: Janeiro a fevereiro 2025/BIMESTRE Janeiro - Fevereiro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4842" w:val="left"/>
        </w:tabs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 xml:space="preserve">RREO - Anexo 2 (LRF,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Art.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PT" w:eastAsia="pt-PT" w:bidi="pt-PT"/>
        </w:rPr>
        <w:t>52, inciso n, alínea “c”)</w:t>
        <w:tab/>
        <w:t>R$ 1</w:t>
      </w:r>
    </w:p>
    <w:tbl>
      <w:tblPr>
        <w:tblOverlap w:val="never"/>
        <w:jc w:val="center"/>
        <w:tblLayout w:type="fixed"/>
      </w:tblPr>
      <w:tblGrid>
        <w:gridCol w:w="4219"/>
        <w:gridCol w:w="1128"/>
        <w:gridCol w:w="1152"/>
        <w:gridCol w:w="1157"/>
        <w:gridCol w:w="1152"/>
        <w:gridCol w:w="677"/>
        <w:gridCol w:w="1142"/>
        <w:gridCol w:w="1152"/>
        <w:gridCol w:w="1142"/>
        <w:gridCol w:w="691"/>
        <w:gridCol w:w="1166"/>
        <w:gridCol w:w="1181"/>
      </w:tblGrid>
      <w:tr>
        <w:trPr>
          <w:trHeight w:val="322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FUNÇÃO/SUBFUNÇÃO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INICIAL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DOTAÇÃO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4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ATUALIZADA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(a)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DESPESAS EMPENHADAS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(c) = (a-b)</w:t>
            </w:r>
          </w:p>
        </w:tc>
        <w:tc>
          <w:tcPr>
            <w:gridSpan w:val="3"/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DESPESAS LIQUIDADAS</w:t>
            </w:r>
          </w:p>
        </w:tc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58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SALDO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PT" w:eastAsia="pt-PT" w:bidi="pt-PT"/>
              </w:rPr>
              <w:t>(e) = (a-d)</w:t>
            </w:r>
          </w:p>
        </w:tc>
        <w:tc>
          <w:tcPr>
            <w:vMerge w:val="restart"/>
            <w:tcBorders>
              <w:top w:val="single" w:sz="4"/>
              <w:left w:val="single" w:sz="4"/>
              <w:righ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INSCRITAS EM RESTOS A PAGAR NÃO PROCESSADOS (í)</w:t>
            </w:r>
          </w:p>
        </w:tc>
      </w:tr>
      <w:tr>
        <w:trPr>
          <w:trHeight w:val="773" w:hRule="exact"/>
        </w:trPr>
        <w:tc>
          <w:tcPr>
            <w:vMerge/>
            <w:tcBorders>
              <w:left w:val="single" w:sz="4"/>
            </w:tcBorders>
            <w:shd w:val="clear" w:color="auto" w:fill="D0D8D0"/>
            <w:vAlign w:val="center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FEV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2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(b/total b)</w:t>
            </w:r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12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BIMESTRE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6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JAN A FEV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(d)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D0D8D0"/>
            <w:vAlign w:val="center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24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%</w:t>
            </w:r>
          </w:p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(d/total d)</w:t>
            </w:r>
          </w:p>
        </w:tc>
        <w:tc>
          <w:tcPr>
            <w:vMerge/>
            <w:tcBorders>
              <w:left w:val="single" w:sz="4"/>
            </w:tcBorders>
            <w:shd w:val="clear" w:color="auto" w:fill="D0D8D0"/>
            <w:vAlign w:val="top"/>
          </w:tcPr>
          <w:p>
            <w:pPr/>
          </w:p>
        </w:tc>
        <w:tc>
          <w:tcPr>
            <w:vMerge/>
            <w:tcBorders>
              <w:left w:val="single" w:sz="4"/>
              <w:right w:val="single" w:sz="4"/>
            </w:tcBorders>
            <w:shd w:val="clear" w:color="auto" w:fill="D0D8D0"/>
            <w:vAlign w:val="top"/>
          </w:tcPr>
          <w:p>
            <w:pPr/>
          </w:p>
        </w:tc>
      </w:tr>
      <w:tr>
        <w:trPr>
          <w:trHeight w:val="206" w:hRule="exact"/>
        </w:trPr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(EXCETO INTRA-ORÇAMENTÁRIAS) (I)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3.737.300,00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3.737.300,00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722.976,42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722.976,42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99,41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3.014.323,58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3.137.823,93</w:t>
            </w:r>
          </w:p>
        </w:tc>
        <w:tc>
          <w:tcPr>
            <w:tcBorders>
              <w:top w:val="single" w:sz="4"/>
            </w:tcBorders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SOCIAL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3.737.300,00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3.737.300,00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722.976,42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722.976,42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99,41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3.014.323,58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3.137.823,93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DO REGIME ESTATUTÁRIO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3.324.000,00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572.920,30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572.920,30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78,78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2.751.079,70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572.920,30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572.920,30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95,57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2.751.079,70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413.300,00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150.056,12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150.056,12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20,63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263.243,88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26.555,77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26.555,77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386.744,23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DESPESAS (INTRA-ORÇAMENTÁRIAS) (O)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0,59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PREVIDÊNCIA SOCIAL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0,59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ADMINISTRAÇÃO GERAL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0,59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TOTAL (III) = (I + H)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3.742.300,00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3.742.300,00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727.276,42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727.276,42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3.015.023,58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599.476,07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100,00</w:t>
            </w:r>
          </w:p>
        </w:tc>
        <w:tc>
          <w:tcPr>
            <w:tcBorders/>
            <w:shd w:val="clear" w:color="auto" w:fill="D0D8D0"/>
            <w:vAlign w:val="top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3.142.823,93</w:t>
            </w:r>
          </w:p>
        </w:tc>
        <w:tc>
          <w:tcPr>
            <w:tcBorders/>
            <w:shd w:val="clear" w:color="auto" w:fill="D0D8D0"/>
            <w:vAlign w:val="bottom"/>
          </w:tcPr>
          <w:p>
            <w:pPr>
              <w:pStyle w:val="Style1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0,00</w:t>
            </w:r>
          </w:p>
        </w:tc>
      </w:tr>
    </w:tbl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Nota: Durante o exercício, somente as despesas liquidadas são consideradas executadas. No encerramento do exercício, as despesas não liquidadas inscritas em restos a pagar processados são também consideradas executadas. Dessa forma, para maior transparência, as despesas executadas estão segregadas em: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a) Despesas liquidadas, consideradas aquelas em que houve a entrega do material ou serviço, nos termos do art. 63 da Lei 4.320/64;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b) Despesas empenhadas mas não liquidadas, inscritas em Restos a Pagar processados, consideradas liquidadas no encerramento do exercício, por força do art.35, inciso II da Lei 4.320/64.</w:t>
      </w:r>
    </w:p>
    <w:p>
      <w:pPr>
        <w:widowControl w:val="0"/>
        <w:spacing w:after="4879" w:line="1" w:lineRule="exact"/>
      </w:pPr>
    </w:p>
    <w:p>
      <w:pPr>
        <w:pStyle w:val="Style15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FONTE: SCPI - Contabilidade [21979], FUNDO DE APOSENTADORIA E PENSÕES DOS SERVIDORES MU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749" w:left="466" w:right="413" w:bottom="679" w:header="321" w:footer="251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1_"/>
    <w:basedOn w:val="DefaultParagraphFont"/>
    <w:link w:val="Style4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7">
    <w:name w:val="Heading #2|1_"/>
    <w:basedOn w:val="DefaultParagraphFont"/>
    <w:link w:val="Style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0">
    <w:name w:val="Table caption|1_"/>
    <w:basedOn w:val="DefaultParagraphFont"/>
    <w:link w:val="Style9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3">
    <w:name w:val="Other|1_"/>
    <w:basedOn w:val="DefaultParagraphFont"/>
    <w:link w:val="Style12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Body text|2_"/>
    <w:basedOn w:val="DefaultParagraphFont"/>
    <w:link w:val="Style15"/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line="185" w:lineRule="auto"/>
      <w:ind w:left="440"/>
      <w:jc w:val="center"/>
      <w:outlineLvl w:val="0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1"/>
    <w:basedOn w:val="Normal"/>
    <w:link w:val="CharStyle5"/>
    <w:pPr>
      <w:widowControl w:val="0"/>
      <w:shd w:val="clear" w:color="auto" w:fill="FFFFFF"/>
      <w:spacing w:after="190"/>
      <w:jc w:val="center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6">
    <w:name w:val="Heading #2|1"/>
    <w:basedOn w:val="Normal"/>
    <w:link w:val="CharStyle7"/>
    <w:pPr>
      <w:widowControl w:val="0"/>
      <w:shd w:val="clear" w:color="auto" w:fill="FFFFFF"/>
      <w:spacing w:line="252" w:lineRule="auto"/>
      <w:ind w:left="440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9">
    <w:name w:val="Table caption|1"/>
    <w:basedOn w:val="Normal"/>
    <w:link w:val="CharStyle10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2">
    <w:name w:val="Other|1"/>
    <w:basedOn w:val="Normal"/>
    <w:link w:val="CharStyle13"/>
    <w:pPr>
      <w:widowControl w:val="0"/>
      <w:shd w:val="clear" w:color="auto" w:fill="FFFFFF"/>
      <w:jc w:val="right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14"/>
      <w:szCs w:val="14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