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16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BALANÇO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ORÇAMENTÁRIO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38" w:val="left"/>
        </w:tabs>
        <w:bidi w:val="0"/>
        <w:spacing w:before="0" w:after="160" w:line="240" w:lineRule="auto"/>
        <w:ind w:left="18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 de 5</w:t>
        <w:tab/>
        <w:t>PERÍODO: Janeiro a junho 2024/BIMESTRE Maio - Junho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0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1 (LRF, Art. 52, inciso I, alíneas “a” e “b” do inciso II e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)</w:t>
        <w:tab/>
        <w:t>RS 1</w:t>
      </w:r>
    </w:p>
    <w:tbl>
      <w:tblPr>
        <w:tblOverlap w:val="never"/>
        <w:jc w:val="center"/>
        <w:tblLayout w:type="fixed"/>
      </w:tblPr>
      <w:tblGrid>
        <w:gridCol w:w="3427"/>
        <w:gridCol w:w="1258"/>
        <w:gridCol w:w="1354"/>
        <w:gridCol w:w="1147"/>
        <w:gridCol w:w="629"/>
        <w:gridCol w:w="1291"/>
        <w:gridCol w:w="475"/>
        <w:gridCol w:w="1195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REALIZAR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IANAJUN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/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74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(b/a) 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(c)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(c/a)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(a-c)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(EXCETO INTRA-ORÇAMENTÁRIAS) (I)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2.724.000,00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2.724.000,00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209.498,91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7,69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611.045,56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2.112.954,44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2.724.000,00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2.724.000,00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209.498,91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7,69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611.045,56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22,43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2.112.954,44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IMPOSTOS, TAXAS E CONTRIBUIÇÕES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MELHORIA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Taxas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de Melhoria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209.498,91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611.036,07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664.963,93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1.276.000,00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209.498,91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611.036,07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47,89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664.963,93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Contribuições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Econômicas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Entidades Privadas de Serviço Social e de Formação Profissional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para o Custeio do Serviço de Iluminação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1.447.990,51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Imobiliário do Estado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1.447.990,51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Delegação de Serviços Públicos Mediante Concessão, Permissão, Autorização ou Licença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Exploração de Recursos Naturais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Intangível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Cessão de Direitos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Patrimoniais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RECEITA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AGROPECUÁRIA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INDUSTRIAL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Administrativos e Comerciais Gerais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Navegação e ao Transporte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Saúde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Outras Instituições 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Administrativas, Contratuais e Judiciais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Bens, Direitos e Valores Incorporados ao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Patrimônio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e Juros de Mora das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Interno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Externo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Intangíveis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AMORTIZAÇÕES DE EMPRÉSTIMOS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Outras Instituições 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Integralização do Capital Social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das Disponibilidades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 de Títulos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(INTRA-ORÇAMENTÁRIAS) (II)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301.142,83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875.227,15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947.772,85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SUBTOTAL DAS RECEITAS (Hl) — (I + II)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510.641,74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1.486.272,71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32,69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3.060.727,29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/ REFINANCIAMENTO (IV)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Operações de Crédito - Mercado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Mobiliária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Externo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BALANÇO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ORÇAMENTÁRIO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680" w:val="left"/>
        </w:tabs>
        <w:bidi w:val="0"/>
        <w:spacing w:before="0" w:after="160" w:line="240" w:lineRule="auto"/>
        <w:ind w:left="16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 de 5</w:t>
        <w:tab/>
        <w:t>PERÍODO: Janeiro a junho 2024/BIMESTRE Maio - Junho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0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1 (LRF, Art. 52, inciso I, alíneas “a” e “b” do inciso II e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)</w:t>
        <w:tab/>
        <w:t>RS 1</w:t>
      </w:r>
    </w:p>
    <w:tbl>
      <w:tblPr>
        <w:tblOverlap w:val="never"/>
        <w:jc w:val="center"/>
        <w:tblLayout w:type="fixed"/>
      </w:tblPr>
      <w:tblGrid>
        <w:gridCol w:w="3427"/>
        <w:gridCol w:w="1258"/>
        <w:gridCol w:w="1354"/>
        <w:gridCol w:w="1142"/>
        <w:gridCol w:w="629"/>
        <w:gridCol w:w="1296"/>
        <w:gridCol w:w="475"/>
        <w:gridCol w:w="1152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REALIZAR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JANAJUN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/>
          </w:p>
        </w:tc>
      </w:tr>
      <w:tr>
        <w:trPr>
          <w:trHeight w:val="250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74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(b/a) 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(c)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(c/a)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(a-c)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Mobiliária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Contratual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DAS RECEITAS (V) = (EI + TV)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510.641,74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1.486.272,71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32,69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3.060.727,29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DÉFICIT (VI)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10.018,29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COM DÉFICIT (VII) = (V + VI)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4.547.000,00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510.641,74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1.496.291,00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3.060.727,29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SALDOS DE EXERCÍCIOS ANTERIORES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Recursos Arrecadados em Exercícios Anteriores - RPPS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Superávit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Financeiro Utilizado para Créditos Adicionais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ectPr>
          <w:headerReference w:type="default" r:id="rId5"/>
          <w:headerReference w:type="even" r:id="rId6"/>
          <w:footnotePr>
            <w:pos w:val="pageBottom"/>
            <w:numFmt w:val="decimal"/>
            <w:numRestart w:val="continuous"/>
          </w:footnotePr>
          <w:pgSz w:w="12147" w:h="17375"/>
          <w:pgMar w:top="888" w:left="118" w:right="119" w:bottom="522" w:header="0" w:footer="94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632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2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4700270" cy="10137775"/>
            <wp:docPr id="5" name="Picut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4700270" cy="10137775"/>
                    </a:xfrm>
                    <a:prstGeom prst="rect"/>
                  </pic:spPr>
                </pic:pic>
              </a:graphicData>
            </a:graphic>
          </wp:inline>
        </w:drawing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22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line="240" w:lineRule="auto"/>
        <w:ind w:left="0" w:right="20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BALANÇO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</w:rPr>
        <w:t>ORÇAMENTÁRIO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22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360" w:val="left"/>
        </w:tabs>
        <w:bidi w:val="0"/>
        <w:spacing w:before="0" w:after="160" w:line="240" w:lineRule="auto"/>
        <w:ind w:left="8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4 de 5</w:t>
        <w:tab/>
        <w:t>PERÍODO: Janeiro a junho 2024/BIMESTRE Maio - Junho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04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RREO - ANEXO 1 (LRF, Art. 52, inciso I, alíneas “a” e “b” do inciso II e § 1°)</w:t>
        <w:tab/>
        <w:t>RS 1</w:t>
      </w:r>
    </w:p>
    <w:tbl>
      <w:tblPr>
        <w:tblOverlap w:val="never"/>
        <w:jc w:val="center"/>
        <w:tblLayout w:type="fixed"/>
      </w:tblPr>
      <w:tblGrid>
        <w:gridCol w:w="3427"/>
        <w:gridCol w:w="1258"/>
        <w:gridCol w:w="1354"/>
        <w:gridCol w:w="1147"/>
        <w:gridCol w:w="629"/>
        <w:gridCol w:w="1296"/>
        <w:gridCol w:w="470"/>
        <w:gridCol w:w="1195"/>
      </w:tblGrid>
      <w:tr>
        <w:trPr>
          <w:trHeight w:val="278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INTRA-ORÇAMENTÁRIAS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PREVISÃO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</w:tc>
        <w:tc>
          <w:tcPr>
            <w:gridSpan w:val="4"/>
            <w:tcBorders>
              <w:top w:val="single" w:sz="4"/>
              <w:lef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REALIZADAS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 REALIZAR</w:t>
            </w:r>
          </w:p>
        </w:tc>
      </w:tr>
      <w:tr>
        <w:trPr>
          <w:trHeight w:val="226" w:hRule="exact"/>
        </w:trPr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BFDCC0"/>
            <w:vAlign w:val="bottom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JANAJUN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BFDCC0"/>
            <w:vAlign w:val="bottom"/>
          </w:tcPr>
          <w:p>
            <w:pPr/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tabs>
                <w:tab w:pos="1074" w:val="left"/>
              </w:tabs>
              <w:bidi w:val="0"/>
              <w:spacing w:before="0" w:after="0" w:line="240" w:lineRule="auto"/>
              <w:ind w:left="460" w:right="0" w:firstLine="0"/>
              <w:jc w:val="both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  <w:tab/>
              <w:t>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(b/a) |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(c)</w:t>
            </w:r>
          </w:p>
        </w:tc>
        <w:tc>
          <w:tcPr>
            <w:tcBorders>
              <w:top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(c/a)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BFDCC0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(a-c)</w:t>
            </w:r>
          </w:p>
        </w:tc>
      </w:tr>
      <w:tr>
        <w:trPr>
          <w:trHeight w:val="16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(INTRA-ORÇAMENTÁRIAS) (II)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301.142,83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875.227,15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48,01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947.772,85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301.142,83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875.227,15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947.772,85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IMPOSTOS, TAXAS E CONTRIBUIÇÕES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MELHORIA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Taxas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de Melhoria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301.142,83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875.227,15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947.772,85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1.823.000,00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301.142,83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875.227,15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48,01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947.772,85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Contribuições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Econômicas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Contribuições para Entidades Privadas de Serviço Social e de Formação Profissional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para o Custeio do Serviço de Iluminação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PATRIMONIAL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Imobiliário do Estado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Mobiliários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Delegação de Serviços Públicos Mediante Concessão, Permissão, Autorização ou Licença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Exploração de Recursos Naturais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Exploração do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Intangível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Cessão de Direitos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Patrimoniais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RECEITA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AGROPECUÁRIA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INDUSTRIAL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Administrativos e Comerciais Gerais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Navegação e ao Transporte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4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referentes à Saúde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e Atividades Financeiras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Transferências de Outras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Instituições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Tranferências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Administrativas, Contratuais e Judiciais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Indenizações,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 e Ressarcimentos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2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Bens, Direitos e Valores Incorporados ao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Patrimônio </w:t>
            </w: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Público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Correntes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Multas e Juros de Mora das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Interno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Operações de Crédito - Mercado Externo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Alienação de Bens Intangíveis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AMORTIZAÇÕES DE EMPRÉSTIMOS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da União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Estados e do Distrito Federal e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suas Entidades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dos Municípios e de suas Entidades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Instituições Privadas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de Outras Instituições Públicas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Transferências do Exterior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Tranferências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OUTRAS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Integralização do Capital Social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Remuneração das Disponibilidades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5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Resgate de Títulos do Tesouro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2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Demais Receitas de Capital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1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sectPr>
          <w:headerReference w:type="default" r:id="rId9"/>
          <w:headerReference w:type="even" r:id="rId10"/>
          <w:footnotePr>
            <w:pos w:val="pageBottom"/>
            <w:numFmt w:val="decimal"/>
            <w:numRestart w:val="continuous"/>
          </w:footnotePr>
          <w:pgSz w:w="12147" w:h="17375"/>
          <w:pgMar w:top="888" w:left="118" w:right="119" w:bottom="52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565390" cy="10692130"/>
            <wp:docPr id="8" name="Picut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7565390" cy="1069213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footnotePr>
        <w:pos w:val="pageBottom"/>
        <w:numFmt w:val="decimal"/>
        <w:numRestart w:val="continuous"/>
      </w:footnotePr>
      <w:pgSz w:w="12147" w:h="17375"/>
      <w:pgMar w:top="168" w:left="119" w:right="119" w:bottom="16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1699895</wp:posOffset>
              </wp:positionH>
              <wp:positionV relativeFrom="page">
                <wp:posOffset>339090</wp:posOffset>
              </wp:positionV>
              <wp:extent cx="4297680" cy="16129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7680" cy="161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33.84999999999999pt;margin-top:26.699999999999999pt;width:338.39999999999998pt;height:12.6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1699895</wp:posOffset>
              </wp:positionH>
              <wp:positionV relativeFrom="page">
                <wp:posOffset>339090</wp:posOffset>
              </wp:positionV>
              <wp:extent cx="4297680" cy="16129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7680" cy="161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33.84999999999999pt;margin-top:26.699999999999999pt;width:338.39999999999998pt;height:12.699999999999999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1699895</wp:posOffset>
              </wp:positionH>
              <wp:positionV relativeFrom="page">
                <wp:posOffset>339090</wp:posOffset>
              </wp:positionV>
              <wp:extent cx="4297680" cy="16129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97680" cy="1612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8"/>
                              <w:szCs w:val="28"/>
                              <w:shd w:val="clear" w:color="auto" w:fill="auto"/>
                              <w:lang w:val="pt-PT" w:eastAsia="pt-PT" w:bidi="pt-PT"/>
                            </w:rPr>
                            <w:t>Fundo de Pensões e Aposentadoria de Envira - FAPENV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133.84999999999999pt;margin-top:26.699999999999999pt;width:338.39999999999998pt;height:12.699999999999999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8"/>
                        <w:szCs w:val="28"/>
                        <w:shd w:val="clear" w:color="auto" w:fill="auto"/>
                        <w:lang w:val="pt-PT" w:eastAsia="pt-PT" w:bidi="pt-PT"/>
                      </w:rPr>
                      <w:t>Fundo de Pensões e Aposentadoria de Envira - FAPENV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character" w:customStyle="1" w:styleId="CharStyle10">
    <w:name w:val="Table caption|1_"/>
    <w:basedOn w:val="DefaultParagraphFont"/>
    <w:link w:val="Style9"/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CharStyle12">
    <w:name w:val="Other|1_"/>
    <w:basedOn w:val="DefaultParagraphFont"/>
    <w:link w:val="Style11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4">
    <w:name w:val="Picture caption|1_"/>
    <w:basedOn w:val="DefaultParagraphFont"/>
    <w:link w:val="Style13"/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40"/>
      <w:jc w:val="center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40"/>
      <w:ind w:right="100"/>
      <w:jc w:val="center"/>
      <w:outlineLvl w:val="0"/>
    </w:pPr>
    <w:rPr>
      <w:b/>
      <w:bCs/>
      <w:i w:val="0"/>
      <w:iCs w:val="0"/>
      <w:smallCaps w:val="0"/>
      <w:strike w:val="0"/>
      <w:sz w:val="22"/>
      <w:szCs w:val="22"/>
      <w:u w:val="none"/>
      <w:lang w:val="pt-BR" w:eastAsia="pt-BR" w:bidi="pt-BR"/>
    </w:rPr>
  </w:style>
  <w:style w:type="paragraph" w:customStyle="1" w:styleId="Style9">
    <w:name w:val="Table caption|1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paragraph" w:customStyle="1" w:styleId="Style11">
    <w:name w:val="Other|1"/>
    <w:basedOn w:val="Normal"/>
    <w:link w:val="CharStyle12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3">
    <w:name w:val="Picture caption|1"/>
    <w:basedOn w:val="Normal"/>
    <w:link w:val="CharStyle14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  <w:lang w:val="pt-BR" w:eastAsia="pt-BR" w:bidi="pt-BR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header" Target="header3.xml"/><Relationship Id="rId10" Type="http://schemas.openxmlformats.org/officeDocument/2006/relationships/header" Target="header4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