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28" w:val="left"/>
        </w:tabs>
        <w:bidi w:val="0"/>
        <w:spacing w:before="0" w:after="160" w:line="240" w:lineRule="auto"/>
        <w:ind w:left="1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de 5</w:t>
        <w:tab/>
        <w:t>PERÍODO: Janeiro a abril 2024/BIMESTRE Março - Abril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4"/>
        <w:gridCol w:w="1301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JANAABR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257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189.681,39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401.546,65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2.322.453,35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189.681,39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401.546,65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2.322.453,35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189.681,39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401.537,16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874.462,84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189.681,39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401.537,16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874.462,84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Patrimônio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271.386,98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574.084,32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1.248.915,68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RECEITAS (Hl) — (I + 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461.068,37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975.630,97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3.571.369,03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/ REFINANCIAMENTO (IV)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Operações de Crédito - Mercado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94" w:val="left"/>
        </w:tabs>
        <w:bidi w:val="0"/>
        <w:spacing w:before="0" w:after="160" w:line="240" w:lineRule="auto"/>
        <w:ind w:left="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 de 5</w:t>
        <w:tab/>
        <w:t>PERÍODO: Janeiro a abril 2024/BIMESTRE Março - Abril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2"/>
        <w:gridCol w:w="624"/>
        <w:gridCol w:w="1301"/>
        <w:gridCol w:w="475"/>
        <w:gridCol w:w="1152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JANAABR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(V) = (EI + TV)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461.068,37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975.630,97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3.571.369,03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DÉFICIT (VI)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COM DÉFICIT (VII) = (V + 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461.068,37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975.630,97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3.571.369,03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 Utilizado para Créditos Adicionais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94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32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2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700270" cy="10137775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700270" cy="10137775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20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293" w:val="left"/>
        </w:tabs>
        <w:bidi w:val="0"/>
        <w:spacing w:before="0" w:after="160" w:line="240" w:lineRule="auto"/>
        <w:ind w:left="8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 de 5</w:t>
        <w:tab/>
        <w:t>PERÍODO: Janeiro a abril 2024/BIMESTRE Março - Abril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1°)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4"/>
        <w:gridCol w:w="1301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INTRA-ORÇAMENTÁRIAS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JANAABR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271.386,98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574.084,32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1.248.915,68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271.386,98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574.084,32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1.248.915,68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271.386,98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574.084,32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1.248.915,68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271.386,98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574.084,32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1.248.915,68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Transferências de Outras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Instituições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65390" cy="1069213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65390" cy="106921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2147" w:h="17375"/>
      <w:pgMar w:top="168" w:left="119" w:right="119" w:bottom="16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3.84999999999999pt;margin-top:26.699999999999999pt;width:338.39999999999998pt;height:12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33.84999999999999pt;margin-top:26.699999999999999pt;width:338.39999999999998pt;height:12.6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33.84999999999999pt;margin-top:26.699999999999999pt;width:338.39999999999998pt;height:12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Picture caption|1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0"/>
      <w:ind w:right="100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